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40"/>
          <w:szCs w:val="40"/>
          <w:b w:val="1"/>
          <w:bCs w:val="1"/>
          <w:color w:val="auto"/>
        </w:rPr>
        <w:t>UNITED STATES</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5"/>
          <w:szCs w:val="25"/>
          <w:b w:val="1"/>
          <w:bCs w:val="1"/>
          <w:color w:val="auto"/>
        </w:rPr>
        <w:t>Washington, D.C. 20549</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FORM 8-K</w:t>
      </w:r>
    </w:p>
    <w:p>
      <w:pPr>
        <w:spacing w:after="0" w:line="2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CURRENT REPORT</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Pursuant to Section 13 or 15(d) of The Securities Exchange Act of 1934</w:t>
      </w:r>
    </w:p>
    <w:p>
      <w:pPr>
        <w:spacing w:after="0" w:line="19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color w:val="auto"/>
        </w:rPr>
        <w:t xml:space="preserve">Date of Report (Date of Earliest Event Reported): </w:t>
      </w:r>
      <w:r>
        <w:rPr>
          <w:rFonts w:ascii="Times New Roman" w:cs="Times New Roman" w:eastAsia="Times New Roman" w:hAnsi="Times New Roman"/>
          <w:sz w:val="25"/>
          <w:szCs w:val="25"/>
          <w:b w:val="1"/>
          <w:bCs w:val="1"/>
          <w:u w:val="single" w:color="auto"/>
          <w:color w:val="auto"/>
        </w:rPr>
        <w:t>May 12, 2024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0"/>
          <w:szCs w:val="40"/>
          <w:b w:val="1"/>
          <w:bCs w:val="1"/>
          <w:color w:val="auto"/>
        </w:rPr>
        <w:t>Pulse Biosciences, Inc.</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85" w:lineRule="exact"/>
        <w:rPr>
          <w:sz w:val="24"/>
          <w:szCs w:val="24"/>
          <w:color w:val="auto"/>
        </w:rPr>
      </w:pPr>
    </w:p>
    <w:tbl>
      <w:tblPr>
        <w:tblLayout w:type="fixed"/>
        <w:tblInd w:w="940" w:type="dxa"/>
        <w:tblCellMar>
          <w:top w:w="0" w:type="dxa"/>
          <w:left w:w="0" w:type="dxa"/>
          <w:bottom w:w="0" w:type="dxa"/>
          <w:right w:w="0" w:type="dxa"/>
        </w:tblCellMar>
      </w:tblPr>
      <w:tr>
        <w:trPr>
          <w:trHeight w:val="25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3160" w:type="dxa"/>
            <w:vAlign w:val="bottom"/>
            <w:gridSpan w:val="2"/>
          </w:tcPr>
          <w:p>
            <w:pPr>
              <w:ind w:left="2140"/>
              <w:spacing w:after="0"/>
              <w:rPr>
                <w:sz w:val="20"/>
                <w:szCs w:val="20"/>
                <w:color w:val="auto"/>
              </w:rPr>
            </w:pPr>
            <w:r>
              <w:rPr>
                <w:rFonts w:ascii="Times New Roman" w:cs="Times New Roman" w:eastAsia="Times New Roman" w:hAnsi="Times New Roman"/>
                <w:sz w:val="22"/>
                <w:szCs w:val="22"/>
                <w:b w:val="1"/>
                <w:bCs w:val="1"/>
                <w:color w:val="auto"/>
              </w:rPr>
              <w:t>001-37744</w:t>
            </w:r>
          </w:p>
        </w:tc>
        <w:tc>
          <w:tcPr>
            <w:tcW w:w="2120" w:type="dxa"/>
            <w:vAlign w:val="bottom"/>
          </w:tcPr>
          <w:p>
            <w:pPr>
              <w:spacing w:after="0"/>
              <w:rPr>
                <w:sz w:val="22"/>
                <w:szCs w:val="22"/>
                <w:color w:val="auto"/>
              </w:rPr>
            </w:pPr>
          </w:p>
        </w:tc>
        <w:tc>
          <w:tcPr>
            <w:tcW w:w="1700" w:type="dxa"/>
            <w:vAlign w:val="bottom"/>
          </w:tcPr>
          <w:p>
            <w:pPr>
              <w:jc w:val="center"/>
              <w:ind w:left="244"/>
              <w:spacing w:after="0"/>
              <w:rPr>
                <w:sz w:val="20"/>
                <w:szCs w:val="20"/>
                <w:color w:val="auto"/>
              </w:rPr>
            </w:pPr>
            <w:r>
              <w:rPr>
                <w:rFonts w:ascii="Times New Roman" w:cs="Times New Roman" w:eastAsia="Times New Roman" w:hAnsi="Times New Roman"/>
                <w:sz w:val="22"/>
                <w:szCs w:val="22"/>
                <w:b w:val="1"/>
                <w:bCs w:val="1"/>
                <w:color w:val="auto"/>
                <w:w w:val="97"/>
              </w:rPr>
              <w:t>46-5696597</w:t>
            </w:r>
          </w:p>
        </w:tc>
      </w:tr>
      <w:tr>
        <w:trPr>
          <w:trHeight w:val="216"/>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(State or Other Jurisdiction</w:t>
            </w:r>
          </w:p>
        </w:tc>
        <w:tc>
          <w:tcPr>
            <w:tcW w:w="1940" w:type="dxa"/>
            <w:vAlign w:val="bottom"/>
          </w:tcPr>
          <w:p>
            <w:pPr>
              <w:spacing w:after="0"/>
              <w:rPr>
                <w:sz w:val="18"/>
                <w:szCs w:val="18"/>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(Commission</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140" w:type="dxa"/>
            <w:vAlign w:val="bottom"/>
          </w:tcPr>
          <w:p>
            <w:pPr>
              <w:jc w:val="center"/>
              <w:ind w:right="84"/>
              <w:spacing w:after="0"/>
              <w:rPr>
                <w:sz w:val="20"/>
                <w:szCs w:val="20"/>
                <w:color w:val="auto"/>
              </w:rPr>
            </w:pPr>
            <w:r>
              <w:rPr>
                <w:rFonts w:ascii="Times New Roman" w:cs="Times New Roman" w:eastAsia="Times New Roman" w:hAnsi="Times New Roman"/>
                <w:sz w:val="18"/>
                <w:szCs w:val="18"/>
                <w:color w:val="auto"/>
              </w:rPr>
              <w:t>of Incorporation)</w:t>
            </w:r>
          </w:p>
        </w:tc>
        <w:tc>
          <w:tcPr>
            <w:tcW w:w="1940" w:type="dxa"/>
            <w:vAlign w:val="bottom"/>
          </w:tcPr>
          <w:p>
            <w:pPr>
              <w:spacing w:after="0"/>
              <w:rPr>
                <w:sz w:val="20"/>
                <w:szCs w:val="20"/>
                <w:color w:val="auto"/>
              </w:rPr>
            </w:pPr>
          </w:p>
        </w:tc>
        <w:tc>
          <w:tcPr>
            <w:tcW w:w="334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File Number)</w:t>
            </w:r>
          </w:p>
        </w:tc>
        <w:tc>
          <w:tcPr>
            <w:tcW w:w="1700" w:type="dxa"/>
            <w:vAlign w:val="bottom"/>
          </w:tcPr>
          <w:p>
            <w:pPr>
              <w:jc w:val="center"/>
              <w:ind w:left="264"/>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28"/>
        </w:trPr>
        <w:tc>
          <w:tcPr>
            <w:tcW w:w="2140" w:type="dxa"/>
            <w:vAlign w:val="bottom"/>
          </w:tcPr>
          <w:p>
            <w:pPr>
              <w:spacing w:after="0"/>
              <w:rPr>
                <w:sz w:val="24"/>
                <w:szCs w:val="24"/>
                <w:color w:val="auto"/>
              </w:rPr>
            </w:pPr>
          </w:p>
        </w:tc>
        <w:tc>
          <w:tcPr>
            <w:tcW w:w="5280" w:type="dxa"/>
            <w:vAlign w:val="bottom"/>
            <w:gridSpan w:val="3"/>
          </w:tcPr>
          <w:p>
            <w:pPr>
              <w:jc w:val="center"/>
              <w:ind w:right="240"/>
              <w:spacing w:after="0"/>
              <w:rPr>
                <w:sz w:val="20"/>
                <w:szCs w:val="20"/>
                <w:color w:val="auto"/>
              </w:rPr>
            </w:pPr>
            <w:r>
              <w:rPr>
                <w:rFonts w:ascii="Times New Roman" w:cs="Times New Roman" w:eastAsia="Times New Roman" w:hAnsi="Times New Roman"/>
                <w:sz w:val="22"/>
                <w:szCs w:val="22"/>
                <w:b w:val="1"/>
                <w:bCs w:val="1"/>
                <w:color w:val="auto"/>
                <w:w w:val="98"/>
              </w:rPr>
              <w:t>3957 Point Eden Way</w:t>
            </w:r>
          </w:p>
        </w:tc>
        <w:tc>
          <w:tcPr>
            <w:tcW w:w="1700" w:type="dxa"/>
            <w:vAlign w:val="bottom"/>
          </w:tcPr>
          <w:p>
            <w:pPr>
              <w:spacing w:after="0"/>
              <w:rPr>
                <w:sz w:val="24"/>
                <w:szCs w:val="24"/>
                <w:color w:val="auto"/>
              </w:rPr>
            </w:pPr>
          </w:p>
        </w:tc>
      </w:tr>
      <w:tr>
        <w:trPr>
          <w:trHeight w:val="256"/>
        </w:trPr>
        <w:tc>
          <w:tcPr>
            <w:tcW w:w="2140" w:type="dxa"/>
            <w:vAlign w:val="bottom"/>
          </w:tcPr>
          <w:p>
            <w:pPr>
              <w:spacing w:after="0"/>
              <w:rPr>
                <w:sz w:val="22"/>
                <w:szCs w:val="22"/>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22"/>
                <w:szCs w:val="22"/>
                <w:b w:val="1"/>
                <w:bCs w:val="1"/>
                <w:color w:val="auto"/>
                <w:w w:val="98"/>
              </w:rPr>
              <w:t>Hayward, California 94545</w:t>
            </w:r>
          </w:p>
        </w:tc>
        <w:tc>
          <w:tcPr>
            <w:tcW w:w="1700" w:type="dxa"/>
            <w:vAlign w:val="bottom"/>
          </w:tcPr>
          <w:p>
            <w:pPr>
              <w:spacing w:after="0"/>
              <w:rPr>
                <w:sz w:val="22"/>
                <w:szCs w:val="22"/>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18"/>
                <w:szCs w:val="18"/>
                <w:color w:val="auto"/>
              </w:rPr>
              <w:t>(Address of Principal Executive Offices) (Zip Code)</w:t>
            </w:r>
          </w:p>
        </w:tc>
        <w:tc>
          <w:tcPr>
            <w:tcW w:w="1700" w:type="dxa"/>
            <w:vAlign w:val="bottom"/>
          </w:tcPr>
          <w:p>
            <w:pPr>
              <w:spacing w:after="0"/>
              <w:rPr>
                <w:sz w:val="20"/>
                <w:szCs w:val="20"/>
                <w:color w:val="auto"/>
              </w:rPr>
            </w:pPr>
          </w:p>
        </w:tc>
      </w:tr>
      <w:tr>
        <w:trPr>
          <w:trHeight w:val="419"/>
        </w:trPr>
        <w:tc>
          <w:tcPr>
            <w:tcW w:w="2140" w:type="dxa"/>
            <w:vAlign w:val="bottom"/>
          </w:tcPr>
          <w:p>
            <w:pPr>
              <w:spacing w:after="0"/>
              <w:rPr>
                <w:sz w:val="24"/>
                <w:szCs w:val="24"/>
                <w:color w:val="auto"/>
              </w:rPr>
            </w:pPr>
          </w:p>
        </w:tc>
        <w:tc>
          <w:tcPr>
            <w:tcW w:w="3160" w:type="dxa"/>
            <w:vAlign w:val="bottom"/>
            <w:gridSpan w:val="2"/>
          </w:tcPr>
          <w:p>
            <w:pPr>
              <w:jc w:val="center"/>
              <w:ind w:left="1839"/>
              <w:spacing w:after="0"/>
              <w:rPr>
                <w:sz w:val="20"/>
                <w:szCs w:val="20"/>
                <w:color w:val="auto"/>
              </w:rPr>
            </w:pPr>
            <w:r>
              <w:rPr>
                <w:rFonts w:ascii="Times New Roman" w:cs="Times New Roman" w:eastAsia="Times New Roman" w:hAnsi="Times New Roman"/>
                <w:sz w:val="22"/>
                <w:szCs w:val="22"/>
                <w:b w:val="1"/>
                <w:bCs w:val="1"/>
                <w:color w:val="auto"/>
                <w:w w:val="97"/>
              </w:rPr>
              <w:t>510-906-4600</w:t>
            </w:r>
          </w:p>
        </w:tc>
        <w:tc>
          <w:tcPr>
            <w:tcW w:w="2120" w:type="dxa"/>
            <w:vAlign w:val="bottom"/>
          </w:tcPr>
          <w:p>
            <w:pPr>
              <w:spacing w:after="0"/>
              <w:rPr>
                <w:sz w:val="24"/>
                <w:szCs w:val="24"/>
                <w:color w:val="auto"/>
              </w:rPr>
            </w:pPr>
          </w:p>
        </w:tc>
        <w:tc>
          <w:tcPr>
            <w:tcW w:w="1700" w:type="dxa"/>
            <w:vAlign w:val="bottom"/>
          </w:tcPr>
          <w:p>
            <w:pPr>
              <w:spacing w:after="0"/>
              <w:rPr>
                <w:sz w:val="24"/>
                <w:szCs w:val="24"/>
                <w:color w:val="auto"/>
              </w:rPr>
            </w:pPr>
          </w:p>
        </w:tc>
      </w:tr>
      <w:tr>
        <w:trPr>
          <w:trHeight w:val="20"/>
        </w:trPr>
        <w:tc>
          <w:tcPr>
            <w:tcW w:w="214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r>
        <w:trPr>
          <w:trHeight w:val="237"/>
        </w:trPr>
        <w:tc>
          <w:tcPr>
            <w:tcW w:w="2140" w:type="dxa"/>
            <w:vAlign w:val="bottom"/>
          </w:tcPr>
          <w:p>
            <w:pPr>
              <w:spacing w:after="0"/>
              <w:rPr>
                <w:sz w:val="20"/>
                <w:szCs w:val="20"/>
                <w:color w:val="auto"/>
              </w:rPr>
            </w:pPr>
          </w:p>
        </w:tc>
        <w:tc>
          <w:tcPr>
            <w:tcW w:w="5280" w:type="dxa"/>
            <w:vAlign w:val="bottom"/>
            <w:gridSpan w:val="3"/>
          </w:tcPr>
          <w:p>
            <w:pPr>
              <w:ind w:left="540"/>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tc>
        <w:tc>
          <w:tcPr>
            <w:tcW w:w="1700" w:type="dxa"/>
            <w:vAlign w:val="bottom"/>
          </w:tcPr>
          <w:p>
            <w:pPr>
              <w:spacing w:after="0"/>
              <w:rPr>
                <w:sz w:val="20"/>
                <w:szCs w:val="20"/>
                <w:color w:val="auto"/>
              </w:rPr>
            </w:pPr>
          </w:p>
        </w:tc>
      </w:tr>
      <w:tr>
        <w:trPr>
          <w:trHeight w:val="441"/>
        </w:trPr>
        <w:tc>
          <w:tcPr>
            <w:tcW w:w="2140" w:type="dxa"/>
            <w:vAlign w:val="bottom"/>
          </w:tcPr>
          <w:p>
            <w:pPr>
              <w:spacing w:after="0"/>
              <w:rPr>
                <w:sz w:val="24"/>
                <w:szCs w:val="24"/>
                <w:color w:val="auto"/>
              </w:rPr>
            </w:pPr>
          </w:p>
        </w:tc>
        <w:tc>
          <w:tcPr>
            <w:tcW w:w="5280" w:type="dxa"/>
            <w:vAlign w:val="bottom"/>
            <w:gridSpan w:val="3"/>
          </w:tcPr>
          <w:p>
            <w:pPr>
              <w:jc w:val="center"/>
              <w:ind w:right="180"/>
              <w:spacing w:after="0"/>
              <w:rPr>
                <w:sz w:val="20"/>
                <w:szCs w:val="20"/>
                <w:color w:val="auto"/>
              </w:rPr>
            </w:pPr>
            <w:r>
              <w:rPr>
                <w:rFonts w:ascii="Times New Roman" w:cs="Times New Roman" w:eastAsia="Times New Roman" w:hAnsi="Times New Roman"/>
                <w:sz w:val="22"/>
                <w:szCs w:val="22"/>
                <w:b w:val="1"/>
                <w:bCs w:val="1"/>
                <w:color w:val="auto"/>
                <w:w w:val="97"/>
              </w:rPr>
              <w:t>Not Applicable</w:t>
            </w:r>
          </w:p>
        </w:tc>
        <w:tc>
          <w:tcPr>
            <w:tcW w:w="1700" w:type="dxa"/>
            <w:vAlign w:val="bottom"/>
          </w:tcPr>
          <w:p>
            <w:pPr>
              <w:spacing w:after="0"/>
              <w:rPr>
                <w:sz w:val="24"/>
                <w:szCs w:val="24"/>
                <w:color w:val="auto"/>
              </w:rPr>
            </w:pPr>
          </w:p>
        </w:tc>
      </w:tr>
      <w:tr>
        <w:trPr>
          <w:trHeight w:val="234"/>
        </w:trPr>
        <w:tc>
          <w:tcPr>
            <w:tcW w:w="2140" w:type="dxa"/>
            <w:vAlign w:val="bottom"/>
          </w:tcPr>
          <w:p>
            <w:pPr>
              <w:spacing w:after="0"/>
              <w:rPr>
                <w:sz w:val="20"/>
                <w:szCs w:val="20"/>
                <w:color w:val="auto"/>
              </w:rPr>
            </w:pPr>
          </w:p>
        </w:tc>
        <w:tc>
          <w:tcPr>
            <w:tcW w:w="5280" w:type="dxa"/>
            <w:vAlign w:val="bottom"/>
            <w:gridSpan w:val="3"/>
          </w:tcPr>
          <w:p>
            <w:pPr>
              <w:jc w:val="center"/>
              <w:ind w:right="200"/>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tc>
        <w:tc>
          <w:tcPr>
            <w:tcW w:w="1700" w:type="dxa"/>
            <w:vAlign w:val="bottom"/>
          </w:tcPr>
          <w:p>
            <w:pPr>
              <w:spacing w:after="0"/>
              <w:rPr>
                <w:sz w:val="20"/>
                <w:szCs w:val="20"/>
                <w:color w:val="auto"/>
              </w:rPr>
            </w:pPr>
          </w:p>
        </w:tc>
      </w:tr>
    </w:tbl>
    <w:p>
      <w:pPr>
        <w:spacing w:after="0" w:line="198"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w:t>
      </w:r>
      <w:r>
        <w:rPr>
          <w:rFonts w:ascii="Times New Roman" w:cs="Times New Roman" w:eastAsia="Times New Roman" w:hAnsi="Times New Roman"/>
          <w:sz w:val="18"/>
          <w:szCs w:val="18"/>
          <w:i w:val="1"/>
          <w:iCs w:val="1"/>
          <w:color w:val="auto"/>
        </w:rPr>
        <w:t>see</w:t>
      </w:r>
      <w:r>
        <w:rPr>
          <w:rFonts w:ascii="Times New Roman" w:cs="Times New Roman" w:eastAsia="Times New Roman" w:hAnsi="Times New Roman"/>
          <w:sz w:val="18"/>
          <w:szCs w:val="18"/>
          <w:color w:val="auto"/>
        </w:rPr>
        <w:t xml:space="preserv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980" w:firstLine="8"/>
        <w:spacing w:after="0" w:line="509" w:lineRule="auto"/>
        <w:tabs>
          <w:tab w:leader="none" w:pos="20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0" w:type="dxa"/>
        <w:tblCellMar>
          <w:top w:w="0" w:type="dxa"/>
          <w:left w:w="0" w:type="dxa"/>
          <w:bottom w:w="0" w:type="dxa"/>
          <w:right w:w="0" w:type="dxa"/>
        </w:tblCellMar>
      </w:tblPr>
      <w:tr>
        <w:trPr>
          <w:trHeight w:val="231"/>
        </w:trPr>
        <w:tc>
          <w:tcPr>
            <w:tcW w:w="45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22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Trading Symbol(s)</w:t>
            </w:r>
          </w:p>
        </w:tc>
        <w:tc>
          <w:tcPr>
            <w:tcW w:w="4500" w:type="dxa"/>
            <w:vAlign w:val="bottom"/>
            <w:tcBorders>
              <w:top w:val="single" w:sz="8" w:color="auto"/>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Name of Each Exchange on Which Registered</w:t>
            </w:r>
          </w:p>
        </w:tc>
      </w:tr>
      <w:tr>
        <w:trPr>
          <w:trHeight w:val="193"/>
        </w:trPr>
        <w:tc>
          <w:tcPr>
            <w:tcW w:w="4540" w:type="dxa"/>
            <w:vAlign w:val="bottom"/>
            <w:tcBorders>
              <w:left w:val="single" w:sz="8" w:color="auto"/>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Common stock, $0.001 par value per share</w:t>
            </w:r>
          </w:p>
        </w:tc>
        <w:tc>
          <w:tcPr>
            <w:tcW w:w="22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PLSE</w:t>
            </w:r>
          </w:p>
        </w:tc>
        <w:tc>
          <w:tcPr>
            <w:tcW w:w="4500" w:type="dxa"/>
            <w:vAlign w:val="bottom"/>
            <w:tcBorders>
              <w:bottom w:val="single" w:sz="8" w:color="auto"/>
              <w:right w:val="single" w:sz="8" w:color="auto"/>
            </w:tcBorders>
          </w:tcPr>
          <w:p>
            <w:pPr>
              <w:jc w:val="center"/>
              <w:spacing w:after="0" w:line="193" w:lineRule="exact"/>
              <w:rPr>
                <w:sz w:val="20"/>
                <w:szCs w:val="20"/>
                <w:color w:val="auto"/>
              </w:rPr>
            </w:pPr>
            <w:r>
              <w:rPr>
                <w:rFonts w:ascii="Times New Roman" w:cs="Times New Roman" w:eastAsia="Times New Roman" w:hAnsi="Times New Roman"/>
                <w:sz w:val="18"/>
                <w:szCs w:val="18"/>
                <w:color w:val="auto"/>
                <w:w w:val="99"/>
              </w:rPr>
              <w:t>The Nasdaq Stock Market</w:t>
            </w:r>
          </w:p>
        </w:tc>
      </w:tr>
    </w:tbl>
    <w:p>
      <w:pPr>
        <w:ind w:right="520"/>
        <w:spacing w:after="0" w:line="260"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4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342900</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10" w:right="339" w:bottom="1440" w:gutter="0" w:footer="0" w:header="0"/>
        </w:sectPr>
      </w:pPr>
    </w:p>
    <w:bookmarkStart w:id="1" w:name="page2"/>
    <w:bookmarkEnd w:id="1"/>
    <w:p>
      <w:pPr>
        <w:ind w:left="1300" w:right="1120" w:hanging="1295"/>
        <w:spacing w:after="0" w:line="286" w:lineRule="auto"/>
        <w:tabs>
          <w:tab w:leader="none" w:pos="1280" w:val="left"/>
        </w:tabs>
        <w:rPr>
          <w:sz w:val="20"/>
          <w:szCs w:val="20"/>
          <w:color w:val="auto"/>
        </w:rPr>
      </w:pPr>
      <w:r>
        <w:rPr>
          <w:rFonts w:ascii="Times New Roman" w:cs="Times New Roman" w:eastAsia="Times New Roman" w:hAnsi="Times New Roman"/>
          <w:sz w:val="18"/>
          <w:szCs w:val="18"/>
          <w:b w:val="1"/>
          <w:bCs w:val="1"/>
          <w:color w:val="auto"/>
        </w:rPr>
        <w:t>Item 5.02</w:t>
      </w:r>
      <w:r>
        <w:rPr>
          <w:sz w:val="20"/>
          <w:szCs w:val="20"/>
          <w:color w:val="auto"/>
        </w:rPr>
        <w:tab/>
      </w:r>
      <w:r>
        <w:rPr>
          <w:rFonts w:ascii="Times New Roman" w:cs="Times New Roman" w:eastAsia="Times New Roman" w:hAnsi="Times New Roman"/>
          <w:sz w:val="18"/>
          <w:szCs w:val="18"/>
          <w:b w:val="1"/>
          <w:bCs w:val="1"/>
          <w:color w:val="auto"/>
        </w:rPr>
        <w:t>Departure of Directors or Certain Officers; Election of Directors; Appointment of Certain Officers; Compensatory Arrangements of Certain Officers.</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Chief Executive Officer Transition</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Board of Directors of Pulse Biosciences, Inc. (the “Company”) has appointed Burke T. Barrett as President and Chief Executive Officer of the Company and as a director, in each case effective as of May 12, 2024 (the “Start Date”). In connection with his appointments, Mr. Barrett will also serve as the Company’s principal executive officer and principal financial officer.</w:t>
      </w:r>
    </w:p>
    <w:p>
      <w:pPr>
        <w:spacing w:after="0" w:line="176"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Mr. Barrett succeeds Kevin P. Danahy, who was appointed as the Company’s Chief Commercial Officer, as of the Start Date, to lead the commercialization pilot program of the Company’s CellFX nsPFA Percutaneous Electrode System.</w:t>
      </w:r>
    </w:p>
    <w:p>
      <w:pPr>
        <w:spacing w:after="0" w:line="162"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joining the Company, Mr. Barrett, age 60, was most recently Chief Executive Officer and President of CaridoFocus, Inc., where he held roles of increasing responsibility, from September 2005 to December 2022, and was part of the team that commercially launched, on a worldwide basis, a pioneering electrophysiology laser-balloon ablation device for the treatment of atrial fibrillation (“Afib”). Mr. Barrett began at CardioFocus as its Vice President of Regulatory and Clinical Affairs, where he was instrumental in securing PMA approval for its ablation device in 2016. Before joining CardioFocus, Mr. Barrett was Vice President of Clinical Operations at Cyberkinetics Neurotechnology Systems, Inc., from 2023 to 2025, and Vice President of Business and Technology Development at Cyberonics, Inc., from 1997 to 2002. He began his career in Regulatory Affairs at Bausch &amp; Lomb, Inc. in 1986. Mr. Barrett was also an active member of the FDA’s Circulatory System Medical Devices Advisory Panel for four years.</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Mr. Barrett received a B.S. in Chemical Engineering and a B.A. in Chemistry from Syracuse University in 1985 and an M.B.A. from Kennesaw State University in 1992. He is the named co-inventor on over thirty issued U.S. patents. Mr. Barrett currently serves on the Board of Directors of VDI Technologies, Inc., a medical device company developing cardiac ventricular dyssynchrony detection technology.</w:t>
      </w:r>
    </w:p>
    <w:p>
      <w:pPr>
        <w:spacing w:after="0" w:line="176"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There are no reportable family relationships or related party transactions (as defined in Item 404(a) of Regulation S-K) involving the Company and Mr. Barrett. Mr. Barrett was not selected to serve as the Company’s President or Chief Executive Officer, or as a member of the Company's Board of Directors, pursuant to any arrangement or understanding with any person.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Employment Agreement and Other Compensatory Arrangements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connection with Mr. Barrett’s appointment as President and Chief Executive Officer, the Company and Mr. Barrett entered into an Employment Agreement, dated May 12, 2024 (the “Employment Agreement”), pursuant to which Mr. Barrett will serve as the Company’s President and Chief Executive Officer. The material terms and conditions of the Employment Agreement are summarized below.</w:t>
      </w:r>
    </w:p>
    <w:p>
      <w:pPr>
        <w:spacing w:after="0" w:line="17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Mr. Barrett’s Employment Agreement has no specific term and constitutes at-will employment. His current annual base salary is $525,000 and he is eligible for an annual target bonus equal to 70% of his annual base salary, subject to achievement of performance objectives set by the Company's Board of Directors. Mr. Barrett is also eligible to participate in employee benefit plans maintained from time to time by the Company of general applicability to other senior executives.</w:t>
      </w:r>
    </w:p>
    <w:p>
      <w:pPr>
        <w:spacing w:after="0" w:line="180" w:lineRule="exact"/>
        <w:rPr>
          <w:sz w:val="20"/>
          <w:szCs w:val="20"/>
          <w:color w:val="auto"/>
        </w:rPr>
      </w:pPr>
    </w:p>
    <w:p>
      <w:pPr>
        <w:jc w:val="both"/>
        <w:ind w:firstLine="486"/>
        <w:spacing w:after="0" w:line="252" w:lineRule="auto"/>
        <w:rPr>
          <w:sz w:val="20"/>
          <w:szCs w:val="20"/>
          <w:color w:val="auto"/>
        </w:rPr>
      </w:pPr>
      <w:r>
        <w:rPr>
          <w:rFonts w:ascii="Times New Roman" w:cs="Times New Roman" w:eastAsia="Times New Roman" w:hAnsi="Times New Roman"/>
          <w:sz w:val="18"/>
          <w:szCs w:val="18"/>
          <w:color w:val="auto"/>
        </w:rPr>
        <w:t>In connection with his appointment, the Company awarded Mr. Barrett stock options (the “Options”) to purchase up to 1,400,000 shares of the Company’s common stock, with an exercise price of $7.45 per share, the closing price of the Company’s common stock on May 10, 2024, the last trading day preceding Mr. Barrett’s employment start date and date of grant. The awards were made pursuant to the terms and conditions of the Company’s Amended and Restated 2017 Inducement Equity Incentive Plan and in accordance with the employment inducement award exemption provided by Nasdaq Rule 5635(c) and were therefore not awarded under the Company’s stockholder approved equity plan. The Options will have a ten-year term and will vest as follows: Subject to certain accelerated vesting provisions as described in the Employment Agreement, (i) up to 50% of the option shares subject to the Options (equal to 700,000 option shares) will vest over four years as follows: 25% (equal to 175,000 option shares) will vest on the first anniversary of the Start Date and the remaining 525,000 option shares will vest in equal amounts on an annual basis over the three-year period starting with the first anniversary of the Start Date; and (ii) up to 50% of the option shares subject to the Start Date Option (equal to 700,000 option shares) will vest based upon the achievement of the following performance objectives: (i) 20% of the 50% (equal to 140,000 shares) will vest when the Company has had a market capitalization of not less than one billion dollars ($1.0B) for 270 consecutive days; (ii) 20% of the 50% (equal to 140,000 shares) will vest when the Company has had a market capitalization of not less than one billion five hundred million dollars ($1.5B) for 270 consecutive days; (iii) 20% of the 50% (equal to 140,000 shares) will vest when the Company has had a market capitalization of not less than two billion two hundred fifty million dollars ($2.25B) for 270 consecutive days; (iv) 20% of the 50% (equal to 140,000 shares) will vest when the Company has had a market capitalization of not less than three billion dollars ($3.0B) for 270 consecutive days; and (v) 20% of the 50% (equal to 140,000 shares) will vest when the Company has had a market capitalization of not less than four billion dollars ($4.0B) for 270 consecutive days.</w:t>
      </w:r>
    </w:p>
    <w:p>
      <w:pPr>
        <w:spacing w:after="0" w:line="195"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If the Company terminates Mr. Barrett’s employment other than for “cause,” death, or disability or if he resigns for “good reason,” as defined in his Employment Agreement, then, subject to his execution of a release of claims in the Company’s favor and Mr. Barrett’s compliance with certain restrictive covenants set forth in his Employment Agreement, Mr. Barrett is entitled to receive (i) continuing payments of his then-current base salary for a period of three months following his termination of employment (or for a period of twelve months if his involuntary termination occurs either within the twelve month period following a “change of control,” as defined in the Employment Agreement, or within the first twelve months of his employment), less applicable withholdings, (ii) accelerated vesting as to that portion of his then outstanding and unvested options that would have vested had he remained an employee for twelve months following his termination date, or accelerated vesting of 100% of his unvested options if he is involuntarily terminated within twelve months following a Company “change of control,” as defined by his Employment Agreement, and (iii) reimbursement of premiums to maintain group health insurance continuation benefits pursuant to “COBRA” for Mr. Barrett and his respective dependents until the earlier of (A) Mr. Barrett or his eligible dependents become covered under similar plans, or (B) the date upon which Mr. Barrett ceases to be eligible for coverage under COBRA.</w:t>
      </w:r>
    </w:p>
    <w:p>
      <w:pPr>
        <w:spacing w:after="0" w:line="194"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defined in Mr. Barrett’s Employment Agreement, as amended, “cause” means Mr. Barrett’s (i) conviction of, or plea of nolo contendere to, a felony or any crime involving fraud, embezzlement or any other act of moral turpitude, (ii) gross misconduct, (iii) unauthorized use or disclosure of any proprietary information or trade secrets of the Company or any other party to whom Mr. Barrett owes an obligation of nondisclosure as a result of Mr. Barrett relationship with the Company; (iv) willful breach of any obligations under any written agreement or covenant with the Company that is injurious to the Company; or (v) continued failure to perform his employment duties after Mr. Barrett has received a written demand of performance from the Company which specifically sets forth the factual basis for the Company’s belief that Mr. Barrett has not substantially performed his duties and has failed to cure such non-performance to the Company’s satisfaction within 30 business days after receiving such notice.</w:t>
      </w:r>
    </w:p>
    <w:p>
      <w:pPr>
        <w:sectPr>
          <w:pgSz w:w="11900" w:h="16838" w:orient="portrait"/>
          <w:cols w:equalWidth="0" w:num="1">
            <w:col w:w="11240"/>
          </w:cols>
          <w:pgMar w:left="320" w:top="360" w:right="339" w:bottom="0" w:gutter="0" w:footer="0" w:header="0"/>
        </w:sectPr>
      </w:pPr>
    </w:p>
    <w:bookmarkStart w:id="2" w:name="page3"/>
    <w:bookmarkEnd w:id="2"/>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As defined in Mr. Barrett’s Employment Agreement, as amended, “good reason” means Mr. Barrett’s resignation within 30 days following the expiration of any Company cure period (discussed below) following the occurrence of one or more of the following, without Mr. Barrett’s express written consent: (i) the assignment to Mr. Barrett of any duties beyond the generally recognized scope of employment of a company chief executive officer or the reduction of Mr. Barrett’s duties or the removal of Mr. Barrett from his position and responsibilities as chief executive officer, either of which must result in a material diminution of Mr. Barrett’s authority, duties, or responsibilities with the Company in effect immediately prior to such assignment; provided, however, if Mr. Barrett is provided with an alternative executive type position within the Company or its subsidiaries at the same or better compensation as proved herein or that a reduction in duties, position or responsibilities solely by virtue of the Company being acquired and made part of a larger entity will not constitute “good reason”; (ii) a material reduction in Mr. Barrett’s base salary (except where there is a reduction applicable to the management team generally of not more than 10% of Mr. Barrett’s base salary); or (iii) a material change in the geographic location of Mr. Barrett’s primary work facility or location; provided, that a relocation of less than 50 miles from either Miami, Florida, or Hayward, California, will not be considered a material change in geographic location. Mr. Barrett will not resign for good reason without first providing the Company with written notice of the acts or omissions constituting the grounds for “good reason” within 90 days of the initial existence of the grounds for “good reason” and a reasonable cure period of not less than 30 days following the date of such notice and such grounds for “good reason” have not been cured during such cure period.</w:t>
      </w:r>
    </w:p>
    <w:p>
      <w:pPr>
        <w:spacing w:after="0" w:line="18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the event any payment to Mr. Barrett pursuant to his Employment Agreement would be subject to the excise tax imposed by Section 4999 of the Code as a result of a payment being classified as a parachute payment under Section 280G of the Code, Mr. Barrett will receive such payment as would entitle him to receive the greatest after-tax benefit, even if it means that we pay him a lower aggregate payment so as to eliminate the potential excise tax imposed by Section 4999 of the Code.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ind w:firstLine="486"/>
        <w:spacing w:after="0" w:line="282" w:lineRule="auto"/>
        <w:rPr>
          <w:sz w:val="20"/>
          <w:szCs w:val="20"/>
          <w:color w:val="auto"/>
        </w:rPr>
      </w:pPr>
      <w:r>
        <w:rPr>
          <w:rFonts w:ascii="Times New Roman" w:cs="Times New Roman" w:eastAsia="Times New Roman" w:hAnsi="Times New Roman"/>
          <w:sz w:val="18"/>
          <w:szCs w:val="18"/>
          <w:color w:val="auto"/>
        </w:rPr>
        <w:t>Mr. Barrett has also entered into the Company’s standard inventions assignment, confidentiality and non-competition agreement and its standard indemnification agreement for officers and directors.</w:t>
      </w:r>
    </w:p>
    <w:p>
      <w:pPr>
        <w:spacing w:after="0" w:line="162" w:lineRule="exact"/>
        <w:rPr>
          <w:sz w:val="20"/>
          <w:szCs w:val="20"/>
          <w:color w:val="auto"/>
        </w:rPr>
      </w:pPr>
    </w:p>
    <w:p>
      <w:pPr>
        <w:ind w:right="580" w:firstLine="486"/>
        <w:spacing w:after="0" w:line="266" w:lineRule="auto"/>
        <w:rPr>
          <w:sz w:val="20"/>
          <w:szCs w:val="20"/>
          <w:color w:val="auto"/>
        </w:rPr>
      </w:pPr>
      <w:r>
        <w:rPr>
          <w:rFonts w:ascii="Times New Roman" w:cs="Times New Roman" w:eastAsia="Times New Roman" w:hAnsi="Times New Roman"/>
          <w:sz w:val="18"/>
          <w:szCs w:val="18"/>
          <w:color w:val="auto"/>
        </w:rPr>
        <w:t>The forgoing description of the Employment Agreement is not complete and is subject to, and qualified in its entirety by, reference to the Employment Agreement, a copy of which is filed with this Current Report on Form 8-K as Exhibit 10.1, and the terms of which are incorporated by reference herein.</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2017 Inducement Equity Incentive Plan</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During November 2017, the Company's Board of Directors adopted the Company's 2017 Inducement Equity Incentive Plan (the “Inducement Plan”) and reserved 1,000,000 shares of the Company’s common stock for issuance pursuant to equity awards granted under the Inducement Plan. The Inducement Plan was adopted without stockholder approval. The Inducement Plan has a 10-year term and provides for the grant of equity-based awards, including non-statutory stock options, RSUs, restricted stock, stock appreciation rights, performance shares, and performance units, and its terms are substantially similar to the Company’s 2017 Equity Incentive Plan, including with respect to treatment of equity awards in the event of a “merger” or “change in control,” as defined under the Inducement Plan. Options issued under the Inducement Plan may have a term up to ten years and have variable vesting provisions. Equity-based awards issued under the Inducement Plan are only issuable to individuals who are not already employed by the Company as an inducement material to their entering into employment with the Company in accordance with Nasdaq Listing Rule 5635(c).</w:t>
      </w:r>
    </w:p>
    <w:p>
      <w:pPr>
        <w:spacing w:after="0" w:line="192"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May 2021, the Board approved an amendment to the Inducement Plan to reserve an additional 1,000,000 shares of the Company’s common stock for issuance pursuant to the Inducement Plan. And, in March 2024, the Board approved a second amendment to the Inducement Plan to reserve an additional 2,000,000 shares of the Company’s common stock for issuance pursuant to the Inducement Plan. As of March 31, 2024, there were 3,249,126 shares of common stock available for issuance under the Inducement Plan.</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Complete copies of the Inducement Plan, as amended to date, and the current forms of stock option grant notice and stock option agreement are filed herewith as Exhibits 10.2 and 10.3,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 to Other Employment Agreements</w:t>
      </w:r>
    </w:p>
    <w:p>
      <w:pPr>
        <w:spacing w:after="0" w:line="229"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As of the Start Date, the Company’s Chief Commercial Officer, Kevin P. Danahy, and the Company’s Chief Technology Officer, Darrin R. Uecker, changed their existing employment agreements by written amendment (the “Amendments”) so that each will receive salary continuation for three months, rather than for twelve months, following an involuntary termination without cause, or for twelve months if the involuntary termination occurs within the twelve month period following a Change of Control, as defined by their employment agreements. Mr. Danahy’s Amendment also confirms his new role as Chief Commercial Officer and updates the definition of “Good Reason” in his Employment Agreement accordingly. There were no other changes to their employment agreements.</w:t>
      </w:r>
    </w:p>
    <w:p>
      <w:pPr>
        <w:spacing w:after="0" w:line="18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forgoing description of the Amendments is not complete and is subject to, and qualified in its entirety by, reference to the Amendments, copies of which are filed with this Current Report on Form 8-K as Exhibit 10.4 and Exhibit 10.5, respectively, and the terms of which are incorporated by reference herein.</w:t>
      </w:r>
    </w:p>
    <w:p>
      <w:pPr>
        <w:spacing w:after="0" w:line="172"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On May 14, 2024, Pulse Biosciences, Inc. (the “Company”) issued a press release announcing the appointment of Burke T. Barrett as President and Chief Executive Officer as the appointment of Kevin P. Danahy as Chief Commercial Officer. A copy of the Company’s press release is attached as Exhibit 99.1.</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10160" w:type="dxa"/>
            <w:vAlign w:val="bottom"/>
            <w:gridSpan w:val="9"/>
          </w:tcPr>
          <w:p>
            <w:pPr>
              <w:ind w:left="220"/>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c>
          <w:tcPr>
            <w:tcW w:w="0" w:type="dxa"/>
            <w:vAlign w:val="bottom"/>
          </w:tcPr>
          <w:p>
            <w:pPr>
              <w:spacing w:after="0"/>
              <w:rPr>
                <w:sz w:val="1"/>
                <w:szCs w:val="1"/>
                <w:color w:val="auto"/>
              </w:rPr>
            </w:pPr>
          </w:p>
        </w:tc>
      </w:tr>
      <w:tr>
        <w:trPr>
          <w:trHeight w:val="432"/>
        </w:trPr>
        <w:tc>
          <w:tcPr>
            <w:tcW w:w="1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(d) Exhibits</w:t>
            </w:r>
          </w:p>
        </w:tc>
        <w:tc>
          <w:tcPr>
            <w:tcW w:w="3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1"/>
        </w:trPr>
        <w:tc>
          <w:tcPr>
            <w:tcW w:w="5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8"/>
              </w:rPr>
              <w:t>Exhibit</w:t>
            </w:r>
          </w:p>
        </w:tc>
        <w:tc>
          <w:tcPr>
            <w:tcW w:w="500" w:type="dxa"/>
            <w:vAlign w:val="bottom"/>
            <w:gridSpan w:val="2"/>
          </w:tcPr>
          <w:p>
            <w:pPr>
              <w:spacing w:after="0"/>
              <w:rPr>
                <w:sz w:val="24"/>
                <w:szCs w:val="24"/>
                <w:color w:val="auto"/>
              </w:rPr>
            </w:pPr>
          </w:p>
        </w:tc>
        <w:tc>
          <w:tcPr>
            <w:tcW w:w="300" w:type="dxa"/>
            <w:vAlign w:val="bottom"/>
          </w:tcPr>
          <w:p>
            <w:pPr>
              <w:spacing w:after="0"/>
              <w:rPr>
                <w:sz w:val="24"/>
                <w:szCs w:val="24"/>
                <w:color w:val="auto"/>
              </w:rPr>
            </w:pPr>
          </w:p>
        </w:tc>
        <w:tc>
          <w:tcPr>
            <w:tcW w:w="9860" w:type="dxa"/>
            <w:vAlign w:val="bottom"/>
            <w:gridSpan w:val="8"/>
            <w:vMerge w:val="restart"/>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0" w:type="dxa"/>
            <w:vAlign w:val="bottom"/>
          </w:tcPr>
          <w:p>
            <w:pPr>
              <w:spacing w:after="0"/>
              <w:rPr>
                <w:sz w:val="1"/>
                <w:szCs w:val="1"/>
                <w:color w:val="auto"/>
              </w:rPr>
            </w:pPr>
          </w:p>
        </w:tc>
      </w:tr>
      <w:tr>
        <w:trPr>
          <w:trHeight w:val="196"/>
        </w:trPr>
        <w:tc>
          <w:tcPr>
            <w:tcW w:w="1080" w:type="dxa"/>
            <w:vAlign w:val="bottom"/>
            <w:gridSpan w:val="3"/>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Number</w:t>
            </w:r>
          </w:p>
        </w:tc>
        <w:tc>
          <w:tcPr>
            <w:tcW w:w="300" w:type="dxa"/>
            <w:vAlign w:val="bottom"/>
          </w:tcPr>
          <w:p>
            <w:pPr>
              <w:spacing w:after="0"/>
              <w:rPr>
                <w:sz w:val="17"/>
                <w:szCs w:val="17"/>
                <w:color w:val="auto"/>
              </w:rPr>
            </w:pPr>
          </w:p>
        </w:tc>
        <w:tc>
          <w:tcPr>
            <w:tcW w:w="9860" w:type="dxa"/>
            <w:vAlign w:val="bottom"/>
            <w:gridSpan w:val="8"/>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
        </w:trPr>
        <w:tc>
          <w:tcPr>
            <w:tcW w:w="58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10.1</w:t>
            </w: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1780" w:type="dxa"/>
            <w:vAlign w:val="bottom"/>
            <w:tcBorders>
              <w:bottom w:val="single" w:sz="8" w:color="0000EE"/>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Employment Agreement</w:t>
            </w:r>
          </w:p>
        </w:tc>
        <w:tc>
          <w:tcPr>
            <w:tcW w:w="8080" w:type="dxa"/>
            <w:vAlign w:val="bottom"/>
            <w:tcBorders>
              <w:bottom w:val="single" w:sz="8" w:color="CCEEFF"/>
            </w:tcBorders>
            <w:gridSpan w:val="6"/>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10.2</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Pulse Biosciences, 2017 Inducement Equity Incentive Plan</w:t>
            </w: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tcBorders>
              <w:bottom w:val="single" w:sz="8" w:color="CCEEFF"/>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10.3</w:t>
            </w:r>
          </w:p>
        </w:tc>
        <w:tc>
          <w:tcPr>
            <w:tcW w:w="60" w:type="dxa"/>
            <w:vAlign w:val="bottom"/>
            <w:tcBorders>
              <w:bottom w:val="single" w:sz="8" w:color="CCEEFF"/>
            </w:tcBorders>
            <w:shd w:val="clear" w:color="auto" w:fill="CCEEFF"/>
          </w:tcPr>
          <w:p>
            <w:pPr>
              <w:spacing w:after="0"/>
              <w:rPr>
                <w:sz w:val="17"/>
                <w:szCs w:val="17"/>
                <w:color w:val="auto"/>
              </w:rPr>
            </w:pPr>
          </w:p>
        </w:tc>
        <w:tc>
          <w:tcPr>
            <w:tcW w:w="44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8080" w:type="dxa"/>
            <w:vAlign w:val="bottom"/>
            <w:tcBorders>
              <w:bottom w:val="single" w:sz="8" w:color="0000EE"/>
            </w:tcBorders>
            <w:gridSpan w:val="5"/>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w w:val="99"/>
              </w:rPr>
              <w:t>Form of Stock Option Grant Notice and Stock Option Agreement under 2017 Inducement Equity Incentive Plan</w:t>
            </w:r>
          </w:p>
        </w:tc>
        <w:tc>
          <w:tcPr>
            <w:tcW w:w="1780" w:type="dxa"/>
            <w:vAlign w:val="bottom"/>
            <w:tcBorders>
              <w:bottom w:val="single" w:sz="8" w:color="CCEEFF"/>
            </w:tcBorders>
            <w:gridSpan w:val="3"/>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80" w:type="dxa"/>
            <w:vAlign w:val="bottom"/>
          </w:tcPr>
          <w:p>
            <w:pPr>
              <w:spacing w:after="0" w:line="176" w:lineRule="exact"/>
              <w:rPr>
                <w:sz w:val="20"/>
                <w:szCs w:val="20"/>
                <w:color w:val="auto"/>
              </w:rPr>
            </w:pPr>
            <w:r>
              <w:rPr>
                <w:rFonts w:ascii="Times New Roman" w:cs="Times New Roman" w:eastAsia="Times New Roman" w:hAnsi="Times New Roman"/>
                <w:sz w:val="18"/>
                <w:szCs w:val="18"/>
                <w:color w:val="auto"/>
              </w:rPr>
              <w:t>10.4</w:t>
            </w: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860" w:type="dxa"/>
            <w:vAlign w:val="bottom"/>
            <w:gridSpan w:val="8"/>
          </w:tcPr>
          <w:p>
            <w:pPr>
              <w:spacing w:after="0" w:line="176" w:lineRule="exact"/>
              <w:rPr>
                <w:sz w:val="20"/>
                <w:szCs w:val="20"/>
                <w:color w:val="auto"/>
              </w:rPr>
            </w:pPr>
            <w:r>
              <w:rPr>
                <w:rFonts w:ascii="Times New Roman" w:cs="Times New Roman" w:eastAsia="Times New Roman" w:hAnsi="Times New Roman"/>
                <w:sz w:val="18"/>
                <w:szCs w:val="18"/>
                <w:color w:val="0000EE"/>
              </w:rPr>
              <w:t>Fourth Amendment to Employment Agreement, dated May 12, 2024, by and between Pulse Biosciences, Inc. and Kevin Danahy</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180" w:type="dxa"/>
            <w:vAlign w:val="bottom"/>
            <w:tcBorders>
              <w:top w:val="single" w:sz="8" w:color="0000EE"/>
            </w:tcBorders>
          </w:tcPr>
          <w:p>
            <w:pPr>
              <w:spacing w:after="0" w:line="20" w:lineRule="exact"/>
              <w:rPr>
                <w:sz w:val="1"/>
                <w:szCs w:val="1"/>
                <w:color w:val="auto"/>
              </w:rPr>
            </w:pPr>
          </w:p>
        </w:tc>
        <w:tc>
          <w:tcPr>
            <w:tcW w:w="1040" w:type="dxa"/>
            <w:vAlign w:val="bottom"/>
            <w:tcBorders>
              <w:top w:val="single" w:sz="8" w:color="0000EE"/>
            </w:tcBorders>
          </w:tcPr>
          <w:p>
            <w:pPr>
              <w:spacing w:after="0" w:line="20" w:lineRule="exact"/>
              <w:rPr>
                <w:sz w:val="1"/>
                <w:szCs w:val="1"/>
                <w:color w:val="auto"/>
              </w:rPr>
            </w:pPr>
          </w:p>
        </w:tc>
        <w:tc>
          <w:tcPr>
            <w:tcW w:w="140" w:type="dxa"/>
            <w:vAlign w:val="bottom"/>
            <w:tcBorders>
              <w:top w:val="single" w:sz="8" w:color="0000EE"/>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0" w:type="dxa"/>
            <w:vAlign w:val="bottom"/>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10.5</w:t>
            </w:r>
          </w:p>
        </w:tc>
        <w:tc>
          <w:tcPr>
            <w:tcW w:w="6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860" w:type="dxa"/>
            <w:vAlign w:val="bottom"/>
            <w:gridSpan w:val="8"/>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Fifth Amendment to Employment Agreement, dated May 12, 2024, by and between Pulse Biosciences, Inc. and Darrin Uecker</w:t>
            </w:r>
          </w:p>
        </w:tc>
        <w:tc>
          <w:tcPr>
            <w:tcW w:w="0" w:type="dxa"/>
            <w:vAlign w:val="bottom"/>
          </w:tcPr>
          <w:p>
            <w:pPr>
              <w:spacing w:after="0"/>
              <w:rPr>
                <w:sz w:val="1"/>
                <w:szCs w:val="1"/>
                <w:color w:val="auto"/>
              </w:rPr>
            </w:pPr>
          </w:p>
        </w:tc>
      </w:tr>
      <w:tr>
        <w:trPr>
          <w:trHeight w:val="175"/>
        </w:trPr>
        <w:tc>
          <w:tcPr>
            <w:tcW w:w="580" w:type="dxa"/>
            <w:vAlign w:val="bottom"/>
            <w:tcBorders>
              <w:top w:val="single" w:sz="8" w:color="CCEEFF"/>
            </w:tcBorders>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60" w:type="dxa"/>
            <w:vAlign w:val="bottom"/>
            <w:tcBorders>
              <w:top w:val="single" w:sz="8" w:color="CCEEFF"/>
            </w:tcBorders>
          </w:tcPr>
          <w:p>
            <w:pPr>
              <w:spacing w:after="0"/>
              <w:rPr>
                <w:sz w:val="15"/>
                <w:szCs w:val="15"/>
                <w:color w:val="auto"/>
              </w:rPr>
            </w:pPr>
          </w:p>
        </w:tc>
        <w:tc>
          <w:tcPr>
            <w:tcW w:w="440" w:type="dxa"/>
            <w:vAlign w:val="bottom"/>
            <w:tcBorders>
              <w:top w:val="single" w:sz="8" w:color="CCEEFF"/>
            </w:tcBorders>
          </w:tcPr>
          <w:p>
            <w:pPr>
              <w:spacing w:after="0"/>
              <w:rPr>
                <w:sz w:val="15"/>
                <w:szCs w:val="15"/>
                <w:color w:val="auto"/>
              </w:rPr>
            </w:pPr>
          </w:p>
        </w:tc>
        <w:tc>
          <w:tcPr>
            <w:tcW w:w="300" w:type="dxa"/>
            <w:vAlign w:val="bottom"/>
            <w:tcBorders>
              <w:top w:val="single" w:sz="8" w:color="CCEEFF"/>
            </w:tcBorders>
          </w:tcPr>
          <w:p>
            <w:pPr>
              <w:spacing w:after="0"/>
              <w:rPr>
                <w:sz w:val="15"/>
                <w:szCs w:val="15"/>
                <w:color w:val="auto"/>
              </w:rPr>
            </w:pPr>
          </w:p>
        </w:tc>
        <w:tc>
          <w:tcPr>
            <w:tcW w:w="9120" w:type="dxa"/>
            <w:vAlign w:val="bottom"/>
            <w:tcBorders>
              <w:top w:val="single" w:sz="8" w:color="0000EE"/>
            </w:tcBorders>
            <w:gridSpan w:val="6"/>
          </w:tcPr>
          <w:p>
            <w:pPr>
              <w:spacing w:after="0" w:line="176" w:lineRule="exact"/>
              <w:rPr>
                <w:sz w:val="20"/>
                <w:szCs w:val="20"/>
                <w:color w:val="auto"/>
              </w:rPr>
            </w:pPr>
            <w:r>
              <w:rPr>
                <w:rFonts w:ascii="Times New Roman" w:cs="Times New Roman" w:eastAsia="Times New Roman" w:hAnsi="Times New Roman"/>
                <w:sz w:val="18"/>
                <w:szCs w:val="18"/>
                <w:color w:val="0000EE"/>
              </w:rPr>
              <w:t>Press Release issued by Pulse Biosciences, Inc. dated May 14, 2024</w:t>
            </w:r>
          </w:p>
        </w:tc>
        <w:tc>
          <w:tcPr>
            <w:tcW w:w="740" w:type="dxa"/>
            <w:vAlign w:val="bottom"/>
            <w:tcBorders>
              <w:top w:val="single" w:sz="8" w:color="CCEEFF"/>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900" w:type="dxa"/>
            <w:vAlign w:val="bottom"/>
            <w:tcBorders>
              <w:top w:val="single" w:sz="8" w:color="0000EE"/>
            </w:tcBorders>
          </w:tcPr>
          <w:p>
            <w:pPr>
              <w:spacing w:after="0" w:line="20" w:lineRule="exact"/>
              <w:rPr>
                <w:sz w:val="1"/>
                <w:szCs w:val="1"/>
                <w:color w:val="auto"/>
              </w:rPr>
            </w:pPr>
          </w:p>
        </w:tc>
        <w:tc>
          <w:tcPr>
            <w:tcW w:w="880" w:type="dxa"/>
            <w:vAlign w:val="bottom"/>
            <w:tcBorders>
              <w:top w:val="single" w:sz="8" w:color="0000EE"/>
            </w:tcBorders>
          </w:tcPr>
          <w:p>
            <w:pPr>
              <w:spacing w:after="0" w:line="20" w:lineRule="exact"/>
              <w:rPr>
                <w:sz w:val="1"/>
                <w:szCs w:val="1"/>
                <w:color w:val="auto"/>
              </w:rPr>
            </w:pPr>
          </w:p>
        </w:tc>
        <w:tc>
          <w:tcPr>
            <w:tcW w:w="2460" w:type="dxa"/>
            <w:vAlign w:val="bottom"/>
            <w:tcBorders>
              <w:top w:val="single" w:sz="8" w:color="0000EE"/>
            </w:tcBorders>
          </w:tcPr>
          <w:p>
            <w:pPr>
              <w:spacing w:after="0" w:line="20" w:lineRule="exact"/>
              <w:rPr>
                <w:sz w:val="1"/>
                <w:szCs w:val="1"/>
                <w:color w:val="auto"/>
              </w:rPr>
            </w:pPr>
          </w:p>
        </w:tc>
        <w:tc>
          <w:tcPr>
            <w:tcW w:w="660" w:type="dxa"/>
            <w:vAlign w:val="bottom"/>
            <w:tcBorders>
              <w:top w:val="single" w:sz="8" w:color="0000EE"/>
            </w:tcBorders>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104</w:t>
            </w:r>
          </w:p>
        </w:tc>
        <w:tc>
          <w:tcPr>
            <w:tcW w:w="6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60" w:type="dxa"/>
            <w:vAlign w:val="bottom"/>
            <w:gridSpan w:val="8"/>
            <w:shd w:val="clear" w:color="auto" w:fill="CCEEFF"/>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c>
          <w:tcPr>
            <w:tcW w:w="0" w:type="dxa"/>
            <w:vAlign w:val="bottom"/>
          </w:tcPr>
          <w:p>
            <w:pPr>
              <w:spacing w:after="0"/>
              <w:rPr>
                <w:sz w:val="1"/>
                <w:szCs w:val="1"/>
                <w:color w:val="auto"/>
              </w:rPr>
            </w:pPr>
          </w:p>
        </w:tc>
      </w:tr>
      <w:tr>
        <w:trPr>
          <w:trHeight w:val="574"/>
        </w:trPr>
        <w:tc>
          <w:tcPr>
            <w:tcW w:w="5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6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3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80" w:right="33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260" w:type="dxa"/>
            <w:vAlign w:val="bottom"/>
          </w:tcPr>
          <w:p>
            <w:pPr>
              <w:spacing w:after="0"/>
              <w:rPr>
                <w:sz w:val="20"/>
                <w:szCs w:val="20"/>
                <w:color w:val="auto"/>
              </w:rPr>
            </w:pP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r>
      <w:tr>
        <w:trPr>
          <w:trHeight w:val="648"/>
        </w:trPr>
        <w:tc>
          <w:tcPr>
            <w:tcW w:w="3260" w:type="dxa"/>
            <w:vAlign w:val="bottom"/>
          </w:tcPr>
          <w:p>
            <w:pPr>
              <w:spacing w:after="0"/>
              <w:rPr>
                <w:sz w:val="20"/>
                <w:szCs w:val="20"/>
                <w:color w:val="auto"/>
              </w:rPr>
            </w:pPr>
            <w:r>
              <w:rPr>
                <w:rFonts w:ascii="Times New Roman" w:cs="Times New Roman" w:eastAsia="Times New Roman" w:hAnsi="Times New Roman"/>
                <w:sz w:val="18"/>
                <w:szCs w:val="18"/>
                <w:color w:val="auto"/>
              </w:rPr>
              <w:t>Date: May 15, 2024</w:t>
            </w:r>
          </w:p>
        </w:tc>
        <w:tc>
          <w:tcPr>
            <w:tcW w:w="7420" w:type="dxa"/>
            <w:vAlign w:val="bottom"/>
            <w:gridSpan w:val="2"/>
          </w:tcPr>
          <w:p>
            <w:pPr>
              <w:ind w:left="1820"/>
              <w:spacing w:after="0"/>
              <w:rPr>
                <w:sz w:val="20"/>
                <w:szCs w:val="20"/>
                <w:color w:val="auto"/>
              </w:rPr>
            </w:pPr>
            <w:r>
              <w:rPr>
                <w:rFonts w:ascii="Times New Roman" w:cs="Times New Roman" w:eastAsia="Times New Roman" w:hAnsi="Times New Roman"/>
                <w:sz w:val="18"/>
                <w:szCs w:val="18"/>
                <w:color w:val="auto"/>
              </w:rPr>
              <w:t>By:    /s/ Burke T. Barrett</w:t>
            </w:r>
          </w:p>
        </w:tc>
      </w:tr>
      <w:tr>
        <w:trPr>
          <w:trHeight w:val="191"/>
        </w:trPr>
        <w:tc>
          <w:tcPr>
            <w:tcW w:w="3260" w:type="dxa"/>
            <w:vAlign w:val="bottom"/>
          </w:tcPr>
          <w:p>
            <w:pPr>
              <w:spacing w:after="0"/>
              <w:rPr>
                <w:sz w:val="16"/>
                <w:szCs w:val="16"/>
                <w:color w:val="auto"/>
              </w:rPr>
            </w:pPr>
          </w:p>
        </w:tc>
        <w:tc>
          <w:tcPr>
            <w:tcW w:w="2380" w:type="dxa"/>
            <w:vAlign w:val="bottom"/>
          </w:tcPr>
          <w:p>
            <w:pPr>
              <w:spacing w:after="0"/>
              <w:rPr>
                <w:sz w:val="16"/>
                <w:szCs w:val="16"/>
                <w:color w:val="auto"/>
              </w:rPr>
            </w:pPr>
          </w:p>
        </w:tc>
        <w:tc>
          <w:tcPr>
            <w:tcW w:w="504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Burke T. Barrett</w:t>
            </w:r>
          </w:p>
        </w:tc>
      </w:tr>
      <w:tr>
        <w:trPr>
          <w:trHeight w:val="214"/>
        </w:trPr>
        <w:tc>
          <w:tcPr>
            <w:tcW w:w="3260" w:type="dxa"/>
            <w:vAlign w:val="bottom"/>
          </w:tcPr>
          <w:p>
            <w:pPr>
              <w:spacing w:after="0"/>
              <w:rPr>
                <w:sz w:val="18"/>
                <w:szCs w:val="18"/>
                <w:color w:val="auto"/>
              </w:rPr>
            </w:pPr>
          </w:p>
        </w:tc>
        <w:tc>
          <w:tcPr>
            <w:tcW w:w="238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36"/>
        </w:trPr>
        <w:tc>
          <w:tcPr>
            <w:tcW w:w="3260" w:type="dxa"/>
            <w:vAlign w:val="bottom"/>
          </w:tcPr>
          <w:p>
            <w:pPr>
              <w:spacing w:after="0"/>
              <w:rPr>
                <w:sz w:val="20"/>
                <w:szCs w:val="20"/>
                <w:color w:val="auto"/>
              </w:rPr>
            </w:pPr>
          </w:p>
        </w:tc>
        <w:tc>
          <w:tcPr>
            <w:tcW w:w="2380" w:type="dxa"/>
            <w:vAlign w:val="bottom"/>
          </w:tcPr>
          <w:p>
            <w:pPr>
              <w:spacing w:after="0"/>
              <w:rPr>
                <w:sz w:val="20"/>
                <w:szCs w:val="20"/>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and Principal Financial Officer)</w:t>
            </w:r>
          </w:p>
        </w:tc>
      </w:tr>
    </w:tbl>
    <w:p>
      <w:pPr>
        <w:sectPr>
          <w:pgSz w:w="11900" w:h="16838" w:orient="portrait"/>
          <w:cols w:equalWidth="0" w:num="1">
            <w:col w:w="11240"/>
          </w:cols>
          <w:pgMar w:left="320" w:top="576" w:right="339" w:bottom="1440" w:gutter="0" w:footer="0" w:header="0"/>
        </w:sectPr>
      </w:pPr>
    </w:p>
    <w:bookmarkStart w:id="5" w:name="page6"/>
    <w:bookmarkEnd w:id="5"/>
    <w:p>
      <w:pPr>
        <w:ind w:left="10320"/>
        <w:spacing w:after="0"/>
        <w:rPr>
          <w:sz w:val="20"/>
          <w:szCs w:val="20"/>
          <w:color w:val="auto"/>
        </w:rPr>
      </w:pPr>
      <w:r>
        <w:rPr>
          <w:rFonts w:ascii="Times New Roman" w:cs="Times New Roman" w:eastAsia="Times New Roman" w:hAnsi="Times New Roman"/>
          <w:sz w:val="17"/>
          <w:szCs w:val="17"/>
          <w:b w:val="1"/>
          <w:bCs w:val="1"/>
          <w:color w:val="auto"/>
        </w:rPr>
        <w:t>Exhibit 10.1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EMPLOYMENT AGREEMENT</w:t>
      </w:r>
    </w:p>
    <w:p>
      <w:pPr>
        <w:spacing w:after="0" w:line="203" w:lineRule="exact"/>
        <w:rPr>
          <w:sz w:val="20"/>
          <w:szCs w:val="20"/>
          <w:color w:val="auto"/>
        </w:rPr>
      </w:pPr>
    </w:p>
    <w:p>
      <w:pPr>
        <w:jc w:val="both"/>
        <w:ind w:firstLine="648"/>
        <w:spacing w:after="0" w:line="268" w:lineRule="auto"/>
        <w:rPr>
          <w:sz w:val="20"/>
          <w:szCs w:val="20"/>
          <w:color w:val="auto"/>
        </w:rPr>
      </w:pPr>
      <w:r>
        <w:rPr>
          <w:rFonts w:ascii="Times New Roman" w:cs="Times New Roman" w:eastAsia="Times New Roman" w:hAnsi="Times New Roman"/>
          <w:sz w:val="18"/>
          <w:szCs w:val="18"/>
          <w:color w:val="auto"/>
        </w:rPr>
        <w:t>This Employment Agreement (the “</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xml:space="preserve">”) is made and entered into by and between </w:t>
      </w:r>
      <w:r>
        <w:rPr>
          <w:rFonts w:ascii="Times New Roman" w:cs="Times New Roman" w:eastAsia="Times New Roman" w:hAnsi="Times New Roman"/>
          <w:sz w:val="18"/>
          <w:szCs w:val="18"/>
          <w:b w:val="1"/>
          <w:bCs w:val="1"/>
          <w:color w:val="auto"/>
        </w:rPr>
        <w:t>Burke T. Barrett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Pulse Biosciences,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as of May 12, 2024. Certain capitalized terms used herein shall have the meanings assigned to them in Section 10 of this Agreement.</w:t>
      </w:r>
    </w:p>
    <w:p>
      <w:pPr>
        <w:spacing w:after="0" w:line="175" w:lineRule="exact"/>
        <w:rPr>
          <w:sz w:val="20"/>
          <w:szCs w:val="20"/>
          <w:color w:val="auto"/>
        </w:rPr>
      </w:pPr>
    </w:p>
    <w:p>
      <w:pPr>
        <w:ind w:left="1020" w:hanging="364"/>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Duties and Scope of Employment.</w:t>
      </w:r>
    </w:p>
    <w:p>
      <w:pPr>
        <w:spacing w:after="0" w:line="221" w:lineRule="exact"/>
        <w:rPr>
          <w:rFonts w:ascii="Times New Roman" w:cs="Times New Roman" w:eastAsia="Times New Roman" w:hAnsi="Times New Roman"/>
          <w:sz w:val="18"/>
          <w:szCs w:val="18"/>
          <w:color w:val="auto"/>
        </w:rPr>
      </w:pPr>
    </w:p>
    <w:p>
      <w:pPr>
        <w:jc w:val="both"/>
        <w:ind w:firstLine="1304"/>
        <w:spacing w:after="0" w:line="254" w:lineRule="auto"/>
        <w:tabs>
          <w:tab w:leader="none" w:pos="1734"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Position and Duties</w:t>
      </w:r>
      <w:r>
        <w:rPr>
          <w:rFonts w:ascii="Times New Roman" w:cs="Times New Roman" w:eastAsia="Times New Roman" w:hAnsi="Times New Roman"/>
          <w:sz w:val="18"/>
          <w:szCs w:val="18"/>
          <w:color w:val="auto"/>
        </w:rPr>
        <w:t>. As of May 12, 2024 (the “</w:t>
      </w:r>
      <w:r>
        <w:rPr>
          <w:rFonts w:ascii="Times New Roman" w:cs="Times New Roman" w:eastAsia="Times New Roman" w:hAnsi="Times New Roman"/>
          <w:sz w:val="18"/>
          <w:szCs w:val="18"/>
          <w:b w:val="1"/>
          <w:bCs w:val="1"/>
          <w:color w:val="auto"/>
        </w:rPr>
        <w:t>Start Date</w:t>
      </w:r>
      <w:r>
        <w:rPr>
          <w:rFonts w:ascii="Times New Roman" w:cs="Times New Roman" w:eastAsia="Times New Roman" w:hAnsi="Times New Roman"/>
          <w:sz w:val="18"/>
          <w:szCs w:val="18"/>
          <w:color w:val="auto"/>
        </w:rPr>
        <w:t>”), Executive will serve as the Company’s President and Chief Executive Officer. Executive will render such business and professional services in the performance of Executive’s duties, consistent with Executive’s positions within the Company. At or promptly following the Start Date, Executive will be appointed to the Company’s Board of Directors (the “</w:t>
      </w:r>
      <w:r>
        <w:rPr>
          <w:rFonts w:ascii="Times New Roman" w:cs="Times New Roman" w:eastAsia="Times New Roman" w:hAnsi="Times New Roman"/>
          <w:sz w:val="18"/>
          <w:szCs w:val="18"/>
          <w:b w:val="1"/>
          <w:bCs w:val="1"/>
          <w:color w:val="auto"/>
        </w:rPr>
        <w:t>Board</w:t>
      </w:r>
      <w:r>
        <w:rPr>
          <w:rFonts w:ascii="Times New Roman" w:cs="Times New Roman" w:eastAsia="Times New Roman" w:hAnsi="Times New Roman"/>
          <w:sz w:val="18"/>
          <w:szCs w:val="18"/>
          <w:color w:val="auto"/>
        </w:rPr>
        <w:t>”). Following the Company’s 2024 Annual Stockholder Meeting, so long as Executive serves as the Company’s President and Chief Executive Officer, the Company agrees to use reasonable efforts to cause Executive to be nominated to the Board at each annual or special meeting of Company stockholders at which the general election of directors of the Company is to take place. Executive also will serve the Company in such other or alternative positions as may reasonably be assigned to Executive by the Company’s Board, which positions may include director and additional or other officer positions of the Company and subsidiaries of the Company. The period of Executive’s rendering of employment services under this Agreement is referred to herein as the “</w:t>
      </w:r>
      <w:r>
        <w:rPr>
          <w:rFonts w:ascii="Times New Roman" w:cs="Times New Roman" w:eastAsia="Times New Roman" w:hAnsi="Times New Roman"/>
          <w:sz w:val="18"/>
          <w:szCs w:val="18"/>
          <w:b w:val="1"/>
          <w:bCs w:val="1"/>
          <w:color w:val="auto"/>
        </w:rPr>
        <w:t>Employment Term</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25"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w:t>
      </w:r>
      <w:r>
        <w:rPr>
          <w:rFonts w:ascii="Times New Roman" w:cs="Times New Roman" w:eastAsia="Times New Roman" w:hAnsi="Times New Roman"/>
          <w:sz w:val="18"/>
          <w:szCs w:val="18"/>
          <w:color w:val="auto"/>
        </w:rPr>
        <w:t>. During the Employment Term, Executive will perform Executive’s duties faithfully and to the best of Executive’s ability and will devote Executive’s full business efforts and time to the Company. For the duration of the Employment Term, Executive agrees not to actively engage in any other employment, occupation or consulting activity for any direct or indirect remuneration without the prior approval of the Board, such approval not to be unreasonably withheld.</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Automatic Resignation</w:t>
      </w:r>
      <w:r>
        <w:rPr>
          <w:rFonts w:ascii="Times New Roman" w:cs="Times New Roman" w:eastAsia="Times New Roman" w:hAnsi="Times New Roman"/>
          <w:sz w:val="18"/>
          <w:szCs w:val="18"/>
          <w:color w:val="auto"/>
        </w:rPr>
        <w:t>. At the end of the Employment Term, including upon any termination of employment for any reason, such ending or termination will be deemed to be an automatic resignation from all director and officer positions of the Company and any of its subsidiaries, unless the continuation of such appointments is specifically approved by a resolution of the Board of the respective corporation or its shareholders.</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8"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At-Will Employment</w:t>
      </w:r>
      <w:r>
        <w:rPr>
          <w:rFonts w:ascii="Times New Roman" w:cs="Times New Roman" w:eastAsia="Times New Roman" w:hAnsi="Times New Roman"/>
          <w:sz w:val="18"/>
          <w:szCs w:val="18"/>
          <w:color w:val="auto"/>
        </w:rPr>
        <w:t>. The parties agree that Executive’s employment with the Company will be “at-will” employment and may be terminated at any time with or without cause or notice. Executive understands and agrees that neither Executive’s job performance nor promotions, commendations, bonuses or the like from the Company give rise to or in any way serve as the basis for modification, amendment, or extension, by implication or otherwise, of Executive’s employment with the Company. However, as described in this Agreement, Executive may be entitled to severance benefits depending on the circumstances of Executive’s termination of employment with the Company.</w:t>
      </w:r>
    </w:p>
    <w:p>
      <w:pPr>
        <w:spacing w:after="0" w:line="183"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Compensation</w:t>
      </w:r>
      <w:r>
        <w:rPr>
          <w:rFonts w:ascii="Times New Roman" w:cs="Times New Roman" w:eastAsia="Times New Roman" w:hAnsi="Times New Roman"/>
          <w:sz w:val="18"/>
          <w:szCs w:val="18"/>
          <w:color w:val="auto"/>
        </w:rPr>
        <w:t>.</w:t>
      </w:r>
    </w:p>
    <w:p>
      <w:pPr>
        <w:spacing w:after="0" w:line="221" w:lineRule="exact"/>
        <w:rPr>
          <w:rFonts w:ascii="Times New Roman" w:cs="Times New Roman" w:eastAsia="Times New Roman" w:hAnsi="Times New Roman"/>
          <w:sz w:val="18"/>
          <w:szCs w:val="18"/>
          <w:color w:val="auto"/>
        </w:rPr>
      </w:pPr>
    </w:p>
    <w:p>
      <w:pPr>
        <w:jc w:val="both"/>
        <w:ind w:firstLine="1304"/>
        <w:spacing w:after="0" w:line="262" w:lineRule="auto"/>
        <w:tabs>
          <w:tab w:leader="none" w:pos="195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Base Salary</w:t>
      </w:r>
      <w:r>
        <w:rPr>
          <w:rFonts w:ascii="Times New Roman" w:cs="Times New Roman" w:eastAsia="Times New Roman" w:hAnsi="Times New Roman"/>
          <w:sz w:val="18"/>
          <w:szCs w:val="18"/>
          <w:color w:val="auto"/>
        </w:rPr>
        <w:t xml:space="preserve">. During the Employment Term, the Company will pay Executive an annual base salary of </w:t>
      </w:r>
      <w:r>
        <w:rPr>
          <w:rFonts w:ascii="Times New Roman" w:cs="Times New Roman" w:eastAsia="Times New Roman" w:hAnsi="Times New Roman"/>
          <w:sz w:val="18"/>
          <w:szCs w:val="18"/>
          <w:b w:val="1"/>
          <w:bCs w:val="1"/>
          <w:color w:val="auto"/>
        </w:rPr>
        <w:t>$525,000.00</w:t>
      </w:r>
      <w:r>
        <w:rPr>
          <w:rFonts w:ascii="Times New Roman" w:cs="Times New Roman" w:eastAsia="Times New Roman" w:hAnsi="Times New Roman"/>
          <w:sz w:val="18"/>
          <w:szCs w:val="18"/>
          <w:color w:val="auto"/>
        </w:rPr>
        <w:t xml:space="preserve"> as compensation for Executive’s services (the “</w:t>
      </w:r>
      <w:r>
        <w:rPr>
          <w:rFonts w:ascii="Times New Roman" w:cs="Times New Roman" w:eastAsia="Times New Roman" w:hAnsi="Times New Roman"/>
          <w:sz w:val="18"/>
          <w:szCs w:val="18"/>
          <w:b w:val="1"/>
          <w:bCs w:val="1"/>
          <w:color w:val="auto"/>
        </w:rPr>
        <w:t>Base Salary</w:t>
      </w:r>
      <w:r>
        <w:rPr>
          <w:rFonts w:ascii="Times New Roman" w:cs="Times New Roman" w:eastAsia="Times New Roman" w:hAnsi="Times New Roman"/>
          <w:sz w:val="18"/>
          <w:szCs w:val="18"/>
          <w:color w:val="auto"/>
        </w:rPr>
        <w:t>”). The Base Salary will be paid periodically (but not less frequently than semi-monthly) in accordance with the Company’s normal payroll practices and be subject to the usual required withholdings. Executive’s salary will be subject to review and adjustments will be made based upon the Company’s normal performance review practices.</w:t>
      </w:r>
    </w:p>
    <w:p>
      <w:pPr>
        <w:spacing w:after="0" w:line="17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852"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Annual Bonus</w:t>
      </w:r>
      <w:r>
        <w:rPr>
          <w:rFonts w:ascii="Times New Roman" w:cs="Times New Roman" w:eastAsia="Times New Roman" w:hAnsi="Times New Roman"/>
          <w:sz w:val="18"/>
          <w:szCs w:val="18"/>
          <w:color w:val="auto"/>
        </w:rPr>
        <w:t xml:space="preserve">. Executive will be eligible to receive an annual bonus of up to </w:t>
      </w:r>
      <w:r>
        <w:rPr>
          <w:rFonts w:ascii="Times New Roman" w:cs="Times New Roman" w:eastAsia="Times New Roman" w:hAnsi="Times New Roman"/>
          <w:sz w:val="18"/>
          <w:szCs w:val="18"/>
          <w:b w:val="1"/>
          <w:bCs w:val="1"/>
          <w:color w:val="auto"/>
        </w:rPr>
        <w:t>70%</w:t>
      </w:r>
      <w:r>
        <w:rPr>
          <w:rFonts w:ascii="Times New Roman" w:cs="Times New Roman" w:eastAsia="Times New Roman" w:hAnsi="Times New Roman"/>
          <w:sz w:val="18"/>
          <w:szCs w:val="18"/>
          <w:color w:val="auto"/>
        </w:rPr>
        <w:t xml:space="preserve"> of Executive’s Base Salary (the “</w:t>
      </w:r>
      <w:r>
        <w:rPr>
          <w:rFonts w:ascii="Times New Roman" w:cs="Times New Roman" w:eastAsia="Times New Roman" w:hAnsi="Times New Roman"/>
          <w:sz w:val="18"/>
          <w:szCs w:val="18"/>
          <w:b w:val="1"/>
          <w:bCs w:val="1"/>
          <w:color w:val="auto"/>
        </w:rPr>
        <w:t>Target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Bonus</w:t>
      </w:r>
      <w:r>
        <w:rPr>
          <w:rFonts w:ascii="Times New Roman" w:cs="Times New Roman" w:eastAsia="Times New Roman" w:hAnsi="Times New Roman"/>
          <w:sz w:val="18"/>
          <w:szCs w:val="18"/>
          <w:color w:val="auto"/>
        </w:rPr>
        <w:t>”), less applicable withholdings, prorated for the year of hire, upon the attainment of annual designated corporate goals and milestones, in each case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set and measured in the good faith discretion of the Board at a time consistent with the other executives of the Company;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Executive’s Target Bonus goals and milestones for 2024 will be set by the Board in good faith within thirty (30) days following the Start Date. Executive’s eligibility, and the terms and conditions, for the Target Bonus will be documented and issued to Executive if and when approved by the Board. If awarded, the Target Bonus will be paid prior to the later of (i) the fifteenth (15th) day of the third (3rd) month following the close of the Company’s fiscal year in which the Target Bonus is earned or (ii) March 15 following the calendar year in which the Target Bonus is earned, provided that the Employment Term extends through the date of payment.</w:t>
      </w:r>
    </w:p>
    <w:p>
      <w:pPr>
        <w:spacing w:after="0" w:line="184"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47"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Start Date Option</w:t>
      </w:r>
      <w:r>
        <w:rPr>
          <w:rFonts w:ascii="Times New Roman" w:cs="Times New Roman" w:eastAsia="Times New Roman" w:hAnsi="Times New Roman"/>
          <w:sz w:val="18"/>
          <w:szCs w:val="18"/>
          <w:color w:val="auto"/>
        </w:rPr>
        <w:t>. Subject to the approval of the Board, Executive will be granted an option (the “</w:t>
      </w:r>
      <w:r>
        <w:rPr>
          <w:rFonts w:ascii="Times New Roman" w:cs="Times New Roman" w:eastAsia="Times New Roman" w:hAnsi="Times New Roman"/>
          <w:sz w:val="18"/>
          <w:szCs w:val="18"/>
          <w:b w:val="1"/>
          <w:bCs w:val="1"/>
          <w:color w:val="auto"/>
        </w:rPr>
        <w:t>Start Date Option</w:t>
      </w:r>
      <w:r>
        <w:rPr>
          <w:rFonts w:ascii="Times New Roman" w:cs="Times New Roman" w:eastAsia="Times New Roman" w:hAnsi="Times New Roman"/>
          <w:sz w:val="18"/>
          <w:szCs w:val="18"/>
          <w:color w:val="auto"/>
        </w:rPr>
        <w:t>”) under the 2017 Inducement Equity Incentive Plan, as amended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xml:space="preserve">”), to acquire </w:t>
      </w:r>
      <w:r>
        <w:rPr>
          <w:rFonts w:ascii="Times New Roman" w:cs="Times New Roman" w:eastAsia="Times New Roman" w:hAnsi="Times New Roman"/>
          <w:sz w:val="18"/>
          <w:szCs w:val="18"/>
          <w:b w:val="1"/>
          <w:bCs w:val="1"/>
          <w:color w:val="auto"/>
        </w:rPr>
        <w:t>1,400,000</w:t>
      </w:r>
      <w:r>
        <w:rPr>
          <w:rFonts w:ascii="Times New Roman" w:cs="Times New Roman" w:eastAsia="Times New Roman" w:hAnsi="Times New Roman"/>
          <w:sz w:val="18"/>
          <w:szCs w:val="18"/>
          <w:color w:val="auto"/>
        </w:rPr>
        <w:t xml:space="preserve"> shares of common stock of the Company. The Start Date Option will have an exercise price per share equal to the closing price of a share of the Company’s common stock on the Start Date. Subject to certain accelerated vesting provisions as described herein, (i) up to 50% of the option shares subject to the Start Date Option (equal to 700,000 option shares) will vest over four years as follows: 25% (equal to 175,000 option shares) will vest on the first anniversary of the Start Date and the remaining 525,000 option shares will vest in equal amounts on an annual basis over the three-year period starting with the first anniversary of the Start Date; and (ii) up to 50% of the option shares subject to the Start Date Option (equal to 700,000 option shares) will vest based upon the achievement of the following performance objectives:</w:t>
      </w:r>
    </w:p>
    <w:p>
      <w:pPr>
        <w:spacing w:after="0" w:line="186"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50% (equal to 140,000 shares) will vest when the Company has had a market capitalization of not less than one billion dollars ($1.0B) for 270 consecutive days;</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50% (equal to 140,000 shares) will vest when the Company has had a market capitalization of not less than one billion five hundred million dollars ($1.5B) for 270 consecutive days;</w:t>
      </w:r>
    </w:p>
    <w:p>
      <w:pPr>
        <w:spacing w:after="0" w:line="161" w:lineRule="exact"/>
        <w:rPr>
          <w:rFonts w:ascii="Times New Roman" w:cs="Times New Roman" w:eastAsia="Times New Roman" w:hAnsi="Times New Roman"/>
          <w:sz w:val="18"/>
          <w:szCs w:val="18"/>
          <w:color w:val="auto"/>
        </w:rPr>
      </w:pPr>
    </w:p>
    <w:p>
      <w:pPr>
        <w:ind w:left="1960" w:right="20" w:hanging="332"/>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50% (equal to 140,000 shares) will vest when the Company has had a market capitalization of not less than two billion two hundred fifty million dollars ($2.25B) for 270 consecutive days;</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50% (equal to 140,000 shares) will vest when the Company has had a market capitalization of not less than three billion dollars ($3.0B) for 270 consecutive days; and</w:t>
      </w:r>
    </w:p>
    <w:p>
      <w:pPr>
        <w:spacing w:after="0" w:line="161" w:lineRule="exact"/>
        <w:rPr>
          <w:rFonts w:ascii="Times New Roman" w:cs="Times New Roman" w:eastAsia="Times New Roman" w:hAnsi="Times New Roman"/>
          <w:sz w:val="18"/>
          <w:szCs w:val="18"/>
          <w:color w:val="auto"/>
        </w:rPr>
      </w:pPr>
    </w:p>
    <w:p>
      <w:pPr>
        <w:ind w:left="1960" w:hanging="332"/>
        <w:spacing w:after="0" w:line="282" w:lineRule="auto"/>
        <w:tabs>
          <w:tab w:leader="none" w:pos="196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of the 50% (equal to 140,000 shares) will vest when the Company has had a market capitalization of not less than four billion dollars ($4.0B) for 270 consecutive days.</w:t>
      </w:r>
    </w:p>
    <w:p>
      <w:pPr>
        <w:sectPr>
          <w:pgSz w:w="11900" w:h="16838" w:orient="portrait"/>
          <w:cols w:equalWidth="0" w:num="1">
            <w:col w:w="11240"/>
          </w:cols>
          <w:pgMar w:left="320" w:top="117" w:right="339" w:bottom="114" w:gutter="0" w:footer="0" w:header="0"/>
        </w:sectPr>
      </w:pPr>
    </w:p>
    <w:bookmarkStart w:id="6" w:name="page7"/>
    <w:bookmarkEnd w:id="6"/>
    <w:p>
      <w:pPr>
        <w:jc w:val="both"/>
        <w:spacing w:after="0" w:line="266" w:lineRule="auto"/>
        <w:rPr>
          <w:sz w:val="20"/>
          <w:szCs w:val="20"/>
          <w:color w:val="auto"/>
        </w:rPr>
      </w:pPr>
      <w:r>
        <w:rPr>
          <w:rFonts w:ascii="Times New Roman" w:cs="Times New Roman" w:eastAsia="Times New Roman" w:hAnsi="Times New Roman"/>
          <w:sz w:val="18"/>
          <w:szCs w:val="18"/>
          <w:color w:val="auto"/>
        </w:rPr>
        <w:t>All vesting of the Start Date Option is subject to the Executive continuing to be a Service Provider (as defined in the Plan) through each applicable vesting date (including any applicable vesting target achievement determination date). The Start Date Option, including vesting provisions, will be subject to the terms of the Plan and a stock option agreement thereunder.</w:t>
      </w:r>
    </w:p>
    <w:p>
      <w:pPr>
        <w:spacing w:after="0" w:line="176" w:lineRule="exact"/>
        <w:rPr>
          <w:sz w:val="20"/>
          <w:szCs w:val="20"/>
          <w:color w:val="auto"/>
        </w:rPr>
      </w:pPr>
    </w:p>
    <w:p>
      <w:pPr>
        <w:jc w:val="both"/>
        <w:ind w:firstLine="656"/>
        <w:spacing w:after="0" w:line="266" w:lineRule="auto"/>
        <w:tabs>
          <w:tab w:leader="none" w:pos="1116"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Employee Benefits</w:t>
      </w:r>
      <w:r>
        <w:rPr>
          <w:rFonts w:ascii="Times New Roman" w:cs="Times New Roman" w:eastAsia="Times New Roman" w:hAnsi="Times New Roman"/>
          <w:sz w:val="18"/>
          <w:szCs w:val="18"/>
          <w:color w:val="auto"/>
        </w:rPr>
        <w:t>. During the Employment Term, Executive will be entitled to participate in the employee benefit plans currently and hereafter maintained by the Company of general applicability to other senior executives of the Company, subject to the eligibility requirements of such plans. The Company reserves the right to cancel or change the benefit plans and programs it offers to its employees at any time.</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0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Paid-Time Off “PTO”</w:t>
      </w:r>
      <w:r>
        <w:rPr>
          <w:rFonts w:ascii="Times New Roman" w:cs="Times New Roman" w:eastAsia="Times New Roman" w:hAnsi="Times New Roman"/>
          <w:sz w:val="18"/>
          <w:szCs w:val="18"/>
          <w:color w:val="auto"/>
        </w:rPr>
        <w:t>. During the Employment Term, Executive will be entitled to accrue PTO of not less than three (3) weeks per year, subject to reasonable accrual caps in accordance with the Company’s PTO policy for senior executive officers, with the timing and duration of specific PTO mutually and reasonably agreed to by the parties hereto.</w:t>
      </w:r>
    </w:p>
    <w:p>
      <w:pPr>
        <w:spacing w:after="0" w:line="175" w:lineRule="exact"/>
        <w:rPr>
          <w:rFonts w:ascii="Times New Roman" w:cs="Times New Roman" w:eastAsia="Times New Roman" w:hAnsi="Times New Roman"/>
          <w:sz w:val="18"/>
          <w:szCs w:val="18"/>
          <w:color w:val="auto"/>
        </w:rPr>
      </w:pPr>
    </w:p>
    <w:p>
      <w:pPr>
        <w:jc w:val="both"/>
        <w:ind w:firstLine="656"/>
        <w:spacing w:after="0" w:line="256" w:lineRule="auto"/>
        <w:tabs>
          <w:tab w:leader="none" w:pos="107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Expenses</w:t>
      </w:r>
      <w:r>
        <w:rPr>
          <w:rFonts w:ascii="Times New Roman" w:cs="Times New Roman" w:eastAsia="Times New Roman" w:hAnsi="Times New Roman"/>
          <w:sz w:val="18"/>
          <w:szCs w:val="18"/>
          <w:color w:val="auto"/>
        </w:rPr>
        <w:t>. (a) The Company will reimburse Executive for reasonable travel, entertainment or other expenses incurred by Executive in the furtherance of or in connection with the performance of Executive’s duties hereunder within 30 days of Executive’s submission of an expense report documenting said expenses, in accordance with the Company’s expense reimbursement policy as in effect from time to time. (b) As a housing allowance, the Company will pay, or reimburse the Executive for, his reasonable pre-approved housing costs for up to three months in connection with his relocation to Miami. If the Executive terminates employment without Good Reason or is terminated by the Company for Cause before the one-year anniversary of his Start Date, the Executive will repay the Company the gross amount of any relocation expenses paid or reimbursed under this Section 6(b).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ind w:left="364" w:hanging="364"/>
        <w:spacing w:after="0"/>
        <w:tabs>
          <w:tab w:leader="none" w:pos="3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1159"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other than for Cause, Death or Disability; Resignation for Good Reason</w:t>
      </w:r>
      <w:r>
        <w:rPr>
          <w:rFonts w:ascii="Times New Roman" w:cs="Times New Roman" w:eastAsia="Times New Roman" w:hAnsi="Times New Roman"/>
          <w:sz w:val="18"/>
          <w:szCs w:val="18"/>
          <w:color w:val="auto"/>
        </w:rPr>
        <w:t>. During the Employment Term, if (i) the Company (or any parent or subsidiary or successor of the Company) terminates Executive’s employment for reasons other than Cause, death, or Disability, or (ii) Executive resigns from the Company (or any parent or subsidiary or successor of the Company) for Good Reason (each such termination, an “</w:t>
      </w:r>
      <w:r>
        <w:rPr>
          <w:rFonts w:ascii="Times New Roman" w:cs="Times New Roman" w:eastAsia="Times New Roman" w:hAnsi="Times New Roman"/>
          <w:sz w:val="18"/>
          <w:szCs w:val="18"/>
          <w:b w:val="1"/>
          <w:bCs w:val="1"/>
          <w:color w:val="auto"/>
        </w:rPr>
        <w:t>Involuntary Termination</w:t>
      </w:r>
      <w:r>
        <w:rPr>
          <w:rFonts w:ascii="Times New Roman" w:cs="Times New Roman" w:eastAsia="Times New Roman" w:hAnsi="Times New Roman"/>
          <w:sz w:val="18"/>
          <w:szCs w:val="18"/>
          <w:color w:val="auto"/>
        </w:rPr>
        <w:t>”), then, subject to the continued observance by Executive of Sections 8 (severance conditions), 11 (assignment), 12 (notices), 13 (confidential information agreement), 15 (litigation cooperation), and 17 (miscellaneous) below after the termination of the rendering of employment services, Executive will receive the following severance from the Company:</w:t>
      </w:r>
    </w:p>
    <w:p>
      <w:pPr>
        <w:spacing w:after="0" w:line="187" w:lineRule="exact"/>
        <w:rPr>
          <w:rFonts w:ascii="Times New Roman" w:cs="Times New Roman" w:eastAsia="Times New Roman" w:hAnsi="Times New Roman"/>
          <w:sz w:val="18"/>
          <w:szCs w:val="18"/>
          <w:color w:val="auto"/>
        </w:rPr>
      </w:pPr>
    </w:p>
    <w:p>
      <w:pPr>
        <w:jc w:val="both"/>
        <w:ind w:left="-656" w:firstLine="1952"/>
        <w:spacing w:after="0" w:line="256" w:lineRule="auto"/>
        <w:tabs>
          <w:tab w:leader="none" w:pos="1777"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xml:space="preserve"> Upon an Involuntary Termination, Executive will receive continuing payments of the Executive’s Base Salary (as in effect immediately prior to the Executive’s termination) as follows: (x) for twelve (12) months if Executive has been employed for an Employment Term hereunder of less than one (1) year from the Start Date, (y) for twelve (12) months if the Involuntary Termination occurs within the twelve (12) month period following a Change of Control, or (z) for three (3) months in the event of any other Involuntary Termination. The payment of any severance pursuant to this Section 7(a)(i) will be paid in accordance with the Company’s normal payroll practices and be subject to the usual required withholdings.</w:t>
      </w:r>
    </w:p>
    <w:p>
      <w:pPr>
        <w:spacing w:after="0" w:line="187" w:lineRule="exact"/>
        <w:rPr>
          <w:rFonts w:ascii="Times New Roman" w:cs="Times New Roman" w:eastAsia="Times New Roman" w:hAnsi="Times New Roman"/>
          <w:sz w:val="18"/>
          <w:szCs w:val="18"/>
          <w:color w:val="auto"/>
        </w:rPr>
      </w:pPr>
    </w:p>
    <w:p>
      <w:pPr>
        <w:jc w:val="both"/>
        <w:ind w:left="-656" w:firstLine="1952"/>
        <w:spacing w:after="0" w:line="258" w:lineRule="auto"/>
        <w:tabs>
          <w:tab w:leader="none" w:pos="1755"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Accelerated Vesting</w:t>
      </w:r>
      <w:r>
        <w:rPr>
          <w:rFonts w:ascii="Times New Roman" w:cs="Times New Roman" w:eastAsia="Times New Roman" w:hAnsi="Times New Roman"/>
          <w:sz w:val="18"/>
          <w:szCs w:val="18"/>
          <w:color w:val="auto"/>
        </w:rPr>
        <w:t>. If the Involuntary Termination occurs within the twelve (12) month period following a Change of Control, then (i) (x) if the Employment Term as of the date of such termination is less than one year from the Start Date, then 50% of the unvested portion of Executive’s then outstanding Equity Awards will immediately vest prior to Executive’s termination, and (y) if the Employment Term as of the date of such termination is one year or more from the Start Date, then 100% of the unvested portion of Executive’s then outstanding Equity Awards will immediately vest prior to Executive’s termination.</w:t>
      </w:r>
    </w:p>
    <w:p>
      <w:pPr>
        <w:spacing w:after="0" w:line="183" w:lineRule="exact"/>
        <w:rPr>
          <w:rFonts w:ascii="Times New Roman" w:cs="Times New Roman" w:eastAsia="Times New Roman" w:hAnsi="Times New Roman"/>
          <w:sz w:val="18"/>
          <w:szCs w:val="18"/>
          <w:color w:val="auto"/>
        </w:rPr>
      </w:pPr>
    </w:p>
    <w:p>
      <w:pPr>
        <w:jc w:val="both"/>
        <w:ind w:left="-656" w:firstLine="1952"/>
        <w:spacing w:after="0" w:line="252" w:lineRule="auto"/>
        <w:tabs>
          <w:tab w:leader="none" w:pos="1810" w:val="left"/>
        </w:tabs>
        <w:numPr>
          <w:ilvl w:val="2"/>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COBRA</w:t>
      </w:r>
      <w:r>
        <w:rPr>
          <w:rFonts w:ascii="Times New Roman" w:cs="Times New Roman" w:eastAsia="Times New Roman" w:hAnsi="Times New Roman"/>
          <w:sz w:val="18"/>
          <w:szCs w:val="18"/>
          <w:color w:val="auto"/>
        </w:rPr>
        <w:t>. If Executive elects continuation coverage pursuant to the Consolidated Omnibus Budget Reconciliation Act of 1985, as amended (“</w:t>
      </w:r>
      <w:r>
        <w:rPr>
          <w:rFonts w:ascii="Times New Roman" w:cs="Times New Roman" w:eastAsia="Times New Roman" w:hAnsi="Times New Roman"/>
          <w:sz w:val="18"/>
          <w:szCs w:val="18"/>
          <w:b w:val="1"/>
          <w:bCs w:val="1"/>
          <w:color w:val="auto"/>
        </w:rPr>
        <w:t>COBRA</w:t>
      </w:r>
      <w:r>
        <w:rPr>
          <w:rFonts w:ascii="Times New Roman" w:cs="Times New Roman" w:eastAsia="Times New Roman" w:hAnsi="Times New Roman"/>
          <w:sz w:val="18"/>
          <w:szCs w:val="18"/>
          <w:color w:val="auto"/>
        </w:rPr>
        <w:t>”) for Executive and Executive’s eligible dependents within the time period prescribed pursuant to COBRA, the Company will reimburse Executive for the monthly premiums under COBRA necessary to continue group health insurance benefits for Executive and Executive’s eligible dependents (at the coverage levels in effect immediately prior to Executive’s termination) until the earlier of (A) the date upon which Executive and/or Executive’s eligible dependents becomes covered under similar plans or (B) the date upon which Executive ceases to be eligible for coverage under COBRA (such reimbursements, the “</w:t>
      </w:r>
      <w:r>
        <w:rPr>
          <w:rFonts w:ascii="Times New Roman" w:cs="Times New Roman" w:eastAsia="Times New Roman" w:hAnsi="Times New Roman"/>
          <w:sz w:val="18"/>
          <w:szCs w:val="18"/>
          <w:b w:val="1"/>
          <w:bCs w:val="1"/>
          <w:color w:val="auto"/>
        </w:rPr>
        <w:t>COBRA Premiums</w:t>
      </w:r>
      <w:r>
        <w:rPr>
          <w:rFonts w:ascii="Times New Roman" w:cs="Times New Roman" w:eastAsia="Times New Roman" w:hAnsi="Times New Roman"/>
          <w:sz w:val="18"/>
          <w:szCs w:val="18"/>
          <w:color w:val="auto"/>
        </w:rPr>
        <w:t>”). However, if the Company determines in its sole discretion that it cannot pay the COBRA Premiums without potentially violating applicable law (including, without limitation, Section 2716 of the Public Health Service Act), the Company will in lieu thereof provide to Executive a taxable monthly payment payable on the last day of a given month (except as provided by the following sentence), in an amount equal to the monthly COBRA premium that Executive would be required to pay to continue Executive’s group health coverage in effect on the date of Executive’s termination of employment (which amount will be based on the premium for the first month of COBRA coverage), which payments will be made regardless of whether Executive elects COBRA continuation coverage and will commence on the month following Executive’s termination of employment and will end on the earlier of (x) the date upon which Executive obtains other employment or (y) the date upon which Executive ceases to be eligible for coverage under COBRA. For the avoidance of doubt, the taxable payments in lieu of COBRA Premiums may be used for any purpose, including, but not limited to continuation coverage under COBRA, and will be subject to all applicable tax withholdings. Notwithstanding anything to the contrary under this Agreement, if at any time the Company determines in its sole discretion that it cannot provide the payments contemplated by the preceding sentence without violating applicable law (including, without limitation, Section 2716 of the Public Health Service Act), Executive will not receive such payment or any further reimbursements for COBRA premiums. (Collectively, the Company’s COBRA obligations in this paragraph are referred to as the “COBRA Payments”).</w:t>
      </w:r>
    </w:p>
    <w:p>
      <w:pPr>
        <w:spacing w:after="0" w:line="191" w:lineRule="exact"/>
        <w:rPr>
          <w:rFonts w:ascii="Times New Roman" w:cs="Times New Roman" w:eastAsia="Times New Roman" w:hAnsi="Times New Roman"/>
          <w:sz w:val="18"/>
          <w:szCs w:val="18"/>
          <w:color w:val="auto"/>
        </w:rPr>
      </w:pPr>
    </w:p>
    <w:p>
      <w:pPr>
        <w:jc w:val="both"/>
        <w:ind w:left="-656" w:firstLine="1304"/>
        <w:spacing w:after="0" w:line="256" w:lineRule="auto"/>
        <w:tabs>
          <w:tab w:leader="none" w:pos="1075"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without Good Reason; Termination for Cause; Disability; Death</w:t>
      </w:r>
      <w:r>
        <w:rPr>
          <w:rFonts w:ascii="Times New Roman" w:cs="Times New Roman" w:eastAsia="Times New Roman" w:hAnsi="Times New Roman"/>
          <w:sz w:val="18"/>
          <w:szCs w:val="18"/>
          <w:color w:val="auto"/>
        </w:rPr>
        <w:t>. If Executive resigns (other than for Good Reason), or the Company terminates Executive’s employment for Cause, or Executive’s employment terminates upon Executive’s death or Disability, then (i) Executive will no longer vest in any Equity Award held by Executive, (ii) all payments of compensation by the Company to Executive hereunder will terminate immediately (except as to amounts already earned), and (iii) Executive will not be entitled to any severance or other benefits except for those (if any) as may then be established under the Company’s then existing written severance and benefits plans and practices or pursuant to other written agreements with the Company.</w:t>
      </w:r>
    </w:p>
    <w:p>
      <w:pPr>
        <w:spacing w:after="0" w:line="187" w:lineRule="exact"/>
        <w:rPr>
          <w:rFonts w:ascii="Times New Roman" w:cs="Times New Roman" w:eastAsia="Times New Roman" w:hAnsi="Times New Roman"/>
          <w:sz w:val="18"/>
          <w:szCs w:val="18"/>
          <w:color w:val="auto"/>
        </w:rPr>
      </w:pPr>
    </w:p>
    <w:p>
      <w:pPr>
        <w:jc w:val="both"/>
        <w:ind w:left="-656" w:firstLine="1304"/>
        <w:spacing w:after="0" w:line="261" w:lineRule="auto"/>
        <w:tabs>
          <w:tab w:leader="none" w:pos="1213"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Accrued Compensation</w:t>
      </w:r>
      <w:r>
        <w:rPr>
          <w:rFonts w:ascii="Times New Roman" w:cs="Times New Roman" w:eastAsia="Times New Roman" w:hAnsi="Times New Roman"/>
          <w:sz w:val="18"/>
          <w:szCs w:val="18"/>
          <w:color w:val="auto"/>
        </w:rPr>
        <w:t>. For the avoidance of any doubt, in the event of a termination of Executive’s employment with the Company (or any parent or subsidiary or successor of the Company) for whatever reason, Executive will be entitled to receive all accrued but unpaid paid time off, expense reimbursements, wages, and other benefits due to Executive under any Company-provided plans, policies, and arrangements as of Executive’s termination date.</w:t>
      </w:r>
    </w:p>
    <w:p>
      <w:pPr>
        <w:spacing w:after="0" w:line="179" w:lineRule="exact"/>
        <w:rPr>
          <w:rFonts w:ascii="Times New Roman" w:cs="Times New Roman" w:eastAsia="Times New Roman" w:hAnsi="Times New Roman"/>
          <w:sz w:val="18"/>
          <w:szCs w:val="18"/>
          <w:color w:val="auto"/>
        </w:rPr>
      </w:pPr>
    </w:p>
    <w:p>
      <w:pPr>
        <w:jc w:val="both"/>
        <w:ind w:left="-656" w:firstLine="1304"/>
        <w:spacing w:after="0" w:line="258" w:lineRule="auto"/>
        <w:tabs>
          <w:tab w:leader="none" w:pos="114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Exclusive Remedy</w:t>
      </w:r>
      <w:r>
        <w:rPr>
          <w:rFonts w:ascii="Times New Roman" w:cs="Times New Roman" w:eastAsia="Times New Roman" w:hAnsi="Times New Roman"/>
          <w:sz w:val="18"/>
          <w:szCs w:val="18"/>
          <w:color w:val="auto"/>
        </w:rPr>
        <w:t>. In the event of a termination of Executive’s employment with the Company (or any parent or subsidiary or successor of the Company), the provisions of this Section 7 are intended to be and are exclusive and in lieu of any other rights or remedies to which Executive or the Company may otherwise be entitled, whether at law, tort or contract, in equity, or under this Agreement. Executive will be entitled to no severance or other benefits, compensation or other payments or rights upon termination of employment other than those benefits expressly set forth in this Section 7.</w:t>
      </w:r>
    </w:p>
    <w:p>
      <w:pPr>
        <w:spacing w:after="0" w:line="183" w:lineRule="exact"/>
        <w:rPr>
          <w:rFonts w:ascii="Times New Roman" w:cs="Times New Roman" w:eastAsia="Times New Roman" w:hAnsi="Times New Roman"/>
          <w:sz w:val="18"/>
          <w:szCs w:val="18"/>
          <w:color w:val="auto"/>
        </w:rPr>
      </w:pPr>
    </w:p>
    <w:p>
      <w:pPr>
        <w:ind w:left="364" w:hanging="364"/>
        <w:spacing w:after="0"/>
        <w:tabs>
          <w:tab w:leader="none" w:pos="36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to Receipt of Severance; No Duty to Mitigate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54" w:lineRule="auto"/>
        <w:tabs>
          <w:tab w:leader="none" w:pos="1118"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Separation Agreement and Release of Claims</w:t>
      </w:r>
      <w:r>
        <w:rPr>
          <w:rFonts w:ascii="Times New Roman" w:cs="Times New Roman" w:eastAsia="Times New Roman" w:hAnsi="Times New Roman"/>
          <w:sz w:val="18"/>
          <w:szCs w:val="18"/>
          <w:color w:val="auto"/>
        </w:rPr>
        <w:t>. The receipt of any severance pursuant to Section 7(a) will be subject to Executive signing and not revoking a separation agreement and release of claims in a form reasonably satisfactory to the Company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and provided that such Release becomes effective and irrevocable no later than sixty (60) days following Executive’s termination date (such deadline,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Deadline</w:t>
      </w:r>
      <w:r>
        <w:rPr>
          <w:rFonts w:ascii="Times New Roman" w:cs="Times New Roman" w:eastAsia="Times New Roman" w:hAnsi="Times New Roman"/>
          <w:sz w:val="18"/>
          <w:szCs w:val="18"/>
          <w:color w:val="auto"/>
        </w:rPr>
        <w:t>”). If the Release does not become effective and irrevocable by the Release Deadline, Executive will forfeit any rights to severance or benefits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under this Agreement. In no event will severance payments or benefits be paid or provided until the Release becomes effective and irrevocable. Except as required by Section 8(c), any installment payments that would have been made to Executive prior to the Release becoming effective and irrevocable but for the preceding sentence will be paid to Executive on the first regularly scheduled Company payroll date following the date the Release becomes effective and irrevocable, and the remaining payments will be made as provided in the Agreement.</w:t>
      </w:r>
    </w:p>
    <w:p>
      <w:pPr>
        <w:spacing w:after="0" w:line="191"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10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 Agreement</w:t>
      </w:r>
      <w:r>
        <w:rPr>
          <w:rFonts w:ascii="Times New Roman" w:cs="Times New Roman" w:eastAsia="Times New Roman" w:hAnsi="Times New Roman"/>
          <w:sz w:val="18"/>
          <w:szCs w:val="18"/>
          <w:color w:val="auto"/>
        </w:rPr>
        <w:t>. Executive’s receipt of any payments or benefits under Section 7 will be subject to Executive continuing to comply with the terms of the At-Will Employment, Confidential Information, Invention Assignment, and Arbitration Agreement between the Executive and the Company.</w:t>
      </w:r>
    </w:p>
    <w:p>
      <w:pPr>
        <w:spacing w:after="0" w:line="175" w:lineRule="exact"/>
        <w:rPr>
          <w:rFonts w:ascii="Times New Roman" w:cs="Times New Roman" w:eastAsia="Times New Roman" w:hAnsi="Times New Roman"/>
          <w:sz w:val="18"/>
          <w:szCs w:val="18"/>
          <w:color w:val="auto"/>
        </w:rPr>
      </w:pPr>
    </w:p>
    <w:p>
      <w:pPr>
        <w:ind w:left="1064" w:hanging="416"/>
        <w:spacing w:after="0"/>
        <w:tabs>
          <w:tab w:leader="none" w:pos="1064"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p>
    <w:p>
      <w:pPr>
        <w:sectPr>
          <w:pgSz w:w="11900" w:h="16838" w:orient="portrait"/>
          <w:cols w:equalWidth="0" w:num="1">
            <w:col w:w="10584"/>
          </w:cols>
          <w:pgMar w:left="976" w:top="364" w:right="339" w:bottom="0" w:gutter="0" w:footer="0" w:header="0"/>
        </w:sectPr>
      </w:pPr>
    </w:p>
    <w:bookmarkStart w:id="8" w:name="page9"/>
    <w:bookmarkEnd w:id="8"/>
    <w:p>
      <w:pPr>
        <w:jc w:val="both"/>
        <w:ind w:left="-1120" w:firstLine="1952"/>
        <w:spacing w:after="0" w:line="256" w:lineRule="auto"/>
        <w:tabs>
          <w:tab w:leader="none" w:pos="1296"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to the contrary in this Agreement, no severance pay or benefits to be paid or provided to Executive, if any, pursuant to this Agreement that, when considered together with any other severance payments or separation benefits, are considered deferred compensation under Section 409A (together, the “</w:t>
      </w:r>
      <w:r>
        <w:rPr>
          <w:rFonts w:ascii="Times New Roman" w:cs="Times New Roman" w:eastAsia="Times New Roman" w:hAnsi="Times New Roman"/>
          <w:sz w:val="18"/>
          <w:szCs w:val="18"/>
          <w:b w:val="1"/>
          <w:bCs w:val="1"/>
          <w:color w:val="auto"/>
        </w:rPr>
        <w:t>Deferred Payments</w:t>
      </w:r>
      <w:r>
        <w:rPr>
          <w:rFonts w:ascii="Times New Roman" w:cs="Times New Roman" w:eastAsia="Times New Roman" w:hAnsi="Times New Roman"/>
          <w:sz w:val="18"/>
          <w:szCs w:val="18"/>
          <w:color w:val="auto"/>
        </w:rPr>
        <w:t>”) will be paid or otherwise provided until Executive has a “separation from service” within the meaning of Section 409A. Similarly, no severance payable to Executive, if any, pursuant to this Agreement that otherwise would be exempt from Section 409A pursuant to Treasury Regulation Section 1.409A-1(b)(9) will be payable until Executive has a “separation from service” within the meaning of Section 409A.</w:t>
      </w:r>
    </w:p>
    <w:p>
      <w:pPr>
        <w:spacing w:after="0" w:line="187" w:lineRule="exact"/>
        <w:rPr>
          <w:rFonts w:ascii="Times New Roman" w:cs="Times New Roman" w:eastAsia="Times New Roman" w:hAnsi="Times New Roman"/>
          <w:sz w:val="18"/>
          <w:szCs w:val="18"/>
          <w:color w:val="auto"/>
        </w:rPr>
      </w:pPr>
    </w:p>
    <w:p>
      <w:pPr>
        <w:jc w:val="both"/>
        <w:ind w:left="-1120" w:firstLine="1952"/>
        <w:spacing w:after="0" w:line="211" w:lineRule="auto"/>
        <w:tabs>
          <w:tab w:leader="none" w:pos="121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severance payments or benefits under this Agreement that would be considered Deferred Payments will be paid on, or, in the case of installments, will not commence until,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Executive’s separation from service, or, if later, such time as required by Section 8(c)(iii). Except as required by Section 8(c)(iii), any installment payments that would have been made to Executive during the sixty (60) day period immediately following Executive’s separation from service but for the preceding sentence will be paid to Executive on the sixtieth (60</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day following Executive’s separation from service and the remaining payments shall be made as provided in this Agreement</w:t>
      </w:r>
      <w:r>
        <w:rPr>
          <w:rFonts w:ascii="Times New Roman" w:cs="Times New Roman" w:eastAsia="Times New Roman" w:hAnsi="Times New Roman"/>
          <w:sz w:val="18"/>
          <w:szCs w:val="18"/>
          <w:b w:val="1"/>
          <w:bCs w:val="1"/>
          <w:color w:val="auto"/>
        </w:rPr>
        <w:t>. In no event will Executive have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discretion to determine the taxable year of payment for any Deferred Payments.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360045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9" w:name="page10"/>
    <w:bookmarkEnd w:id="9"/>
    <w:p>
      <w:pPr>
        <w:ind w:right="60" w:firstLine="1952"/>
        <w:spacing w:after="0" w:line="272" w:lineRule="auto"/>
        <w:tabs>
          <w:tab w:leader="none" w:pos="2394" w:val="left"/>
        </w:tabs>
        <w:numPr>
          <w:ilvl w:val="3"/>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Notwithstanding anything to the contrary in this Agreement, if Executive is a “specified employee” within the meaning of Section 409A at the time of Executive’s termination (other than due to death), then the Deferred Payments, if any, that are payable within the first six (6) months following Executive’s separation from service, will become payable on the first payroll date that occurs on or after the date six (6) months and one</w:t>
      </w:r>
    </w:p>
    <w:p>
      <w:pPr>
        <w:spacing w:after="0" w:line="1" w:lineRule="exact"/>
        <w:rPr>
          <w:rFonts w:ascii="Times New Roman" w:cs="Times New Roman" w:eastAsia="Times New Roman" w:hAnsi="Times New Roman"/>
          <w:sz w:val="17"/>
          <w:szCs w:val="17"/>
          <w:color w:val="auto"/>
        </w:rPr>
      </w:pPr>
    </w:p>
    <w:p>
      <w:pPr>
        <w:ind w:right="60" w:firstLine="8"/>
        <w:spacing w:after="0" w:line="252" w:lineRule="auto"/>
        <w:tabs>
          <w:tab w:leader="none" w:pos="25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 following the date of Executive’s separation from service. All subsequent Deferred Payments, if any, will be payable in accordance with the payment schedule applicable to each payment or benefit. Notwithstanding anything herein to the contrary, if Executive dies following Executive’s separation from service, but prior to the six (6) month anniversary of the separation from service, then any payments delayed in accordance with this paragraph will be payable in a lump sum as soon as administratively practicable after the date of Executive’s death and all other Deferred Payments will be payable in accordance with the payment schedule applicable to each payment or benefit. Each payment, installment and benefit payable under this Agreement is intended to constitute a separate payment for purposes of Section 1.409A-2(b)(2) of the Treasury Regulations.</w:t>
      </w:r>
    </w:p>
    <w:p>
      <w:pPr>
        <w:spacing w:after="0" w:line="189" w:lineRule="exact"/>
        <w:rPr>
          <w:rFonts w:ascii="Times New Roman" w:cs="Times New Roman" w:eastAsia="Times New Roman" w:hAnsi="Times New Roman"/>
          <w:sz w:val="18"/>
          <w:szCs w:val="18"/>
          <w:color w:val="auto"/>
        </w:rPr>
      </w:pPr>
    </w:p>
    <w:p>
      <w:pPr>
        <w:jc w:val="both"/>
        <w:ind w:right="20" w:firstLine="1952"/>
        <w:spacing w:after="0" w:line="266" w:lineRule="auto"/>
        <w:tabs>
          <w:tab w:leader="none" w:pos="2384"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satisfies the requirements of the “short-term deferral” rule set forth in Section 1.409A-1(b)(4) of the Treasury Regulations will not constitute Deferred Payments for purposes of clause (i) above. It is the intent of this Agreement that all cash severance payments under Section 7(a)(i) will satisfy the requirements of the “short-term deferral” rule.</w:t>
      </w:r>
    </w:p>
    <w:p>
      <w:pPr>
        <w:spacing w:after="0" w:line="175" w:lineRule="exact"/>
        <w:rPr>
          <w:rFonts w:ascii="Times New Roman" w:cs="Times New Roman" w:eastAsia="Times New Roman" w:hAnsi="Times New Roman"/>
          <w:sz w:val="18"/>
          <w:szCs w:val="18"/>
          <w:color w:val="auto"/>
        </w:rPr>
      </w:pPr>
    </w:p>
    <w:p>
      <w:pPr>
        <w:jc w:val="both"/>
        <w:ind w:firstLine="1952"/>
        <w:spacing w:after="0" w:line="266" w:lineRule="auto"/>
        <w:tabs>
          <w:tab w:leader="none" w:pos="2397"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amount paid under this Agreement that qualifies as a payment made as a result of an involuntary separation from service pursuant to Section 1.409A-1(b)(9)(iii) of the Treasury Regulations that does not exceed the Section 409A Limit (as defined below) will not constitute Deferred Payments for purposes of clause (i) above.</w:t>
      </w:r>
    </w:p>
    <w:p>
      <w:pPr>
        <w:spacing w:after="0" w:line="175" w:lineRule="exact"/>
        <w:rPr>
          <w:rFonts w:ascii="Times New Roman" w:cs="Times New Roman" w:eastAsia="Times New Roman" w:hAnsi="Times New Roman"/>
          <w:sz w:val="18"/>
          <w:szCs w:val="18"/>
          <w:color w:val="auto"/>
        </w:rPr>
      </w:pPr>
    </w:p>
    <w:p>
      <w:pPr>
        <w:jc w:val="both"/>
        <w:ind w:firstLine="1952"/>
        <w:spacing w:after="0" w:line="256" w:lineRule="auto"/>
        <w:tabs>
          <w:tab w:leader="none" w:pos="2380" w:val="left"/>
        </w:tabs>
        <w:numPr>
          <w:ilvl w:val="3"/>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foregoing provisions are intended to be exempt from or comply with the requirements of Section 409A so that none of the severance payments and benefits to be provided hereunder will be subject to the additional tax imposed under Section 409A, and any ambiguities or ambiguous terms herein will be interpreted to be exempt or so comply. The Company and Executive agree to work together in good faith to consider amendments to this Agreement and to take such reasonable actions which are necessary, appropriate or desirable to avoid imposition of any additional tax or income recognition prior to actual payment to Executive under Section 409A. In no event will the Company reimburse Executive for any taxes that may be imposed on Executive as a result of Section 409A.</w:t>
      </w:r>
    </w:p>
    <w:p>
      <w:pPr>
        <w:spacing w:after="0" w:line="187" w:lineRule="exact"/>
        <w:rPr>
          <w:rFonts w:ascii="Times New Roman" w:cs="Times New Roman" w:eastAsia="Times New Roman" w:hAnsi="Times New Roman"/>
          <w:sz w:val="18"/>
          <w:szCs w:val="18"/>
          <w:color w:val="auto"/>
        </w:rPr>
      </w:pPr>
    </w:p>
    <w:p>
      <w:pPr>
        <w:ind w:firstLine="1304"/>
        <w:spacing w:after="0" w:line="282" w:lineRule="auto"/>
        <w:tabs>
          <w:tab w:leader="none" w:pos="1771"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Duty to Mitigate</w:t>
      </w:r>
      <w:r>
        <w:rPr>
          <w:rFonts w:ascii="Times New Roman" w:cs="Times New Roman" w:eastAsia="Times New Roman" w:hAnsi="Times New Roman"/>
          <w:sz w:val="18"/>
          <w:szCs w:val="18"/>
          <w:color w:val="auto"/>
        </w:rPr>
        <w:t>. Executive will not be required to mitigate the amount of any payment contemplated by this Agreement, nor will any earnings that Executive may receive from any other source reduce any such payment.</w:t>
      </w:r>
    </w:p>
    <w:p>
      <w:pPr>
        <w:spacing w:after="0" w:line="161"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Payments.</w:t>
      </w:r>
      <w:r>
        <w:rPr>
          <w:rFonts w:ascii="Times New Roman" w:cs="Times New Roman" w:eastAsia="Times New Roman" w:hAnsi="Times New Roman"/>
          <w:sz w:val="18"/>
          <w:szCs w:val="18"/>
          <w:color w:val="auto"/>
        </w:rPr>
        <w:t xml:space="preserve"> In the event that the severance and other benefits provided for in this Agreement or otherwise payable to Executive</w:t>
      </w:r>
    </w:p>
    <w:p>
      <w:pPr>
        <w:spacing w:after="0" w:line="27" w:lineRule="exact"/>
        <w:rPr>
          <w:rFonts w:ascii="Times New Roman" w:cs="Times New Roman" w:eastAsia="Times New Roman" w:hAnsi="Times New Roman"/>
          <w:sz w:val="18"/>
          <w:szCs w:val="18"/>
          <w:color w:val="auto"/>
        </w:rPr>
      </w:pPr>
    </w:p>
    <w:p>
      <w:pPr>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constitute “parachute payments” within the meaning of Section 280G of the Code and (ii) but for this Section 9, would be subject to the excise tax imposed by Section 4999 of the Code, then Executive’s severance benefits will be either:</w:t>
      </w:r>
    </w:p>
    <w:p>
      <w:pPr>
        <w:spacing w:after="0" w:line="181" w:lineRule="exact"/>
        <w:rPr>
          <w:rFonts w:ascii="Times New Roman" w:cs="Times New Roman" w:eastAsia="Times New Roman" w:hAnsi="Times New Roman"/>
          <w:sz w:val="18"/>
          <w:szCs w:val="18"/>
          <w:color w:val="auto"/>
        </w:rPr>
      </w:pPr>
    </w:p>
    <w:p>
      <w:pPr>
        <w:ind w:left="1680" w:hanging="376"/>
        <w:spacing w:after="0"/>
        <w:tabs>
          <w:tab w:leader="none" w:pos="1680"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in full, or</w:t>
      </w:r>
    </w:p>
    <w:p>
      <w:pPr>
        <w:spacing w:after="0" w:line="225" w:lineRule="exact"/>
        <w:rPr>
          <w:rFonts w:ascii="Times New Roman" w:cs="Times New Roman" w:eastAsia="Times New Roman" w:hAnsi="Times New Roman"/>
          <w:sz w:val="18"/>
          <w:szCs w:val="18"/>
          <w:color w:val="auto"/>
        </w:rPr>
      </w:pPr>
    </w:p>
    <w:p>
      <w:pPr>
        <w:jc w:val="both"/>
        <w:ind w:firstLine="1304"/>
        <w:spacing w:after="0" w:line="253" w:lineRule="auto"/>
        <w:tabs>
          <w:tab w:leader="none" w:pos="1713" w:val="left"/>
        </w:tabs>
        <w:numPr>
          <w:ilvl w:val="2"/>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delivered as to such lesser extent which would result in no portion of such severance benefits being subject to the excise tax under Section 4999 of the Code, whichever of the foregoing amounts, taking into account the applicable federal, state and local income taxes and the excise tax imposed by Section 4999, results in the receipt by Executive on an after-tax basis, of the greatest amount of severance benefits, notwithstanding that all or some portion of such severance benefits may be taxable under Section 4999 of the Code. If a reduction in the severance and other benefits constituting “parachute payments” is necessary so that no portion of such severance benefits is subject to the excise tax under Section 4999 of the Code, the reduction shall occur in the following order: (1) reduction of the severance payments under Sections 7(a)(i) or 7(a)(ii); (2) reduction of other cash payments, if any;</w:t>
      </w:r>
    </w:p>
    <w:p>
      <w:pPr>
        <w:spacing w:after="0" w:line="5" w:lineRule="exact"/>
        <w:rPr>
          <w:rFonts w:ascii="Times New Roman" w:cs="Times New Roman" w:eastAsia="Times New Roman" w:hAnsi="Times New Roman"/>
          <w:sz w:val="18"/>
          <w:szCs w:val="18"/>
          <w:color w:val="auto"/>
        </w:rPr>
      </w:pPr>
    </w:p>
    <w:p>
      <w:pPr>
        <w:jc w:val="both"/>
        <w:ind w:firstLine="8"/>
        <w:spacing w:after="0" w:line="253" w:lineRule="auto"/>
        <w:tabs>
          <w:tab w:leader="none" w:pos="276"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cancellation of accelerated vesting of equity awards; and (4) reduction of continued employee benefits. In the event that acceleration of vesting of equity award compensation is to be reduced, such acceleration of vesting shall be cancelled in the reverse order of the date of grant of Executive’s equity awards. If two or more equity awards are granted on the same date, each award will be reduced on a pro-rata basis. In no event shall the Executive have any discretion with respect to the ordering of payment reductions.</w:t>
      </w:r>
    </w:p>
    <w:p>
      <w:pPr>
        <w:spacing w:after="0" w:line="189" w:lineRule="exact"/>
        <w:rPr>
          <w:sz w:val="20"/>
          <w:szCs w:val="20"/>
          <w:color w:val="auto"/>
        </w:rPr>
      </w:pPr>
    </w:p>
    <w:p>
      <w:pPr>
        <w:jc w:val="both"/>
        <w:ind w:firstLine="1296"/>
        <w:spacing w:after="0" w:line="255" w:lineRule="auto"/>
        <w:rPr>
          <w:sz w:val="20"/>
          <w:szCs w:val="20"/>
          <w:color w:val="auto"/>
        </w:rPr>
      </w:pPr>
      <w:r>
        <w:rPr>
          <w:rFonts w:ascii="Times New Roman" w:cs="Times New Roman" w:eastAsia="Times New Roman" w:hAnsi="Times New Roman"/>
          <w:sz w:val="18"/>
          <w:szCs w:val="18"/>
          <w:color w:val="auto"/>
        </w:rPr>
        <w:t>Unless the Company and Executive otherwise agree in writing, any determination required under this Section 9 will be made in writing by an independent firm immediately prior to a Change of Control (the “</w:t>
      </w:r>
      <w:r>
        <w:rPr>
          <w:rFonts w:ascii="Times New Roman" w:cs="Times New Roman" w:eastAsia="Times New Roman" w:hAnsi="Times New Roman"/>
          <w:sz w:val="18"/>
          <w:szCs w:val="18"/>
          <w:b w:val="1"/>
          <w:bCs w:val="1"/>
          <w:color w:val="auto"/>
        </w:rPr>
        <w:t>Firm</w:t>
      </w:r>
      <w:r>
        <w:rPr>
          <w:rFonts w:ascii="Times New Roman" w:cs="Times New Roman" w:eastAsia="Times New Roman" w:hAnsi="Times New Roman"/>
          <w:sz w:val="18"/>
          <w:szCs w:val="18"/>
          <w:color w:val="auto"/>
        </w:rPr>
        <w:t>”), whose determination will be conclusive and binding upon Executive and the Company for all purposes. For purposes of making the calculations required by this Section 9, the Firm may make reasonable assumptions and approximations concerning applicable taxes and may rely on reasonable, good faith interpretations concerning the application of Sections 280G and 4999 of the Code. The Company and Executive will furnish to the Firm such information and documents as the Firm may reasonably request in order to make a determination under this Section 9. The Company will bear all costs the Firm may reasonably incur in connection with any calculations contemplated by this Section 9.</w:t>
      </w:r>
    </w:p>
    <w:p>
      <w:pPr>
        <w:spacing w:after="0" w:line="189" w:lineRule="exact"/>
        <w:rPr>
          <w:sz w:val="20"/>
          <w:szCs w:val="20"/>
          <w:color w:val="auto"/>
        </w:rPr>
      </w:pPr>
    </w:p>
    <w:p>
      <w:pPr>
        <w:ind w:left="1100" w:hanging="444"/>
        <w:spacing w:after="0"/>
        <w:tabs>
          <w:tab w:leader="none" w:pos="11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 of Terms</w:t>
      </w:r>
      <w:r>
        <w:rPr>
          <w:rFonts w:ascii="Times New Roman" w:cs="Times New Roman" w:eastAsia="Times New Roman" w:hAnsi="Times New Roman"/>
          <w:sz w:val="18"/>
          <w:szCs w:val="18"/>
          <w:color w:val="auto"/>
        </w:rPr>
        <w:t>. The following terms referred to in this Agreement will have the following meanings:</w:t>
      </w:r>
    </w:p>
    <w:p>
      <w:pPr>
        <w:spacing w:after="0" w:line="221"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34"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Cause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Cause</w:t>
      </w:r>
      <w:r>
        <w:rPr>
          <w:rFonts w:ascii="Times New Roman" w:cs="Times New Roman" w:eastAsia="Times New Roman" w:hAnsi="Times New Roman"/>
          <w:sz w:val="18"/>
          <w:szCs w:val="18"/>
          <w:color w:val="auto"/>
        </w:rPr>
        <w:t>” is defined as (i) Executive’s conviction of, or plea of nolo contendere to, a felony or any crime involving fraud, embezzlement or any other act of moral turpitude, (ii) Executive’s gross misconduct, (iii) Executive’s unauthorized use or disclosure of any proprietary information or trade secrets of the Company or any other party to whom Executive owes an obligation of nondisclosure as a result of Executive’s relationship with the Company; (iv) Executive’s willful breach of any obligations under any written agreement or covenant with the Company that is injurious to the Company; or (v) Executive’s continued failure to perform Executive’s employment duties after Executive has received a written demand for performance from the Company which specifically sets forth the factual basis for the Company’s belief that Executive has not substantially performed Executive’s duties and has failed to cure such non-performance to the Company’s satisfaction within thirty (30) business days after receiving such notice.</w:t>
      </w:r>
    </w:p>
    <w:p>
      <w:pPr>
        <w:spacing w:after="0" w:line="184" w:lineRule="exact"/>
        <w:rPr>
          <w:rFonts w:ascii="Times New Roman" w:cs="Times New Roman" w:eastAsia="Times New Roman" w:hAnsi="Times New Roman"/>
          <w:sz w:val="18"/>
          <w:szCs w:val="18"/>
          <w:color w:val="auto"/>
        </w:rPr>
      </w:pPr>
    </w:p>
    <w:p>
      <w:pPr>
        <w:ind w:left="1740" w:hanging="436"/>
        <w:spacing w:after="0"/>
        <w:tabs>
          <w:tab w:leader="none" w:pos="174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occurrence of any of the following events:</w:t>
      </w:r>
    </w:p>
    <w:p>
      <w:pPr>
        <w:spacing w:after="0" w:line="229" w:lineRule="exact"/>
        <w:rPr>
          <w:rFonts w:ascii="Times New Roman" w:cs="Times New Roman" w:eastAsia="Times New Roman" w:hAnsi="Times New Roman"/>
          <w:sz w:val="18"/>
          <w:szCs w:val="18"/>
          <w:color w:val="auto"/>
        </w:rPr>
      </w:pPr>
    </w:p>
    <w:p>
      <w:pPr>
        <w:jc w:val="both"/>
        <w:ind w:firstLine="1952"/>
        <w:spacing w:after="0" w:line="261" w:lineRule="auto"/>
        <w:tabs>
          <w:tab w:leader="none" w:pos="232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(as such term is used in Sections 13(d) and 14(d) of the Securities Exchange Act of 1934, as amended) is or becomes the “beneficial owner” (as defined in Rule 13d-3 under said Act), directly or indirectly, of securities of the Company representing more than 50% of the total voting power represented by the Company’s then outstanding voting securities, other than the acquisition of 50% of the total voting power represented by the outstanding voting securities when sold by the Company in a capital raising transaction; or</w:t>
      </w:r>
    </w:p>
    <w:p>
      <w:pPr>
        <w:spacing w:after="0" w:line="179" w:lineRule="exact"/>
        <w:rPr>
          <w:rFonts w:ascii="Times New Roman" w:cs="Times New Roman" w:eastAsia="Times New Roman" w:hAnsi="Times New Roman"/>
          <w:sz w:val="18"/>
          <w:szCs w:val="18"/>
          <w:color w:val="auto"/>
        </w:rPr>
      </w:pPr>
    </w:p>
    <w:p>
      <w:pPr>
        <w:jc w:val="both"/>
        <w:ind w:firstLine="1952"/>
        <w:spacing w:after="0" w:line="266" w:lineRule="auto"/>
        <w:tabs>
          <w:tab w:leader="none" w:pos="2435" w:val="left"/>
        </w:tabs>
        <w:numPr>
          <w:ilvl w:val="2"/>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a merger or consolidation of the Company with any other corporation that has been approved by the stockholders of the Company, other than a merger or consolidation which would result in the voting securities of the Company outstanding immediately prior thereto continuing to represent (either by remaining outstanding or by being converted into voting securities of the surviving entity or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5807710</wp:posOffset>
            </wp:positionH>
            <wp:positionV relativeFrom="paragraph">
              <wp:posOffset>-2507615</wp:posOffset>
            </wp:positionV>
            <wp:extent cx="7696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ectPr>
          <w:pgSz w:w="11900" w:h="16838" w:orient="portrait"/>
          <w:cols w:equalWidth="0" w:num="1">
            <w:col w:w="11240"/>
          </w:cols>
          <w:pgMar w:left="320" w:top="364" w:right="339" w:bottom="0" w:gutter="0" w:footer="0" w:header="0"/>
        </w:sectPr>
      </w:pPr>
    </w:p>
    <w:bookmarkStart w:id="10" w:name="page11"/>
    <w:bookmarkEnd w:id="10"/>
    <w:p>
      <w:pPr>
        <w:spacing w:after="0" w:line="282" w:lineRule="auto"/>
        <w:rPr>
          <w:sz w:val="20"/>
          <w:szCs w:val="20"/>
          <w:color w:val="auto"/>
        </w:rPr>
      </w:pPr>
      <w:r>
        <w:rPr>
          <w:rFonts w:ascii="Times New Roman" w:cs="Times New Roman" w:eastAsia="Times New Roman" w:hAnsi="Times New Roman"/>
          <w:sz w:val="18"/>
          <w:szCs w:val="18"/>
          <w:color w:val="auto"/>
        </w:rPr>
        <w:t>parent) at least fifty percent (50%) of the total voting power represented by the voting securities of the Company or such surviving entity or its parent outstanding immediately after such merger or consolidation; or</w:t>
      </w:r>
    </w:p>
    <w:p>
      <w:pPr>
        <w:spacing w:after="0" w:line="162" w:lineRule="exact"/>
        <w:rPr>
          <w:sz w:val="20"/>
          <w:szCs w:val="20"/>
          <w:color w:val="auto"/>
        </w:rPr>
      </w:pPr>
    </w:p>
    <w:p>
      <w:pPr>
        <w:ind w:firstLine="1952"/>
        <w:spacing w:after="0" w:line="282" w:lineRule="auto"/>
        <w:tabs>
          <w:tab w:leader="none" w:pos="2407"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of the consummation of the sale or disposition by the Company of all or substantially all the Company’s assets in a transaction that has been approved by the stockholders of the Company.</w:t>
      </w:r>
    </w:p>
    <w:p>
      <w:pPr>
        <w:spacing w:after="0" w:line="162" w:lineRule="exact"/>
        <w:rPr>
          <w:sz w:val="20"/>
          <w:szCs w:val="20"/>
          <w:color w:val="auto"/>
        </w:rPr>
      </w:pPr>
    </w:p>
    <w:p>
      <w:pPr>
        <w:ind w:right="20" w:firstLine="1296"/>
        <w:spacing w:after="0" w:line="282" w:lineRule="auto"/>
        <w:rPr>
          <w:sz w:val="20"/>
          <w:szCs w:val="20"/>
          <w:color w:val="auto"/>
        </w:rPr>
      </w:pPr>
      <w:r>
        <w:rPr>
          <w:rFonts w:ascii="Times New Roman" w:cs="Times New Roman" w:eastAsia="Times New Roman" w:hAnsi="Times New Roman"/>
          <w:sz w:val="18"/>
          <w:szCs w:val="18"/>
          <w:color w:val="auto"/>
        </w:rPr>
        <w:t>Notwithstanding the foregoing provisions of this definition, a transaction will not be deemed a Change of Control unless the transaction qualifies as a “change in control event” within the meaning of Section 409A.</w:t>
      </w:r>
    </w:p>
    <w:p>
      <w:pPr>
        <w:spacing w:after="0" w:line="158" w:lineRule="exact"/>
        <w:rPr>
          <w:sz w:val="20"/>
          <w:szCs w:val="20"/>
          <w:color w:val="auto"/>
        </w:rPr>
      </w:pPr>
    </w:p>
    <w:p>
      <w:pPr>
        <w:ind w:left="1720" w:hanging="416"/>
        <w:spacing w:after="0"/>
        <w:tabs>
          <w:tab w:leader="none" w:pos="17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Internal Revenue Code of 1986,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77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b w:val="1"/>
          <w:bCs w:val="1"/>
          <w:color w:val="auto"/>
        </w:rPr>
        <w:t>Disability</w:t>
      </w:r>
      <w:r>
        <w:rPr>
          <w:rFonts w:ascii="Times New Roman" w:cs="Times New Roman" w:eastAsia="Times New Roman" w:hAnsi="Times New Roman"/>
          <w:sz w:val="18"/>
          <w:szCs w:val="18"/>
          <w:color w:val="auto"/>
        </w:rPr>
        <w:t>” will mean that Executive has been unable to engage, with or without reasonable accommodation, in any substantial gainful activity by reason of any medically determinable physical or mental impairment that can be expected to result in death or can be expected to last for a continuous period of not less than six (6) months. Alternatively, Executive will be deemed disabled if determined to be totally disabled by the Social Security Administration. Termination resulting from Disability may only be effected after at least thirty (30) days’ written notice by the Company of its intention to terminate Executive’s employment. In the event that Executive resumes the performance of substantially all of Executive’s duties hereunder before the termination of Executive’s employment becomes effective, the notice of intent to terminate based on Disability will automatically be deemed to have been revoked.</w:t>
      </w:r>
    </w:p>
    <w:p>
      <w:pPr>
        <w:spacing w:after="0" w:line="182" w:lineRule="exact"/>
        <w:rPr>
          <w:rFonts w:ascii="Times New Roman" w:cs="Times New Roman" w:eastAsia="Times New Roman" w:hAnsi="Times New Roman"/>
          <w:sz w:val="18"/>
          <w:szCs w:val="18"/>
          <w:color w:val="auto"/>
        </w:rPr>
      </w:pPr>
    </w:p>
    <w:p>
      <w:pPr>
        <w:jc w:val="both"/>
        <w:ind w:firstLine="1304"/>
        <w:spacing w:after="0" w:line="268" w:lineRule="auto"/>
        <w:tabs>
          <w:tab w:leader="none" w:pos="1761"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Equity Awards</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Equity Awards</w:t>
      </w:r>
      <w:r>
        <w:rPr>
          <w:rFonts w:ascii="Times New Roman" w:cs="Times New Roman" w:eastAsia="Times New Roman" w:hAnsi="Times New Roman"/>
          <w:sz w:val="18"/>
          <w:szCs w:val="18"/>
          <w:color w:val="auto"/>
        </w:rPr>
        <w:t>” means Executive’s outstanding Company stock options, stock appreciation rights, restricted stock, restricted stock units, performance shares, performance stock units and any other Company equity compensation awards.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345440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1" w:name="page12"/>
    <w:bookmarkEnd w:id="11"/>
    <w:p>
      <w:pPr>
        <w:ind w:left="-656" w:right="20" w:firstLine="1304"/>
        <w:spacing w:after="0" w:line="253" w:lineRule="auto"/>
        <w:tabs>
          <w:tab w:leader="none" w:pos="1045"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Good Reason</w:t>
      </w:r>
      <w:r>
        <w:rPr>
          <w:rFonts w:ascii="Times New Roman" w:cs="Times New Roman" w:eastAsia="Times New Roman" w:hAnsi="Times New Roman"/>
          <w:sz w:val="18"/>
          <w:szCs w:val="18"/>
          <w:color w:val="auto"/>
        </w:rPr>
        <w:t>. For the purposes of this Agreement, “</w:t>
      </w:r>
      <w:r>
        <w:rPr>
          <w:rFonts w:ascii="Times New Roman" w:cs="Times New Roman" w:eastAsia="Times New Roman" w:hAnsi="Times New Roman"/>
          <w:sz w:val="18"/>
          <w:szCs w:val="18"/>
          <w:b w:val="1"/>
          <w:bCs w:val="1"/>
          <w:color w:val="auto"/>
        </w:rPr>
        <w:t>Good Reason</w:t>
      </w:r>
      <w:r>
        <w:rPr>
          <w:rFonts w:ascii="Times New Roman" w:cs="Times New Roman" w:eastAsia="Times New Roman" w:hAnsi="Times New Roman"/>
          <w:sz w:val="18"/>
          <w:szCs w:val="18"/>
          <w:color w:val="auto"/>
        </w:rPr>
        <w:t xml:space="preserve">” means Executive’s resignation within thirty (30) days following the expiration of any Company cure period (discussed below) following the occurrence of one or more of the following, without Executive’s express written consent: (i) the assignment to Executive of any duties beyond the generally recognized scope of employment of a company </w:t>
      </w:r>
      <w:r>
        <w:rPr>
          <w:rFonts w:ascii="Times New Roman" w:cs="Times New Roman" w:eastAsia="Times New Roman" w:hAnsi="Times New Roman"/>
          <w:sz w:val="18"/>
          <w:szCs w:val="18"/>
          <w:b w:val="1"/>
          <w:bCs w:val="1"/>
          <w:color w:val="auto"/>
        </w:rPr>
        <w:t>Chief Executive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 xml:space="preserve">Officer </w:t>
      </w:r>
      <w:r>
        <w:rPr>
          <w:rFonts w:ascii="Times New Roman" w:cs="Times New Roman" w:eastAsia="Times New Roman" w:hAnsi="Times New Roman"/>
          <w:sz w:val="18"/>
          <w:szCs w:val="18"/>
          <w:color w:val="auto"/>
        </w:rPr>
        <w:t>or the reduction of Executive’s duties or the removal of Executive from Executive’s position and responsibilities as</w:t>
      </w:r>
      <w:r>
        <w:rPr>
          <w:rFonts w:ascii="Times New Roman" w:cs="Times New Roman" w:eastAsia="Times New Roman" w:hAnsi="Times New Roman"/>
          <w:sz w:val="18"/>
          <w:szCs w:val="18"/>
          <w:b w:val="1"/>
          <w:bCs w:val="1"/>
          <w:color w:val="auto"/>
        </w:rPr>
        <w:t xml:space="preserve"> Chief Executive Officer </w:t>
      </w:r>
      <w:r>
        <w:rPr>
          <w:rFonts w:ascii="Times New Roman" w:cs="Times New Roman" w:eastAsia="Times New Roman" w:hAnsi="Times New Roman"/>
          <w:sz w:val="18"/>
          <w:szCs w:val="18"/>
          <w:color w:val="auto"/>
        </w:rPr>
        <w:t>either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of which must result in a material diminution of Executive’s authority, duties, or responsibilities with the Company in effect immediately prior to such assignment; provided, however, if the Executive is provided with an alternative executive-type position within the Company or its subsidiaries at the same or better compensation as proved herein, or that a reduction in duties, position or responsibilities is solely by virtue of the Company being acquired and made part of a larger entity will not constitute “Good Reason”; (ii) a material reduction in Executive’s Base Salary (except where there is a reduction applicable to the management team generally of not more than 10% of Executive’s Base Salary); or (iii) a material change in the geographical location of Executive’s primary work facility or location; provided, that a relocation of less than fifty (50) miles from either Miami, Florida, or Hayward, California, will not be considered a material change in geographical location. Executive will not resign for Good Reason without first providing the Company with written notice of the acts or omissions constituting the grounds for “Good Reason” within ninety (90) days of the initial existence of the grounds for “Good Reason” and providing a cure period of not less than thirty (30) days following the date of such notice and such grounds for “Good Reason” have not been cured during such cure period.</w:t>
      </w:r>
    </w:p>
    <w:p>
      <w:pPr>
        <w:spacing w:after="0" w:line="185" w:lineRule="exact"/>
        <w:rPr>
          <w:rFonts w:ascii="Times New Roman" w:cs="Times New Roman" w:eastAsia="Times New Roman" w:hAnsi="Times New Roman"/>
          <w:sz w:val="18"/>
          <w:szCs w:val="18"/>
          <w:color w:val="auto"/>
        </w:rPr>
      </w:pPr>
    </w:p>
    <w:p>
      <w:pPr>
        <w:ind w:left="-656" w:firstLine="1304"/>
        <w:spacing w:after="0" w:line="286" w:lineRule="auto"/>
        <w:tabs>
          <w:tab w:leader="none" w:pos="1169"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Section 409A</w:t>
      </w:r>
      <w:r>
        <w:rPr>
          <w:rFonts w:ascii="Times New Roman" w:cs="Times New Roman" w:eastAsia="Times New Roman" w:hAnsi="Times New Roman"/>
          <w:sz w:val="18"/>
          <w:szCs w:val="18"/>
          <w:color w:val="auto"/>
        </w:rPr>
        <w:t>” means Code Section 409A, and the final regulations and any guidance promulgated thereunder or any state law equivalent.</w:t>
      </w:r>
    </w:p>
    <w:p>
      <w:pPr>
        <w:spacing w:after="0" w:line="154" w:lineRule="exact"/>
        <w:rPr>
          <w:rFonts w:ascii="Times New Roman" w:cs="Times New Roman" w:eastAsia="Times New Roman" w:hAnsi="Times New Roman"/>
          <w:sz w:val="18"/>
          <w:szCs w:val="18"/>
          <w:color w:val="auto"/>
        </w:rPr>
      </w:pPr>
    </w:p>
    <w:p>
      <w:pPr>
        <w:jc w:val="both"/>
        <w:ind w:left="-656" w:firstLine="1304"/>
        <w:spacing w:after="0" w:line="259" w:lineRule="auto"/>
        <w:tabs>
          <w:tab w:leader="none" w:pos="110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Limit</w:t>
      </w:r>
      <w:r>
        <w:rPr>
          <w:rFonts w:ascii="Times New Roman" w:cs="Times New Roman" w:eastAsia="Times New Roman" w:hAnsi="Times New Roman"/>
          <w:sz w:val="18"/>
          <w:szCs w:val="18"/>
          <w:color w:val="auto"/>
        </w:rPr>
        <w:t>. For purposes of this Agreement, “</w:t>
      </w:r>
      <w:r>
        <w:rPr>
          <w:rFonts w:ascii="Times New Roman" w:cs="Times New Roman" w:eastAsia="Times New Roman" w:hAnsi="Times New Roman"/>
          <w:sz w:val="18"/>
          <w:szCs w:val="18"/>
          <w:b w:val="1"/>
          <w:bCs w:val="1"/>
          <w:color w:val="auto"/>
        </w:rPr>
        <w:t>Section 409A Limit</w:t>
      </w:r>
      <w:r>
        <w:rPr>
          <w:rFonts w:ascii="Times New Roman" w:cs="Times New Roman" w:eastAsia="Times New Roman" w:hAnsi="Times New Roman"/>
          <w:sz w:val="18"/>
          <w:szCs w:val="18"/>
          <w:color w:val="auto"/>
        </w:rPr>
        <w:t>” will mean two (2) times the lesser of: (i) Executive’s annualized compensation based upon the annual rate of pay paid to Executive during the Executive’s taxable year preceding the Executive’s taxable year of Executive’s separation from service, as determined under Treasury Regulation Section 1.409A-1(b)(9)(iii)(A)(1) and any Internal Revenue Service guidance issued with respect thereto; or (ii) the maximum amount that may be taken into account under a qualified plan pursuant to Section 401(a)(17) of the Internal Revenue Code for the year in which Executive’s separation from service occurred.</w:t>
      </w:r>
    </w:p>
    <w:p>
      <w:pPr>
        <w:spacing w:after="0" w:line="183" w:lineRule="exact"/>
        <w:rPr>
          <w:rFonts w:ascii="Times New Roman" w:cs="Times New Roman" w:eastAsia="Times New Roman" w:hAnsi="Times New Roman"/>
          <w:sz w:val="18"/>
          <w:szCs w:val="18"/>
          <w:color w:val="auto"/>
        </w:rPr>
      </w:pPr>
    </w:p>
    <w:p>
      <w:pPr>
        <w:jc w:val="both"/>
        <w:ind w:left="-656" w:firstLine="656"/>
        <w:spacing w:after="0" w:line="255" w:lineRule="auto"/>
        <w:tabs>
          <w:tab w:leader="none" w:pos="448"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w:t>
      </w:r>
      <w:r>
        <w:rPr>
          <w:rFonts w:ascii="Times New Roman" w:cs="Times New Roman" w:eastAsia="Times New Roman" w:hAnsi="Times New Roman"/>
          <w:sz w:val="18"/>
          <w:szCs w:val="18"/>
          <w:color w:val="auto"/>
        </w:rPr>
        <w:t>. This Agreement will be binding upon and inure to the benefit of (a) the heirs, executors and legal representatives of Executive upon Executive’s death and (b) any successor of the Company. Any such successor of the Company will be deemed substituted for the Company under the terms of this Agreement for all purposes. For this purpose, “successor” means any person, firm, corporation or other business entity which at any time, whether by purchase, merger or otherwise, directly or indirectly acquires all or substantially all of the assets or business of the Company. None of the rights of Executive to receive any form of compensation payable pursuant to this Agreement may be assigned or transferred except by will or the laws of descent and distribution. Any other attempted assignment, transfer, conveyance or other disposition of Executive’s right to compensation or other benefits will be null and void.</w:t>
      </w:r>
    </w:p>
    <w:p>
      <w:pPr>
        <w:spacing w:after="0" w:line="188"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442"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 All notices, requests, demands and other communications called for hereunder will be in writing and will be deemed given (i) on the date of delivery if delivered personally, (ii) one (1) day after being sent by a well-established commercial overnight service, or (iii) four (4) days after being mailed by registered or certified mail, return receipt requested, prepaid and addressed to the parties or their successors at the following addresses, or at such other addresses as the parties may later designate in writing.</w:t>
      </w:r>
    </w:p>
    <w:p>
      <w:pPr>
        <w:spacing w:after="0" w:line="180"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If to the Company:</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601 Brickell Key Drive, Suite 1000</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Miami, FL 33131</w:t>
      </w:r>
    </w:p>
    <w:p>
      <w:pPr>
        <w:spacing w:after="0" w:line="9"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u w:val="single" w:color="auto"/>
          <w:color w:val="auto"/>
        </w:rPr>
        <w:t>Attn</w:t>
      </w:r>
      <w:r>
        <w:rPr>
          <w:rFonts w:ascii="Times New Roman" w:cs="Times New Roman" w:eastAsia="Times New Roman" w:hAnsi="Times New Roman"/>
          <w:sz w:val="18"/>
          <w:szCs w:val="18"/>
          <w:color w:val="auto"/>
        </w:rPr>
        <w:t>: Robert Duggan, Executive Chairman</w:t>
      </w:r>
    </w:p>
    <w:p>
      <w:pPr>
        <w:spacing w:after="0" w:line="20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If to Executive:</w:t>
      </w:r>
    </w:p>
    <w:p>
      <w:pPr>
        <w:spacing w:after="0" w:line="27" w:lineRule="exact"/>
        <w:rPr>
          <w:sz w:val="20"/>
          <w:szCs w:val="20"/>
          <w:color w:val="auto"/>
        </w:rPr>
      </w:pPr>
    </w:p>
    <w:p>
      <w:pPr>
        <w:ind w:left="644"/>
        <w:spacing w:after="0"/>
        <w:rPr>
          <w:sz w:val="20"/>
          <w:szCs w:val="20"/>
          <w:color w:val="auto"/>
        </w:rPr>
      </w:pPr>
      <w:r>
        <w:rPr>
          <w:rFonts w:ascii="Times New Roman" w:cs="Times New Roman" w:eastAsia="Times New Roman" w:hAnsi="Times New Roman"/>
          <w:sz w:val="18"/>
          <w:szCs w:val="18"/>
          <w:color w:val="auto"/>
        </w:rPr>
        <w:t>at the last residential address known by the Company.</w:t>
      </w:r>
    </w:p>
    <w:p>
      <w:pPr>
        <w:spacing w:after="0" w:line="207" w:lineRule="exact"/>
        <w:rPr>
          <w:sz w:val="20"/>
          <w:szCs w:val="20"/>
          <w:color w:val="auto"/>
        </w:rPr>
      </w:pPr>
    </w:p>
    <w:p>
      <w:pPr>
        <w:ind w:left="-656" w:firstLine="656"/>
        <w:spacing w:after="0" w:line="282" w:lineRule="auto"/>
        <w:tabs>
          <w:tab w:leader="none" w:pos="5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Confidential Information</w:t>
      </w:r>
      <w:r>
        <w:rPr>
          <w:rFonts w:ascii="Times New Roman" w:cs="Times New Roman" w:eastAsia="Times New Roman" w:hAnsi="Times New Roman"/>
          <w:sz w:val="18"/>
          <w:szCs w:val="18"/>
          <w:color w:val="auto"/>
        </w:rPr>
        <w:t>. Executive agrees to enter into and comply with the Company’s standard At-Will Employment, Confidential Information, Invention Assignment, and Arbitration Agreement (the “Confidential Information Agreement”).</w:t>
      </w:r>
    </w:p>
    <w:p>
      <w:pPr>
        <w:spacing w:after="0" w:line="161" w:lineRule="exact"/>
        <w:rPr>
          <w:rFonts w:ascii="Times New Roman" w:cs="Times New Roman" w:eastAsia="Times New Roman" w:hAnsi="Times New Roman"/>
          <w:sz w:val="18"/>
          <w:szCs w:val="18"/>
          <w:color w:val="auto"/>
        </w:rPr>
      </w:pPr>
    </w:p>
    <w:p>
      <w:pPr>
        <w:jc w:val="both"/>
        <w:ind w:left="-656" w:firstLine="656"/>
        <w:spacing w:after="0" w:line="254" w:lineRule="auto"/>
        <w:tabs>
          <w:tab w:leader="none" w:pos="56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Business Opportunities</w:t>
      </w:r>
      <w:r>
        <w:rPr>
          <w:rFonts w:ascii="Times New Roman" w:cs="Times New Roman" w:eastAsia="Times New Roman" w:hAnsi="Times New Roman"/>
          <w:sz w:val="18"/>
          <w:szCs w:val="18"/>
          <w:color w:val="auto"/>
        </w:rPr>
        <w:t>. The Executive agrees, during the Employment Term, to offer or otherwise make known or available to it, as directed by the Board and without additional compensation or consideration, any business prospects, contracts or other business opportunities that Executive may discover, find, develop or otherwise have available to Executive in the Company’s Field of Interest, and further agrees that any such prospects, contacts or other business opportunities shall be the property of the Company. For purposes of this section, "</w:t>
      </w:r>
      <w:r>
        <w:rPr>
          <w:rFonts w:ascii="Times New Roman" w:cs="Times New Roman" w:eastAsia="Times New Roman" w:hAnsi="Times New Roman"/>
          <w:sz w:val="18"/>
          <w:szCs w:val="18"/>
          <w:b w:val="1"/>
          <w:bCs w:val="1"/>
          <w:color w:val="auto"/>
        </w:rPr>
        <w:t>Field of Interest</w:t>
      </w:r>
      <w:r>
        <w:rPr>
          <w:rFonts w:ascii="Times New Roman" w:cs="Times New Roman" w:eastAsia="Times New Roman" w:hAnsi="Times New Roman"/>
          <w:sz w:val="18"/>
          <w:szCs w:val="18"/>
          <w:color w:val="auto"/>
        </w:rPr>
        <w:t>" shall include, without limitation, the development, implementation or licensing or sale of methods of using nanopulse electricity for bio-medical applications, including for diagnosis, detection, prevention, treatment or cure of tumors or cancers of internal organs, or diseases or disorders that can be treated by the ablation of internal tissue, such as atrial fibrillation, as well as other applications and any other business activity engaged in, conducted by or in active planning by the Company or its subsidiaries or affiliates.</w:t>
      </w:r>
    </w:p>
    <w:p>
      <w:pPr>
        <w:spacing w:after="0" w:line="191" w:lineRule="exact"/>
        <w:rPr>
          <w:rFonts w:ascii="Times New Roman" w:cs="Times New Roman" w:eastAsia="Times New Roman" w:hAnsi="Times New Roman"/>
          <w:sz w:val="18"/>
          <w:szCs w:val="18"/>
          <w:color w:val="auto"/>
        </w:rPr>
      </w:pPr>
    </w:p>
    <w:p>
      <w:pPr>
        <w:jc w:val="both"/>
        <w:ind w:left="-656" w:firstLine="656"/>
        <w:spacing w:after="0" w:line="253" w:lineRule="auto"/>
        <w:tabs>
          <w:tab w:leader="none" w:pos="442"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Litigation and Regulatory Cooperation</w:t>
      </w:r>
      <w:r>
        <w:rPr>
          <w:rFonts w:ascii="Times New Roman" w:cs="Times New Roman" w:eastAsia="Times New Roman" w:hAnsi="Times New Roman"/>
          <w:sz w:val="18"/>
          <w:szCs w:val="18"/>
          <w:color w:val="auto"/>
        </w:rPr>
        <w:t>. During and after the Executive’s employment with the Company, the Executive shall cooperate fully with the Company and its affiliates in the defense or prosecution of any claims or actions now in existence or which may be brought in the future against or on behalf of the Company and its affiliates which relate to events or occurrences that transpired while the Executive was employed by the Company. The Executive’s full cooperation in connection with such claims or actions shall include, but not be limited to, being available to meet with counsel to prepare for discovery or trial and to act as a witness on behalf of the Company and its affiliates at mutually convenient times. During and after the Executive’s employment, the Executive also shall cooperate fully with the Company and its affiliates in connection with any such investigation or review of any federal, state or local regulatory authority as any such investigation or review relates to events or occurrences that transpired while the Executive was employed by the Company. The Company shall reimburse the Executive for any reasonable out-of-pocket expenses incurred in connection with the Executive's performance of obligations pursuant to this Section. If assistance is required after Executive is no longer employed by the Company, the Company agrees to compensate Executive by paying Executive a mutually agreed upon hourly rate for all time spend beyond five (5) hours. The performance by the Executive under this Section after the termination of the Executive's employment with the Company shall be subject to Executive’s other employment obligations.</w:t>
      </w:r>
    </w:p>
    <w:p>
      <w:pPr>
        <w:spacing w:after="0" w:line="189" w:lineRule="exact"/>
        <w:rPr>
          <w:rFonts w:ascii="Times New Roman" w:cs="Times New Roman" w:eastAsia="Times New Roman" w:hAnsi="Times New Roman"/>
          <w:sz w:val="18"/>
          <w:szCs w:val="18"/>
          <w:color w:val="auto"/>
        </w:rPr>
      </w:pPr>
    </w:p>
    <w:p>
      <w:pPr>
        <w:jc w:val="both"/>
        <w:ind w:left="-656" w:firstLine="656"/>
        <w:spacing w:after="0" w:line="258" w:lineRule="auto"/>
        <w:tabs>
          <w:tab w:leader="none" w:pos="523"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Insurance</w:t>
      </w:r>
      <w:r>
        <w:rPr>
          <w:rFonts w:ascii="Times New Roman" w:cs="Times New Roman" w:eastAsia="Times New Roman" w:hAnsi="Times New Roman"/>
          <w:sz w:val="18"/>
          <w:szCs w:val="18"/>
          <w:color w:val="auto"/>
        </w:rPr>
        <w:t>. The Executive agrees that the Company or its affiliates may from time to time and for the Company’s or the affiliates’ own benefit apply for and take out life insurance covering the Executive, either independently or together with others, in any amount and form which the Company or an affiliate may deem to be in its best interests. The Company or the respective affiliate shall own all rights in such insurance and in the cash values and proceeds thereof, and the Executive shall not have any right, title or interest therein. The Executive agrees to assist the Company and its affiliates, at the Company's expense, in obtaining any such insurance by, among things, submitting to customary examinations and correctly preparing,</w:t>
      </w:r>
    </w:p>
    <w:p>
      <w:pPr>
        <w:sectPr>
          <w:pgSz w:w="11900" w:h="16838" w:orient="portrait"/>
          <w:cols w:equalWidth="0" w:num="1">
            <w:col w:w="10584"/>
          </w:cols>
          <w:pgMar w:left="976" w:top="360" w:right="339" w:bottom="0" w:gutter="0" w:footer="0" w:header="0"/>
        </w:sectPr>
      </w:pPr>
    </w:p>
    <w:bookmarkStart w:id="12" w:name="page13"/>
    <w:bookmarkEnd w:id="12"/>
    <w:p>
      <w:pPr>
        <w:spacing w:after="0" w:line="282" w:lineRule="auto"/>
        <w:rPr>
          <w:sz w:val="20"/>
          <w:szCs w:val="20"/>
          <w:color w:val="auto"/>
        </w:rPr>
      </w:pPr>
      <w:r>
        <w:rPr>
          <w:rFonts w:ascii="Times New Roman" w:cs="Times New Roman" w:eastAsia="Times New Roman" w:hAnsi="Times New Roman"/>
          <w:sz w:val="18"/>
          <w:szCs w:val="18"/>
          <w:color w:val="auto"/>
        </w:rPr>
        <w:t>signing and delivering such applications and other documents as reasonably may be required. Nothing contained in this Section shall be construed as a limitation on the Executive’s right to procure any life insurance for Executive’s own personal needs.</w:t>
      </w:r>
    </w:p>
    <w:p>
      <w:pPr>
        <w:spacing w:after="0" w:line="162" w:lineRule="exact"/>
        <w:rPr>
          <w:sz w:val="20"/>
          <w:szCs w:val="20"/>
          <w:color w:val="auto"/>
        </w:rPr>
      </w:pPr>
    </w:p>
    <w:p>
      <w:pPr>
        <w:ind w:left="1100" w:hanging="444"/>
        <w:spacing w:after="0"/>
        <w:tabs>
          <w:tab w:leader="none" w:pos="11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 Provisions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4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No provision of this Agreement will be modified, waived or discharged unless the modification, waiver or discharge is agreed to in writing and signed by Executive and by an authorized officer of the Company (other than Executive) that is expressly designated as an amendment to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85"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w:t>
      </w:r>
      <w:r>
        <w:rPr>
          <w:rFonts w:ascii="Times New Roman" w:cs="Times New Roman" w:eastAsia="Times New Roman" w:hAnsi="Times New Roman"/>
          <w:sz w:val="18"/>
          <w:szCs w:val="18"/>
          <w:color w:val="auto"/>
        </w:rPr>
        <w:t>. No waiver by either party of any breach of, or of compliance with, any condition or provision of this Agreement by the other party will be considered a waiver of any other condition or provision or of the same condition or provision at another time.</w:t>
      </w:r>
    </w:p>
    <w:p>
      <w:pPr>
        <w:spacing w:after="0" w:line="161" w:lineRule="exact"/>
        <w:rPr>
          <w:rFonts w:ascii="Times New Roman" w:cs="Times New Roman" w:eastAsia="Times New Roman" w:hAnsi="Times New Roman"/>
          <w:sz w:val="18"/>
          <w:szCs w:val="18"/>
          <w:color w:val="auto"/>
        </w:rPr>
      </w:pPr>
    </w:p>
    <w:p>
      <w:pPr>
        <w:ind w:left="1720" w:hanging="416"/>
        <w:spacing w:after="0"/>
        <w:tabs>
          <w:tab w:leader="none" w:pos="1720"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All captions and section headings used in this Agreement are for convenient reference only and do not form a part of this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jc w:val="both"/>
        <w:ind w:firstLine="1304"/>
        <w:spacing w:after="0" w:line="255" w:lineRule="auto"/>
        <w:tabs>
          <w:tab w:leader="none" w:pos="1771"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On or prior to the Start Date, the parties will execute a separate indemnification agreement consistent with the Company’s standard practices (“</w:t>
      </w:r>
      <w:r>
        <w:rPr>
          <w:rFonts w:ascii="Times New Roman" w:cs="Times New Roman" w:eastAsia="Times New Roman" w:hAnsi="Times New Roman"/>
          <w:sz w:val="18"/>
          <w:szCs w:val="18"/>
          <w:b w:val="1"/>
          <w:bCs w:val="1"/>
          <w:color w:val="auto"/>
        </w:rPr>
        <w:t>Indemnification Agreement</w:t>
      </w:r>
      <w:r>
        <w:rPr>
          <w:rFonts w:ascii="Times New Roman" w:cs="Times New Roman" w:eastAsia="Times New Roman" w:hAnsi="Times New Roman"/>
          <w:sz w:val="18"/>
          <w:szCs w:val="18"/>
          <w:color w:val="auto"/>
        </w:rPr>
        <w:t>”). This Agreement, together with the Indemnification Agreement, Plan, Option Agreement, and the Confidential Information Agreement (and its exhibits) represents the entire agreement and understanding between the parties as to the subject matter herein and supersedes all prior or contemporaneous agreements whether written or oral. With respect to stock options or other Equity Awards granted on or after the date of this Agreement, the acceleration of vesting provisions provided herein will apply to such stock options or other Equity Awards. This Agreement may be modified only by agreement of the parties by a written instrument executed by the parties that is designated as an amendment to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3" w:name="page14"/>
    <w:bookmarkEnd w:id="13"/>
    <w:p>
      <w:pPr>
        <w:ind w:left="1760" w:hanging="456"/>
        <w:spacing w:after="0"/>
        <w:tabs>
          <w:tab w:leader="none" w:pos="17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will be governed by the laws of the State of California (with the exception of its conflict of laws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provisions).</w:t>
      </w:r>
    </w:p>
    <w:p>
      <w:pPr>
        <w:spacing w:after="0" w:line="207" w:lineRule="exact"/>
        <w:rPr>
          <w:sz w:val="20"/>
          <w:szCs w:val="20"/>
          <w:color w:val="auto"/>
        </w:rPr>
      </w:pPr>
    </w:p>
    <w:p>
      <w:pPr>
        <w:ind w:firstLine="1304"/>
        <w:spacing w:after="0" w:line="282" w:lineRule="auto"/>
        <w:tabs>
          <w:tab w:leader="none" w:pos="1795"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The invalidity or unenforceability of any provision or provisions of this Agreement will not affect the validity or enforceability of any other provision hereof, which will remain in full force and effect.</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74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w:t>
      </w:r>
      <w:r>
        <w:rPr>
          <w:rFonts w:ascii="Times New Roman" w:cs="Times New Roman" w:eastAsia="Times New Roman" w:hAnsi="Times New Roman"/>
          <w:sz w:val="18"/>
          <w:szCs w:val="18"/>
          <w:color w:val="auto"/>
        </w:rPr>
        <w:t>. All payments made pursuant to this Agreement will be subject to all applicable withholdings, including all applicable income and employment taxes, as determined in the Company’s reasonable judgment.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1798"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Acknowledgment</w:t>
      </w:r>
      <w:r>
        <w:rPr>
          <w:rFonts w:ascii="Times New Roman" w:cs="Times New Roman" w:eastAsia="Times New Roman" w:hAnsi="Times New Roman"/>
          <w:sz w:val="18"/>
          <w:szCs w:val="18"/>
          <w:color w:val="auto"/>
        </w:rPr>
        <w:t>. Executive acknowledges that Executive has had the opportunity to discuss this matter with and obtain advice from Executive’s private attorney, has had sufficient time to, and has carefully read and fully understands all the provisions of this Agreement, and is knowingly and voluntarily entering into this Agreement.</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772"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counterparts, and each counterpart will have the same force and effect as an original and will constitute an effective, binding agreement on the part of each of the undersigned.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379730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80" w:right="339" w:bottom="1440" w:gutter="0" w:footer="0" w:header="0"/>
        </w:sectPr>
      </w:pPr>
    </w:p>
    <w:bookmarkStart w:id="14" w:name="page15"/>
    <w:bookmarkEnd w:id="14"/>
    <w:p>
      <w:pPr>
        <w:jc w:val="center"/>
        <w:ind w:right="-19"/>
        <w:spacing w:after="0"/>
        <w:rPr>
          <w:sz w:val="20"/>
          <w:szCs w:val="20"/>
          <w:color w:val="auto"/>
        </w:rPr>
      </w:pPr>
      <w:r>
        <w:rPr>
          <w:rFonts w:ascii="Times New Roman" w:cs="Times New Roman" w:eastAsia="Times New Roman" w:hAnsi="Times New Roman"/>
          <w:sz w:val="18"/>
          <w:szCs w:val="18"/>
          <w:color w:val="auto"/>
        </w:rPr>
        <w:t>[SIGNATURE PAGE TO BARRETT EMPLOYMENT AGREEMENT]</w:t>
      </w:r>
    </w:p>
    <w:p>
      <w:pPr>
        <w:spacing w:after="0" w:line="200" w:lineRule="exact"/>
        <w:rPr>
          <w:sz w:val="20"/>
          <w:szCs w:val="20"/>
          <w:color w:val="auto"/>
        </w:rPr>
      </w:pPr>
    </w:p>
    <w:p>
      <w:pPr>
        <w:spacing w:after="0" w:line="24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 WITNESS WHEREOF, each of the parties has executed this Agreement, in the case of the Company by its duly authorized officer, as of the day and year set forth below.</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COMPANY</w:t>
            </w: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Pulse Biosciences, Inc.</w:t>
            </w:r>
          </w:p>
        </w:tc>
      </w:tr>
      <w:tr>
        <w:trPr>
          <w:trHeight w:val="432"/>
        </w:trPr>
        <w:tc>
          <w:tcPr>
            <w:tcW w:w="2820" w:type="dxa"/>
            <w:vAlign w:val="bottom"/>
          </w:tcPr>
          <w:p>
            <w:pPr>
              <w:spacing w:after="0"/>
              <w:rPr>
                <w:sz w:val="24"/>
                <w:szCs w:val="24"/>
                <w:color w:val="auto"/>
              </w:rPr>
            </w:pP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Robert Duggan</w:t>
            </w:r>
          </w:p>
        </w:tc>
        <w:tc>
          <w:tcPr>
            <w:tcW w:w="240" w:type="dxa"/>
            <w:vAlign w:val="bottom"/>
          </w:tcPr>
          <w:p>
            <w:pPr>
              <w:spacing w:after="0"/>
              <w:rPr>
                <w:sz w:val="24"/>
                <w:szCs w:val="24"/>
                <w:color w:val="auto"/>
              </w:rPr>
            </w:pPr>
          </w:p>
        </w:tc>
      </w:tr>
      <w:tr>
        <w:trPr>
          <w:trHeight w:val="426"/>
        </w:trPr>
        <w:tc>
          <w:tcPr>
            <w:tcW w:w="28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Robert Duggan</w:t>
            </w:r>
          </w:p>
        </w:tc>
      </w:tr>
      <w:tr>
        <w:trPr>
          <w:trHeight w:val="432"/>
        </w:trPr>
        <w:tc>
          <w:tcPr>
            <w:tcW w:w="2820" w:type="dxa"/>
            <w:vAlign w:val="bottom"/>
          </w:tcPr>
          <w:p>
            <w:pPr>
              <w:spacing w:after="0"/>
              <w:rPr>
                <w:sz w:val="24"/>
                <w:szCs w:val="24"/>
                <w:color w:val="auto"/>
              </w:rPr>
            </w:pPr>
          </w:p>
        </w:tc>
        <w:tc>
          <w:tcPr>
            <w:tcW w:w="1920" w:type="dxa"/>
            <w:vAlign w:val="bottom"/>
            <w:gridSpan w:val="3"/>
          </w:tcPr>
          <w:p>
            <w:pPr>
              <w:spacing w:after="0"/>
              <w:rPr>
                <w:sz w:val="20"/>
                <w:szCs w:val="20"/>
                <w:color w:val="auto"/>
              </w:rPr>
            </w:pPr>
            <w:r>
              <w:rPr>
                <w:rFonts w:ascii="Times New Roman" w:cs="Times New Roman" w:eastAsia="Times New Roman" w:hAnsi="Times New Roman"/>
                <w:sz w:val="18"/>
                <w:szCs w:val="18"/>
                <w:color w:val="auto"/>
                <w:w w:val="99"/>
              </w:rPr>
              <w:t>Title: Executive Chairman</w:t>
            </w:r>
          </w:p>
        </w:tc>
      </w:tr>
      <w:tr>
        <w:trPr>
          <w:trHeight w:val="432"/>
        </w:trPr>
        <w:tc>
          <w:tcPr>
            <w:tcW w:w="2820" w:type="dxa"/>
            <w:vAlign w:val="bottom"/>
          </w:tcPr>
          <w:p>
            <w:pPr>
              <w:spacing w:after="0"/>
              <w:rPr>
                <w:sz w:val="20"/>
                <w:szCs w:val="20"/>
                <w:color w:val="auto"/>
              </w:rPr>
            </w:pPr>
            <w:r>
              <w:rPr>
                <w:rFonts w:ascii="Times New Roman" w:cs="Times New Roman" w:eastAsia="Times New Roman" w:hAnsi="Times New Roman"/>
                <w:sz w:val="18"/>
                <w:szCs w:val="18"/>
                <w:color w:val="auto"/>
              </w:rPr>
              <w:t>EXECUTIVE</w:t>
            </w:r>
          </w:p>
        </w:tc>
        <w:tc>
          <w:tcPr>
            <w:tcW w:w="1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/s/ Burke T. Barrett</w:t>
            </w:r>
          </w:p>
        </w:tc>
        <w:tc>
          <w:tcPr>
            <w:tcW w:w="240" w:type="dxa"/>
            <w:vAlign w:val="bottom"/>
          </w:tcPr>
          <w:p>
            <w:pPr>
              <w:spacing w:after="0"/>
              <w:rPr>
                <w:sz w:val="24"/>
                <w:szCs w:val="24"/>
                <w:color w:val="auto"/>
              </w:rPr>
            </w:pPr>
          </w:p>
        </w:tc>
      </w:tr>
      <w:tr>
        <w:trPr>
          <w:trHeight w:val="426"/>
        </w:trPr>
        <w:tc>
          <w:tcPr>
            <w:tcW w:w="2820" w:type="dxa"/>
            <w:vAlign w:val="bottom"/>
          </w:tcPr>
          <w:p>
            <w:pPr>
              <w:spacing w:after="0"/>
              <w:rPr>
                <w:sz w:val="24"/>
                <w:szCs w:val="24"/>
                <w:color w:val="auto"/>
              </w:rPr>
            </w:pPr>
          </w:p>
        </w:tc>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Burke T. Barrett</w:t>
            </w:r>
          </w:p>
        </w:tc>
      </w:tr>
    </w:tbl>
    <w:p>
      <w:pPr>
        <w:sectPr>
          <w:pgSz w:w="11900" w:h="16838" w:orient="portrait"/>
          <w:cols w:equalWidth="0" w:num="1">
            <w:col w:w="11220"/>
          </w:cols>
          <w:pgMar w:left="320" w:top="580" w:right="359" w:bottom="1440" w:gutter="0" w:footer="0" w:header="0"/>
        </w:sectPr>
      </w:pPr>
    </w:p>
    <w:bookmarkStart w:id="15" w:name="page16"/>
    <w:bookmarkEnd w:id="15"/>
    <w:p>
      <w:pPr>
        <w:jc w:val="right"/>
        <w:spacing w:after="0"/>
        <w:rPr>
          <w:sz w:val="20"/>
          <w:szCs w:val="20"/>
          <w:color w:val="auto"/>
        </w:rPr>
      </w:pPr>
      <w:r>
        <w:rPr>
          <w:rFonts w:ascii="Times New Roman" w:cs="Times New Roman" w:eastAsia="Times New Roman" w:hAnsi="Times New Roman"/>
          <w:sz w:val="18"/>
          <w:szCs w:val="18"/>
          <w:b w:val="1"/>
          <w:bCs w:val="1"/>
          <w:color w:val="auto"/>
        </w:rPr>
        <w:t>Exhibit 10.2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AMENDED AND RESTATED 2017 INDUCEMENT EQUITY INCENTIVE PLAN</w:t>
      </w:r>
    </w:p>
    <w:p>
      <w:pPr>
        <w:spacing w:after="0" w:line="229" w:lineRule="exact"/>
        <w:rPr>
          <w:sz w:val="20"/>
          <w:szCs w:val="20"/>
          <w:color w:val="auto"/>
        </w:rPr>
      </w:pPr>
    </w:p>
    <w:p>
      <w:pPr>
        <w:jc w:val="both"/>
        <w:ind w:firstLine="656"/>
        <w:spacing w:after="0" w:line="255" w:lineRule="auto"/>
        <w:tabs>
          <w:tab w:leader="none" w:pos="13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Purposes of the Plan</w:t>
      </w:r>
      <w:r>
        <w:rPr>
          <w:rFonts w:ascii="Times New Roman" w:cs="Times New Roman" w:eastAsia="Times New Roman" w:hAnsi="Times New Roman"/>
          <w:sz w:val="18"/>
          <w:szCs w:val="18"/>
          <w:color w:val="auto"/>
        </w:rPr>
        <w:t>. The purposes of this Plan are to attract and retain the best available personnel for positions of substantial responsibility by providing an inducement material to individuals’ entering into employment with the Company or any Parent or Subsidiary of the Company. The Plan permits the grant of Nonstatutory Stock Options, Restricted Stock, Restricted Stock Units, Stock Appreciation Rights, Performance Units and Performance Shares. Each Award under the Plan is intended to qualify as an employment inducement grant under Nasdaq Listing Rule 5635(c)</w:t>
      </w:r>
    </w:p>
    <w:p>
      <w:pPr>
        <w:spacing w:after="0" w:line="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w:t>
      </w:r>
    </w:p>
    <w:p>
      <w:pPr>
        <w:spacing w:after="0" w:line="206"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w:t>
      </w:r>
      <w:r>
        <w:rPr>
          <w:rFonts w:ascii="Times New Roman" w:cs="Times New Roman" w:eastAsia="Times New Roman" w:hAnsi="Times New Roman"/>
          <w:sz w:val="18"/>
          <w:szCs w:val="18"/>
          <w:color w:val="auto"/>
        </w:rPr>
        <w:t>. As used herein, the following definitions will apply:</w:t>
      </w:r>
    </w:p>
    <w:p>
      <w:pPr>
        <w:spacing w:after="0" w:line="22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Administrator</w:t>
      </w:r>
      <w:r>
        <w:rPr>
          <w:rFonts w:ascii="Times New Roman" w:cs="Times New Roman" w:eastAsia="Times New Roman" w:hAnsi="Times New Roman"/>
          <w:sz w:val="18"/>
          <w:szCs w:val="18"/>
          <w:color w:val="auto"/>
        </w:rPr>
        <w:t>” means the Board or any of its Committees as will be administering the Plan, in accordance with Section 4 of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29"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Applicable Laws</w:t>
      </w:r>
      <w:r>
        <w:rPr>
          <w:rFonts w:ascii="Times New Roman" w:cs="Times New Roman" w:eastAsia="Times New Roman" w:hAnsi="Times New Roman"/>
          <w:sz w:val="18"/>
          <w:szCs w:val="18"/>
          <w:color w:val="auto"/>
        </w:rPr>
        <w:t>” means the legal and regulatory requirements relating to the administration of equity-based awards and the related issuance of Shares thereunder, including but not limited to U.S. federal and state corporate laws, U.S. federal and state securities laws, the Code, any stock exchange or quotation system on which the Common Stock is listed or quoted and the applicable laws of any non-U.S. country or jurisdiction where Awards are, or will be, granted under the Plan.</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64"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w:t>
      </w:r>
      <w:r>
        <w:rPr>
          <w:rFonts w:ascii="Times New Roman" w:cs="Times New Roman" w:eastAsia="Times New Roman" w:hAnsi="Times New Roman"/>
          <w:sz w:val="18"/>
          <w:szCs w:val="18"/>
          <w:color w:val="auto"/>
        </w:rPr>
        <w:t>” means, individually or collectively, a grant under the Plan of Options, Stock Appreciation Rights, Restricted Stock, Restricted Stock Units, Performance Units or Performance Shares.</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33"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means the written or electronic agreement setting forth the terms and provisions applicable to each Award granted under the Plan. The Award Agreement is subject to the terms and conditions of the Plan.</w:t>
      </w:r>
    </w:p>
    <w:p>
      <w:pPr>
        <w:spacing w:after="0" w:line="161"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Board</w:t>
      </w:r>
      <w:r>
        <w:rPr>
          <w:rFonts w:ascii="Times New Roman" w:cs="Times New Roman" w:eastAsia="Times New Roman" w:hAnsi="Times New Roman"/>
          <w:sz w:val="18"/>
          <w:szCs w:val="18"/>
          <w:color w:val="auto"/>
        </w:rPr>
        <w:t>” means the Board of Directors of the Company.</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1"/>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means the occurrence of any of the following events:</w:t>
      </w:r>
    </w:p>
    <w:p>
      <w:pPr>
        <w:spacing w:after="0" w:line="225" w:lineRule="exact"/>
        <w:rPr>
          <w:rFonts w:ascii="Times New Roman" w:cs="Times New Roman" w:eastAsia="Times New Roman" w:hAnsi="Times New Roman"/>
          <w:sz w:val="18"/>
          <w:szCs w:val="18"/>
          <w:color w:val="auto"/>
        </w:rPr>
      </w:pPr>
    </w:p>
    <w:p>
      <w:pPr>
        <w:jc w:val="both"/>
        <w:ind w:firstLine="2276"/>
        <w:spacing w:after="0" w:line="258" w:lineRule="auto"/>
        <w:tabs>
          <w:tab w:leader="none" w:pos="287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the Company which occurs on the date that any one person, or more than one person acting as a group (“</w:t>
      </w:r>
      <w:r>
        <w:rPr>
          <w:rFonts w:ascii="Times New Roman" w:cs="Times New Roman" w:eastAsia="Times New Roman" w:hAnsi="Times New Roman"/>
          <w:sz w:val="18"/>
          <w:szCs w:val="18"/>
          <w:u w:val="single" w:color="auto"/>
          <w:color w:val="auto"/>
        </w:rPr>
        <w:t>Person</w:t>
      </w:r>
      <w:r>
        <w:rPr>
          <w:rFonts w:ascii="Times New Roman" w:cs="Times New Roman" w:eastAsia="Times New Roman" w:hAnsi="Times New Roman"/>
          <w:sz w:val="18"/>
          <w:szCs w:val="18"/>
          <w:color w:val="auto"/>
        </w:rPr>
        <w:t>”), acquires ownership of the stock of the Company that, together with the stock held by such Person, constitutes more than fifty percent (50%) of the total voting power of the stock of the Company; provided, however, that for purposes of this subsection, the acquisition of additional stock by any one Person, who is considered to own more than fifty percent (50%) of the total voting power of the stock of the Company will not be considered a Change in Control; or</w:t>
      </w:r>
    </w:p>
    <w:p>
      <w:pPr>
        <w:spacing w:after="0" w:line="183" w:lineRule="exact"/>
        <w:rPr>
          <w:rFonts w:ascii="Times New Roman" w:cs="Times New Roman" w:eastAsia="Times New Roman" w:hAnsi="Times New Roman"/>
          <w:sz w:val="18"/>
          <w:szCs w:val="18"/>
          <w:color w:val="auto"/>
        </w:rPr>
      </w:pPr>
    </w:p>
    <w:p>
      <w:pPr>
        <w:jc w:val="both"/>
        <w:ind w:firstLine="2276"/>
        <w:spacing w:after="0" w:line="261" w:lineRule="auto"/>
        <w:tabs>
          <w:tab w:leader="none" w:pos="2853"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effective control of the Company which occurs on the date that a majority of members of the Board is replaced during any twelve (12) month period by Directors whose appointment or election is not endorsed by a majority of the members of the Board prior to the date of the appointment or election. For purposes of this clause (ii), if any Person is considered to be in effective control of the Company, the acquisition of additional control of the Company by the same Person will not be considered a Change in Control; or</w:t>
      </w:r>
    </w:p>
    <w:p>
      <w:pPr>
        <w:spacing w:after="0" w:line="179" w:lineRule="exact"/>
        <w:rPr>
          <w:rFonts w:ascii="Times New Roman" w:cs="Times New Roman" w:eastAsia="Times New Roman" w:hAnsi="Times New Roman"/>
          <w:sz w:val="18"/>
          <w:szCs w:val="18"/>
          <w:color w:val="auto"/>
        </w:rPr>
      </w:pPr>
    </w:p>
    <w:p>
      <w:pPr>
        <w:jc w:val="both"/>
        <w:ind w:firstLine="2276"/>
        <w:spacing w:after="0" w:line="253" w:lineRule="auto"/>
        <w:tabs>
          <w:tab w:leader="none" w:pos="2981" w:val="left"/>
        </w:tabs>
        <w:numPr>
          <w:ilvl w:val="2"/>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change in the ownership of a substantial portion of the Company’s assets which occurs on the date that any Person acquires (or has acquired during the twelve (12) month period ending on the date of the most recent acquisition by such person or persons) assets from the Company that have a total gross fair market value equal to or more than fifty percent (50%) of the total gross fair market value of all of the assets of the Company immediately prior to such acquisition or acquisitions; provided, however, that for purposes of this subsection (iii), the following will not constitute a change in the ownership of a substantial portion of the Company’s assets: (A) a transfer to an entity that is controlled by the Company’s stockholders immediately after the transfer, or (B) a transfer of assets by the Company to: (1) a stockholder of the Company (immediately before the asset transfer) in exchange for or with respect to the Company’s stock, (2) an entity, fifty percent (50%) or more of the total value or voting power of which is owned, directly or indirectly, by the Company, (3) a Person, that owns, directly or indirectly, fifty percent (50%) or more of the total value or voting power of all the outstanding stock of the Company, or (4) an entity, at least fifty percent (50%) of the total value or voting power of which is owned, directly or indirectly, by a Person described in this subsection (iii)(B)(3). For purposes of this subsection (iii), gross fair market value means the value of the assets of the Company, or the value of the assets being disposed of, determined without regard to any liabilities associated with such assets.</w:t>
      </w:r>
    </w:p>
    <w:p>
      <w:pPr>
        <w:spacing w:after="0" w:line="192" w:lineRule="exact"/>
        <w:rPr>
          <w:sz w:val="20"/>
          <w:szCs w:val="20"/>
          <w:color w:val="auto"/>
        </w:rPr>
      </w:pPr>
    </w:p>
    <w:p>
      <w:pPr>
        <w:jc w:val="both"/>
        <w:ind w:firstLine="2268"/>
        <w:spacing w:after="0" w:line="282" w:lineRule="auto"/>
        <w:rPr>
          <w:sz w:val="20"/>
          <w:szCs w:val="20"/>
          <w:color w:val="auto"/>
        </w:rPr>
      </w:pPr>
      <w:r>
        <w:rPr>
          <w:rFonts w:ascii="Times New Roman" w:cs="Times New Roman" w:eastAsia="Times New Roman" w:hAnsi="Times New Roman"/>
          <w:sz w:val="18"/>
          <w:szCs w:val="18"/>
          <w:color w:val="auto"/>
        </w:rPr>
        <w:t>For purposes of this definition, persons will be considered to be acting as a group if they are owners of a corporation that enters into a merger, consolidation, purchase or acquisition of stock, or similar business transaction with the Company.</w:t>
      </w:r>
    </w:p>
    <w:p>
      <w:pPr>
        <w:spacing w:after="0" w:line="162" w:lineRule="exact"/>
        <w:rPr>
          <w:sz w:val="20"/>
          <w:szCs w:val="20"/>
          <w:color w:val="auto"/>
        </w:rPr>
      </w:pPr>
    </w:p>
    <w:p>
      <w:pPr>
        <w:jc w:val="both"/>
        <w:ind w:firstLine="2268"/>
        <w:spacing w:after="0" w:line="266" w:lineRule="auto"/>
        <w:rPr>
          <w:sz w:val="20"/>
          <w:szCs w:val="20"/>
          <w:color w:val="auto"/>
        </w:rPr>
      </w:pPr>
      <w:r>
        <w:rPr>
          <w:rFonts w:ascii="Times New Roman" w:cs="Times New Roman" w:eastAsia="Times New Roman" w:hAnsi="Times New Roman"/>
          <w:sz w:val="18"/>
          <w:szCs w:val="18"/>
          <w:color w:val="auto"/>
        </w:rPr>
        <w:t>Notwithstanding the foregoing, a transaction will not be deemed a Change in Control unless the transaction qualifies as a change in control event within the meaning of Code Section 409A, as it has been and may be amended from time to time, and any proposed or final Treasury Regulations and Internal Revenue Service guidance that has been promulgated or may be promulgated thereunder from time to time.</w:t>
      </w:r>
    </w:p>
    <w:p>
      <w:pPr>
        <w:spacing w:after="0" w:line="176" w:lineRule="exact"/>
        <w:rPr>
          <w:sz w:val="20"/>
          <w:szCs w:val="20"/>
          <w:color w:val="auto"/>
        </w:rPr>
      </w:pPr>
    </w:p>
    <w:p>
      <w:pPr>
        <w:jc w:val="both"/>
        <w:ind w:firstLine="2268"/>
        <w:spacing w:after="0" w:line="266" w:lineRule="auto"/>
        <w:rPr>
          <w:sz w:val="20"/>
          <w:szCs w:val="20"/>
          <w:color w:val="auto"/>
        </w:rPr>
      </w:pPr>
      <w:r>
        <w:rPr>
          <w:rFonts w:ascii="Times New Roman" w:cs="Times New Roman" w:eastAsia="Times New Roman" w:hAnsi="Times New Roman"/>
          <w:sz w:val="18"/>
          <w:szCs w:val="18"/>
          <w:color w:val="auto"/>
        </w:rPr>
        <w:t>Further and for the avoidance of doubt, a transaction will not constitute a Change in Control if: (i) its sole purpose is to change the state of the Company’s incorporation, or (ii) its sole purpose is to create a holding company that will be owned in substantially the same proportions by the persons who held the Company’s securities immediately before such transaction.</w:t>
      </w:r>
    </w:p>
    <w:p>
      <w:pPr>
        <w:spacing w:after="0" w:line="176" w:lineRule="exact"/>
        <w:rPr>
          <w:sz w:val="20"/>
          <w:szCs w:val="20"/>
          <w:color w:val="auto"/>
        </w:rPr>
      </w:pPr>
    </w:p>
    <w:p>
      <w:pPr>
        <w:jc w:val="both"/>
        <w:ind w:firstLine="1304"/>
        <w:spacing w:after="0" w:line="266" w:lineRule="auto"/>
        <w:tabs>
          <w:tab w:leader="none" w:pos="193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means the Internal Revenue Code of 1986, as amended. Reference to a specific section of the Code or regulation thereunder will include such section or regulation, any valid regulation promulgated under such section, and any comparable provision of any future legislation or regulation amending, supplementing or superseding such section or regulation.</w:t>
      </w:r>
    </w:p>
    <w:p>
      <w:pPr>
        <w:spacing w:after="0" w:line="175" w:lineRule="exact"/>
        <w:rPr>
          <w:rFonts w:ascii="Times New Roman" w:cs="Times New Roman" w:eastAsia="Times New Roman" w:hAnsi="Times New Roman"/>
          <w:sz w:val="18"/>
          <w:szCs w:val="18"/>
          <w:color w:val="auto"/>
        </w:rPr>
      </w:pPr>
    </w:p>
    <w:p>
      <w:pPr>
        <w:ind w:right="20" w:firstLine="1304"/>
        <w:spacing w:after="0" w:line="282" w:lineRule="auto"/>
        <w:tabs>
          <w:tab w:leader="none" w:pos="1902"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Committee</w:t>
      </w:r>
      <w:r>
        <w:rPr>
          <w:rFonts w:ascii="Times New Roman" w:cs="Times New Roman" w:eastAsia="Times New Roman" w:hAnsi="Times New Roman"/>
          <w:sz w:val="18"/>
          <w:szCs w:val="18"/>
          <w:color w:val="auto"/>
        </w:rPr>
        <w:t>” means a committee of Directors or of other individuals satisfying Applicable Laws appointed by the Board, or a duly authorized committee of the Board, in accordance with Section 4 hereof.</w:t>
      </w:r>
    </w:p>
    <w:p>
      <w:pPr>
        <w:spacing w:after="0" w:line="161"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Common Stock</w:t>
      </w:r>
      <w:r>
        <w:rPr>
          <w:rFonts w:ascii="Times New Roman" w:cs="Times New Roman" w:eastAsia="Times New Roman" w:hAnsi="Times New Roman"/>
          <w:sz w:val="18"/>
          <w:szCs w:val="18"/>
          <w:color w:val="auto"/>
        </w:rPr>
        <w:t>” means the common stock of the Company.</w:t>
      </w:r>
    </w:p>
    <w:p>
      <w:pPr>
        <w:spacing w:after="0" w:line="225"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means Pulse Biosciences, Inc., a Nevada corporation, or any successor thereto.</w:t>
      </w:r>
    </w:p>
    <w:p>
      <w:pPr>
        <w:sectPr>
          <w:pgSz w:w="11900" w:h="16838" w:orient="portrait"/>
          <w:cols w:equalWidth="0" w:num="1">
            <w:col w:w="11240"/>
          </w:cols>
          <w:pgMar w:left="320" w:top="117" w:right="339" w:bottom="0" w:gutter="0" w:footer="0" w:header="0"/>
        </w:sectPr>
      </w:pPr>
    </w:p>
    <w:bookmarkStart w:id="16" w:name="page17"/>
    <w:bookmarkEnd w:id="16"/>
    <w:p>
      <w:pPr>
        <w:jc w:val="both"/>
        <w:ind w:left="-1120" w:firstLine="1304"/>
        <w:spacing w:after="0" w:line="266" w:lineRule="auto"/>
        <w:tabs>
          <w:tab w:leader="none" w:pos="74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Consultant</w:t>
      </w:r>
      <w:r>
        <w:rPr>
          <w:rFonts w:ascii="Times New Roman" w:cs="Times New Roman" w:eastAsia="Times New Roman" w:hAnsi="Times New Roman"/>
          <w:sz w:val="18"/>
          <w:szCs w:val="18"/>
          <w:color w:val="auto"/>
        </w:rPr>
        <w:t>” means any natural person, including an advisor, engaged by the Company or a Parent or Subsidiary to render bona fide services to such entity, provided the services (i) are not in connection with the offer or sale of securities in a capital-raising transaction, and (ii) do not directly promote or maintain a market for the Company’s securities, in each case, within the meaning of Form S-8 promulgated under the Securities Act.</w:t>
      </w:r>
    </w:p>
    <w:p>
      <w:pPr>
        <w:spacing w:after="0" w:line="175" w:lineRule="exact"/>
        <w:rPr>
          <w:rFonts w:ascii="Times New Roman" w:cs="Times New Roman" w:eastAsia="Times New Roman" w:hAnsi="Times New Roman"/>
          <w:sz w:val="18"/>
          <w:szCs w:val="18"/>
          <w:color w:val="auto"/>
        </w:rPr>
      </w:pPr>
    </w:p>
    <w:p>
      <w:pPr>
        <w:ind w:left="760" w:hanging="576"/>
        <w:spacing w:after="0"/>
        <w:tabs>
          <w:tab w:leader="none" w:pos="7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Director</w:t>
      </w:r>
      <w:r>
        <w:rPr>
          <w:rFonts w:ascii="Times New Roman" w:cs="Times New Roman" w:eastAsia="Times New Roman" w:hAnsi="Times New Roman"/>
          <w:sz w:val="18"/>
          <w:szCs w:val="18"/>
          <w:color w:val="auto"/>
        </w:rPr>
        <w:t>” means a member of the Board.</w:t>
      </w:r>
    </w:p>
    <w:p>
      <w:pPr>
        <w:spacing w:after="0" w:line="225" w:lineRule="exact"/>
        <w:rPr>
          <w:rFonts w:ascii="Times New Roman" w:cs="Times New Roman" w:eastAsia="Times New Roman" w:hAnsi="Times New Roman"/>
          <w:sz w:val="18"/>
          <w:szCs w:val="18"/>
          <w:color w:val="auto"/>
        </w:rPr>
      </w:pPr>
    </w:p>
    <w:p>
      <w:pPr>
        <w:ind w:left="-1120" w:firstLine="1304"/>
        <w:spacing w:after="0" w:line="282" w:lineRule="auto"/>
        <w:tabs>
          <w:tab w:leader="none" w:pos="70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Disability</w:t>
      </w:r>
      <w:r>
        <w:rPr>
          <w:rFonts w:ascii="Times New Roman" w:cs="Times New Roman" w:eastAsia="Times New Roman" w:hAnsi="Times New Roman"/>
          <w:sz w:val="18"/>
          <w:szCs w:val="18"/>
          <w:color w:val="auto"/>
        </w:rPr>
        <w:t>” means total and permanent disability, as determined by the Administrator in its discretion in accordance with uniform and non-discriminatory standards adopted by the Administrator from time to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337185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337" w:right="339" w:bottom="1440" w:gutter="0" w:footer="0" w:header="0"/>
        </w:sectPr>
      </w:pPr>
    </w:p>
    <w:bookmarkStart w:id="17" w:name="page18"/>
    <w:bookmarkEnd w:id="17"/>
    <w:p>
      <w:pPr>
        <w:jc w:val="both"/>
        <w:ind w:firstLine="1304"/>
        <w:spacing w:after="0" w:line="254" w:lineRule="auto"/>
        <w:tabs>
          <w:tab w:leader="none" w:pos="188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Employee</w:t>
      </w:r>
      <w:r>
        <w:rPr>
          <w:rFonts w:ascii="Times New Roman" w:cs="Times New Roman" w:eastAsia="Times New Roman" w:hAnsi="Times New Roman"/>
          <w:sz w:val="18"/>
          <w:szCs w:val="18"/>
          <w:color w:val="auto"/>
        </w:rPr>
        <w:t>” means any person, including Officers and Directors, employed by the Company or any Parent or Subsidiary of the Company. Neither service as a Director nor payment of a director’s fee by the Company will be sufficient to constitute “employment” by the Company. However, for the avoidance of doubt, although a person who is an Employee also may be a Director, a person who already is serving as a Director prior to becoming an Employee will not be eligible to be granted an Award under the Plan unless permitted under the Nasdaq Listing Rules. The Company shall determine in good faith and in the exercise of its discretion whether an individual has become or has ceased to be an Employee and the effective date of such individual’s employment or termination of employment, as the case may be. For purposes of an individual’s rights, if any, under the Plan as of the time of the Company’s determination, all such determinations by the Company shall be final, binding and conclusive, notwithstanding that the Company or any court of law or governmental agency subsequently makes a contrary determination.</w:t>
      </w:r>
    </w:p>
    <w:p>
      <w:pPr>
        <w:spacing w:after="0" w:line="19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Exchange Program</w:t>
      </w:r>
      <w:r>
        <w:rPr>
          <w:rFonts w:ascii="Times New Roman" w:cs="Times New Roman" w:eastAsia="Times New Roman" w:hAnsi="Times New Roman"/>
          <w:sz w:val="18"/>
          <w:szCs w:val="18"/>
          <w:color w:val="auto"/>
        </w:rPr>
        <w:t>” means a program under which (i) outstanding Awards are surrendered or cancelled in exchange for awards of the same type (which may have higher or lower exercise prices and different terms), awards of a different type, and/or cash, (ii) Participants would have the opportunity to transfer any outstanding Awards to a financial institution or other person or entity selected by the Administrator, and/or (iii) the exercise price of an outstanding Award is increased or reduced. The Administrator will determine the terms and conditions of any Exchange Program in its sole discretion.</w:t>
      </w:r>
    </w:p>
    <w:p>
      <w:pPr>
        <w:spacing w:after="0" w:line="183"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Fair Market Value</w:t>
      </w:r>
      <w:r>
        <w:rPr>
          <w:rFonts w:ascii="Times New Roman" w:cs="Times New Roman" w:eastAsia="Times New Roman" w:hAnsi="Times New Roman"/>
          <w:sz w:val="18"/>
          <w:szCs w:val="18"/>
          <w:color w:val="auto"/>
        </w:rPr>
        <w:t>” means, as of any date, the value of Common Stock determined as follows:</w:t>
      </w:r>
    </w:p>
    <w:p>
      <w:pPr>
        <w:spacing w:after="0" w:line="225" w:lineRule="exact"/>
        <w:rPr>
          <w:rFonts w:ascii="Times New Roman" w:cs="Times New Roman" w:eastAsia="Times New Roman" w:hAnsi="Times New Roman"/>
          <w:sz w:val="18"/>
          <w:szCs w:val="18"/>
          <w:color w:val="auto"/>
        </w:rPr>
      </w:pPr>
    </w:p>
    <w:p>
      <w:pPr>
        <w:jc w:val="both"/>
        <w:ind w:firstLine="2276"/>
        <w:spacing w:after="0" w:line="261" w:lineRule="auto"/>
        <w:tabs>
          <w:tab w:leader="none" w:pos="295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listed on any established stock exchange or a national market system, including without limitation the New York Stock Exchange, the NASDAQ Global Select Market, the NASDAQ Global Market or the NASDAQ Capital Market of The NASDAQ Stock Market, its Fair Market Value will be the closing sales price for such stock (or the closing bid, if no sales were reported) as quoted on such exchange or system on the day of determination,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w:t>
      </w:r>
    </w:p>
    <w:p>
      <w:pPr>
        <w:spacing w:after="0" w:line="179" w:lineRule="exact"/>
        <w:rPr>
          <w:rFonts w:ascii="Times New Roman" w:cs="Times New Roman" w:eastAsia="Times New Roman" w:hAnsi="Times New Roman"/>
          <w:sz w:val="18"/>
          <w:szCs w:val="18"/>
          <w:color w:val="auto"/>
        </w:rPr>
      </w:pPr>
    </w:p>
    <w:p>
      <w:pPr>
        <w:jc w:val="both"/>
        <w:ind w:firstLine="2276"/>
        <w:spacing w:after="0" w:line="261" w:lineRule="auto"/>
        <w:tabs>
          <w:tab w:leader="none" w:pos="2931"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Common Stock is regularly quoted by a recognized securities dealer but selling prices are not reported, the Fair Market Value of a Share will be the mean between the high bid and low asked prices for the Common Stock on the date of determination (or, if no bids and asks were reported on that date, as applicable, on the last trading date such bids and asks were reported), as reported in </w:t>
      </w:r>
      <w:r>
        <w:rPr>
          <w:rFonts w:ascii="Times New Roman" w:cs="Times New Roman" w:eastAsia="Times New Roman" w:hAnsi="Times New Roman"/>
          <w:sz w:val="18"/>
          <w:szCs w:val="18"/>
          <w:i w:val="1"/>
          <w:iCs w:val="1"/>
          <w:color w:val="auto"/>
        </w:rPr>
        <w:t>The Wall Street Journal</w:t>
      </w:r>
      <w:r>
        <w:rPr>
          <w:rFonts w:ascii="Times New Roman" w:cs="Times New Roman" w:eastAsia="Times New Roman" w:hAnsi="Times New Roman"/>
          <w:sz w:val="18"/>
          <w:szCs w:val="18"/>
          <w:color w:val="auto"/>
        </w:rPr>
        <w:t xml:space="preserve"> or such other source as the Administrator deems reliable; or</w:t>
      </w:r>
    </w:p>
    <w:p>
      <w:pPr>
        <w:spacing w:after="0" w:line="179" w:lineRule="exact"/>
        <w:rPr>
          <w:rFonts w:ascii="Times New Roman" w:cs="Times New Roman" w:eastAsia="Times New Roman" w:hAnsi="Times New Roman"/>
          <w:sz w:val="18"/>
          <w:szCs w:val="18"/>
          <w:color w:val="auto"/>
        </w:rPr>
      </w:pPr>
    </w:p>
    <w:p>
      <w:pPr>
        <w:ind w:left="2960" w:hanging="684"/>
        <w:spacing w:after="0"/>
        <w:tabs>
          <w:tab w:leader="none" w:pos="2960" w:val="left"/>
        </w:tabs>
        <w:numPr>
          <w:ilvl w:val="1"/>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absence of an established market for the Common Stock, the Fair Market Value will be determined in good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faith by the Administrator.</w:t>
      </w:r>
    </w:p>
    <w:p>
      <w:pPr>
        <w:spacing w:after="0" w:line="206" w:lineRule="exact"/>
        <w:rPr>
          <w:rFonts w:ascii="Times New Roman" w:cs="Times New Roman" w:eastAsia="Times New Roman" w:hAnsi="Times New Roman"/>
          <w:sz w:val="18"/>
          <w:szCs w:val="18"/>
          <w:color w:val="auto"/>
        </w:rPr>
      </w:pPr>
    </w:p>
    <w:p>
      <w:pPr>
        <w:ind w:left="1840" w:hanging="536"/>
        <w:spacing w:after="0"/>
        <w:tabs>
          <w:tab w:leader="none" w:pos="18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Fiscal Year</w:t>
      </w:r>
      <w:r>
        <w:rPr>
          <w:rFonts w:ascii="Times New Roman" w:cs="Times New Roman" w:eastAsia="Times New Roman" w:hAnsi="Times New Roman"/>
          <w:sz w:val="18"/>
          <w:szCs w:val="18"/>
          <w:color w:val="auto"/>
        </w:rPr>
        <w:t>” means the fiscal year of the Company.</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8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Incentive Stock Option</w:t>
      </w:r>
      <w:r>
        <w:rPr>
          <w:rFonts w:ascii="Times New Roman" w:cs="Times New Roman" w:eastAsia="Times New Roman" w:hAnsi="Times New Roman"/>
          <w:sz w:val="18"/>
          <w:szCs w:val="18"/>
          <w:color w:val="auto"/>
        </w:rPr>
        <w:t>” means an Option that by its terms qualifies and is intended to qualify as an incentive stock option within the meaning of Section 422 of the Code and the regulations promulgated thereunder.</w:t>
      </w:r>
    </w:p>
    <w:p>
      <w:pPr>
        <w:spacing w:after="0" w:line="161" w:lineRule="exact"/>
        <w:rPr>
          <w:rFonts w:ascii="Times New Roman" w:cs="Times New Roman" w:eastAsia="Times New Roman" w:hAnsi="Times New Roman"/>
          <w:sz w:val="18"/>
          <w:szCs w:val="18"/>
          <w:color w:val="auto"/>
        </w:rPr>
      </w:pPr>
    </w:p>
    <w:p>
      <w:pPr>
        <w:ind w:left="2000" w:hanging="696"/>
        <w:spacing w:after="0"/>
        <w:tabs>
          <w:tab w:leader="none" w:pos="200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Nonstatutory Stock Option</w:t>
      </w:r>
      <w:r>
        <w:rPr>
          <w:rFonts w:ascii="Times New Roman" w:cs="Times New Roman" w:eastAsia="Times New Roman" w:hAnsi="Times New Roman"/>
          <w:sz w:val="18"/>
          <w:szCs w:val="18"/>
          <w:color w:val="auto"/>
        </w:rPr>
        <w:t>” means an Option that by its terms does not qualify or is not intended to qualify as an Incentive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Stock Option.</w:t>
      </w:r>
    </w:p>
    <w:p>
      <w:pPr>
        <w:spacing w:after="0" w:line="206" w:lineRule="exact"/>
        <w:rPr>
          <w:rFonts w:ascii="Times New Roman" w:cs="Times New Roman" w:eastAsia="Times New Roman" w:hAnsi="Times New Roman"/>
          <w:sz w:val="18"/>
          <w:szCs w:val="18"/>
          <w:color w:val="auto"/>
        </w:rPr>
      </w:pPr>
    </w:p>
    <w:p>
      <w:pPr>
        <w:ind w:firstLine="1304"/>
        <w:spacing w:after="0" w:line="282" w:lineRule="auto"/>
        <w:tabs>
          <w:tab w:leader="none" w:pos="1893"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Officer</w:t>
      </w:r>
      <w:r>
        <w:rPr>
          <w:rFonts w:ascii="Times New Roman" w:cs="Times New Roman" w:eastAsia="Times New Roman" w:hAnsi="Times New Roman"/>
          <w:sz w:val="18"/>
          <w:szCs w:val="18"/>
          <w:color w:val="auto"/>
        </w:rPr>
        <w:t>” means a person who is an officer of the Company within the meaning of Section 16 of the Exchange Act and the rules and regulations promulgated thereunder.</w:t>
      </w:r>
    </w:p>
    <w:p>
      <w:pPr>
        <w:spacing w:after="0" w:line="161"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Option</w:t>
      </w:r>
      <w:r>
        <w:rPr>
          <w:rFonts w:ascii="Times New Roman" w:cs="Times New Roman" w:eastAsia="Times New Roman" w:hAnsi="Times New Roman"/>
          <w:sz w:val="17"/>
          <w:szCs w:val="17"/>
          <w:color w:val="auto"/>
        </w:rPr>
        <w:t>” means a stock option granted pursuant to the Plan, provided that all Options granted under the Plan will be Nonstatutory</w:t>
      </w:r>
    </w:p>
    <w:p>
      <w:pPr>
        <w:spacing w:after="0" w:line="38" w:lineRule="exact"/>
        <w:rPr>
          <w:rFonts w:ascii="Times New Roman" w:cs="Times New Roman" w:eastAsia="Times New Roman" w:hAnsi="Times New Roman"/>
          <w:sz w:val="17"/>
          <w:szCs w:val="17"/>
          <w:color w:val="auto"/>
        </w:rPr>
      </w:pP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Stock Options.</w:t>
      </w:r>
    </w:p>
    <w:p>
      <w:pPr>
        <w:spacing w:after="0" w:line="206" w:lineRule="exact"/>
        <w:rPr>
          <w:rFonts w:ascii="Times New Roman" w:cs="Times New Roman" w:eastAsia="Times New Roman" w:hAnsi="Times New Roman"/>
          <w:sz w:val="17"/>
          <w:szCs w:val="17"/>
          <w:color w:val="auto"/>
        </w:rPr>
      </w:pPr>
    </w:p>
    <w:p>
      <w:pPr>
        <w:ind w:left="1860" w:hanging="556"/>
        <w:spacing w:after="0"/>
        <w:tabs>
          <w:tab w:leader="none" w:pos="18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means a “parent corporation,” whether now or hereafter existing, as defined in Section 424(e) of the Code.</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Participant</w:t>
      </w:r>
      <w:r>
        <w:rPr>
          <w:rFonts w:ascii="Times New Roman" w:cs="Times New Roman" w:eastAsia="Times New Roman" w:hAnsi="Times New Roman"/>
          <w:sz w:val="18"/>
          <w:szCs w:val="18"/>
          <w:color w:val="auto"/>
        </w:rPr>
        <w:t>” means the holder of an outstanding Award.</w:t>
      </w:r>
    </w:p>
    <w:p>
      <w:pPr>
        <w:spacing w:after="0" w:line="225" w:lineRule="exact"/>
        <w:rPr>
          <w:rFonts w:ascii="Times New Roman" w:cs="Times New Roman" w:eastAsia="Times New Roman" w:hAnsi="Times New Roman"/>
          <w:sz w:val="18"/>
          <w:szCs w:val="18"/>
          <w:color w:val="auto"/>
        </w:rPr>
      </w:pPr>
    </w:p>
    <w:p>
      <w:pPr>
        <w:ind w:left="1880" w:hanging="576"/>
        <w:spacing w:after="0"/>
        <w:tabs>
          <w:tab w:leader="none" w:pos="18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means any Fiscal Year of the Company or such other period as determined by the Administrator in its sole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discretion.</w:t>
      </w:r>
    </w:p>
    <w:p>
      <w:pPr>
        <w:spacing w:after="0" w:line="206" w:lineRule="exact"/>
        <w:rPr>
          <w:rFonts w:ascii="Times New Roman" w:cs="Times New Roman" w:eastAsia="Times New Roman" w:hAnsi="Times New Roman"/>
          <w:sz w:val="18"/>
          <w:szCs w:val="18"/>
          <w:color w:val="auto"/>
        </w:rPr>
      </w:pPr>
    </w:p>
    <w:p>
      <w:pPr>
        <w:ind w:right="20" w:firstLine="1304"/>
        <w:spacing w:after="0" w:line="282" w:lineRule="auto"/>
        <w:tabs>
          <w:tab w:leader="none" w:pos="2018"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Share</w:t>
      </w:r>
      <w:r>
        <w:rPr>
          <w:rFonts w:ascii="Times New Roman" w:cs="Times New Roman" w:eastAsia="Times New Roman" w:hAnsi="Times New Roman"/>
          <w:sz w:val="18"/>
          <w:szCs w:val="18"/>
          <w:color w:val="auto"/>
        </w:rPr>
        <w:t>” means an Award denominated in Shares which may be earned in whole or in part upon attainment of performance goals or other vesting criteria as the Administrator may determine pursuant to Section 10.</w:t>
      </w:r>
    </w:p>
    <w:p>
      <w:pPr>
        <w:spacing w:after="0" w:line="162" w:lineRule="exact"/>
        <w:rPr>
          <w:sz w:val="20"/>
          <w:szCs w:val="20"/>
          <w:color w:val="auto"/>
        </w:rPr>
      </w:pPr>
    </w:p>
    <w:p>
      <w:pPr>
        <w:jc w:val="both"/>
        <w:ind w:firstLine="1304"/>
        <w:spacing w:after="0" w:line="266" w:lineRule="auto"/>
        <w:tabs>
          <w:tab w:leader="none" w:pos="1913"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Performance Unit</w:t>
      </w:r>
      <w:r>
        <w:rPr>
          <w:rFonts w:ascii="Times New Roman" w:cs="Times New Roman" w:eastAsia="Times New Roman" w:hAnsi="Times New Roman"/>
          <w:sz w:val="18"/>
          <w:szCs w:val="18"/>
          <w:color w:val="auto"/>
        </w:rPr>
        <w:t>” means an Award which may be earned in whole or in part upon attainment of performance goals or other vesting criteria as the Administrator may determine and which may be settled for cash, Shares or other securities or a combination of the foregoing pursuant to Section 10.</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9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Period of Restriction</w:t>
      </w:r>
      <w:r>
        <w:rPr>
          <w:rFonts w:ascii="Times New Roman" w:cs="Times New Roman" w:eastAsia="Times New Roman" w:hAnsi="Times New Roman"/>
          <w:sz w:val="18"/>
          <w:szCs w:val="18"/>
          <w:color w:val="auto"/>
        </w:rPr>
        <w:t>” means the period during which the transfer of Shares of Restricted Stock are subject to restrictions and therefore, the Shares are subject to a substantial risk of forfeiture. Such restrictions may be based on the passage of time, the achievement of target levels of performance, or the occurrence of other events as determined by the Administrator.</w:t>
      </w:r>
    </w:p>
    <w:p>
      <w:pPr>
        <w:spacing w:after="0" w:line="175" w:lineRule="exact"/>
        <w:rPr>
          <w:rFonts w:ascii="Times New Roman" w:cs="Times New Roman" w:eastAsia="Times New Roman" w:hAnsi="Times New Roman"/>
          <w:sz w:val="18"/>
          <w:szCs w:val="18"/>
          <w:color w:val="auto"/>
        </w:rPr>
      </w:pPr>
    </w:p>
    <w:p>
      <w:pPr>
        <w:ind w:left="1900" w:hanging="596"/>
        <w:spacing w:after="0"/>
        <w:tabs>
          <w:tab w:leader="none" w:pos="19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Plan</w:t>
      </w:r>
      <w:r>
        <w:rPr>
          <w:rFonts w:ascii="Times New Roman" w:cs="Times New Roman" w:eastAsia="Times New Roman" w:hAnsi="Times New Roman"/>
          <w:sz w:val="18"/>
          <w:szCs w:val="18"/>
          <w:color w:val="auto"/>
        </w:rPr>
        <w:t>” means this 2017 Inducement Equity Incentive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38"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 means Shares issued pursuant to a Restricted Stock award under Section 7 of the Plan, or issued pursuant to the early exercise of an Option.</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04"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Restricted Stock Unit</w:t>
      </w:r>
      <w:r>
        <w:rPr>
          <w:rFonts w:ascii="Times New Roman" w:cs="Times New Roman" w:eastAsia="Times New Roman" w:hAnsi="Times New Roman"/>
          <w:sz w:val="18"/>
          <w:szCs w:val="18"/>
          <w:color w:val="auto"/>
        </w:rPr>
        <w:t>” means a bookkeeping entry representing an amount equal to the Fair Market Value of one Share, granted pursuant to Section 8. Each Restricted Stock Unit represents an unfunded and unsecured obligation of the Company.</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99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means Rule 16b-3 of the Exchange Act or any successor to Rule 16b-3, as in effect when discretion is being exercised with respect to the Plan.</w:t>
      </w:r>
    </w:p>
    <w:p>
      <w:pPr>
        <w:sectPr>
          <w:pgSz w:w="11900" w:h="16838" w:orient="portrait"/>
          <w:cols w:equalWidth="0" w:num="1">
            <w:col w:w="11240"/>
          </w:cols>
          <w:pgMar w:left="320" w:top="580" w:right="339" w:bottom="0" w:gutter="0" w:footer="0" w:header="0"/>
        </w:sectPr>
      </w:pPr>
    </w:p>
    <w:bookmarkStart w:id="18" w:name="page19"/>
    <w:bookmarkEnd w:id="18"/>
    <w:p>
      <w:pPr>
        <w:ind w:left="1264" w:hanging="616"/>
        <w:spacing w:after="0"/>
        <w:tabs>
          <w:tab w:leader="none" w:pos="12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Section 16(b)</w:t>
      </w:r>
      <w:r>
        <w:rPr>
          <w:rFonts w:ascii="Times New Roman" w:cs="Times New Roman" w:eastAsia="Times New Roman" w:hAnsi="Times New Roman"/>
          <w:sz w:val="18"/>
          <w:szCs w:val="18"/>
          <w:color w:val="auto"/>
        </w:rPr>
        <w:t>” means Section 16(b) of the Exchange Act.</w:t>
      </w:r>
    </w:p>
    <w:p>
      <w:pPr>
        <w:spacing w:after="0" w:line="225"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Service Provider</w:t>
      </w:r>
      <w:r>
        <w:rPr>
          <w:rFonts w:ascii="Times New Roman" w:cs="Times New Roman" w:eastAsia="Times New Roman" w:hAnsi="Times New Roman"/>
          <w:sz w:val="18"/>
          <w:szCs w:val="18"/>
          <w:color w:val="auto"/>
        </w:rPr>
        <w:t>” means an Employee, Director or Consultant.</w:t>
      </w:r>
    </w:p>
    <w:p>
      <w:pPr>
        <w:spacing w:after="0" w:line="225"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Share</w:t>
      </w:r>
      <w:r>
        <w:rPr>
          <w:rFonts w:ascii="Times New Roman" w:cs="Times New Roman" w:eastAsia="Times New Roman" w:hAnsi="Times New Roman"/>
          <w:sz w:val="18"/>
          <w:szCs w:val="18"/>
          <w:color w:val="auto"/>
        </w:rPr>
        <w:t>” means a share of the Common Stock, as adjusted in accordance with Section 13 of the Plan.</w:t>
      </w:r>
    </w:p>
    <w:p>
      <w:pPr>
        <w:spacing w:after="0" w:line="225" w:lineRule="exact"/>
        <w:rPr>
          <w:rFonts w:ascii="Times New Roman" w:cs="Times New Roman" w:eastAsia="Times New Roman" w:hAnsi="Times New Roman"/>
          <w:sz w:val="18"/>
          <w:szCs w:val="18"/>
          <w:color w:val="auto"/>
        </w:rPr>
      </w:pPr>
    </w:p>
    <w:p>
      <w:pPr>
        <w:ind w:left="-656" w:right="20" w:firstLine="1304"/>
        <w:spacing w:after="0" w:line="282" w:lineRule="auto"/>
        <w:tabs>
          <w:tab w:leader="none" w:pos="1440"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Stock Appreciation Right</w:t>
      </w:r>
      <w:r>
        <w:rPr>
          <w:rFonts w:ascii="Times New Roman" w:cs="Times New Roman" w:eastAsia="Times New Roman" w:hAnsi="Times New Roman"/>
          <w:sz w:val="18"/>
          <w:szCs w:val="18"/>
          <w:color w:val="auto"/>
        </w:rPr>
        <w:t>” means an Award, granted alone or in connection with an Option, that pursuant to Section 9 is designated as a Stock Appreciation Right.</w:t>
      </w:r>
    </w:p>
    <w:p>
      <w:pPr>
        <w:spacing w:after="0" w:line="161" w:lineRule="exact"/>
        <w:rPr>
          <w:rFonts w:ascii="Times New Roman" w:cs="Times New Roman" w:eastAsia="Times New Roman" w:hAnsi="Times New Roman"/>
          <w:sz w:val="18"/>
          <w:szCs w:val="18"/>
          <w:color w:val="auto"/>
        </w:rPr>
      </w:pPr>
    </w:p>
    <w:p>
      <w:pPr>
        <w:ind w:left="1264" w:hanging="616"/>
        <w:spacing w:after="0"/>
        <w:tabs>
          <w:tab w:leader="none" w:pos="1264"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Subsidiary</w:t>
      </w:r>
      <w:r>
        <w:rPr>
          <w:rFonts w:ascii="Times New Roman" w:cs="Times New Roman" w:eastAsia="Times New Roman" w:hAnsi="Times New Roman"/>
          <w:sz w:val="18"/>
          <w:szCs w:val="18"/>
          <w:color w:val="auto"/>
        </w:rPr>
        <w:t>” means a “subsidiary corporation,” whether now or hereafter existing, as defined in Section 424(f) of the Code.</w:t>
      </w:r>
    </w:p>
    <w:p>
      <w:pPr>
        <w:spacing w:after="0" w:line="225" w:lineRule="exact"/>
        <w:rPr>
          <w:rFonts w:ascii="Times New Roman" w:cs="Times New Roman" w:eastAsia="Times New Roman" w:hAnsi="Times New Roman"/>
          <w:sz w:val="18"/>
          <w:szCs w:val="18"/>
          <w:color w:val="auto"/>
        </w:rPr>
      </w:pPr>
    </w:p>
    <w:p>
      <w:pPr>
        <w:ind w:left="504" w:hanging="504"/>
        <w:spacing w:after="0"/>
        <w:tabs>
          <w:tab w:leader="none" w:pos="504"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6" w:firstLine="1304"/>
        <w:spacing w:after="0" w:line="282" w:lineRule="auto"/>
        <w:tabs>
          <w:tab w:leader="none" w:pos="1199" w:val="left"/>
        </w:tabs>
        <w:numPr>
          <w:ilvl w:val="1"/>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Subject to the Plan</w:t>
      </w:r>
      <w:r>
        <w:rPr>
          <w:rFonts w:ascii="Times New Roman" w:cs="Times New Roman" w:eastAsia="Times New Roman" w:hAnsi="Times New Roman"/>
          <w:sz w:val="18"/>
          <w:szCs w:val="18"/>
          <w:color w:val="auto"/>
        </w:rPr>
        <w:t xml:space="preserve">. Subject to the provisions of Section 13 of the Plan, the maximum aggregate number of Shares that may be issued under the Plan is </w:t>
      </w:r>
      <w:r>
        <w:rPr>
          <w:rFonts w:ascii="Times New Roman" w:cs="Times New Roman" w:eastAsia="Times New Roman" w:hAnsi="Times New Roman"/>
          <w:sz w:val="18"/>
          <w:szCs w:val="18"/>
          <w:b w:val="1"/>
          <w:bCs w:val="1"/>
          <w:color w:val="auto"/>
        </w:rPr>
        <w:t>4,000,000</w:t>
      </w:r>
      <w:r>
        <w:rPr>
          <w:rFonts w:ascii="Times New Roman" w:cs="Times New Roman" w:eastAsia="Times New Roman" w:hAnsi="Times New Roman"/>
          <w:sz w:val="18"/>
          <w:szCs w:val="18"/>
          <w:color w:val="auto"/>
        </w:rPr>
        <w:t xml:space="preserv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337185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337" w:right="339" w:bottom="1440" w:gutter="0" w:footer="0" w:header="0"/>
        </w:sectPr>
      </w:pPr>
    </w:p>
    <w:bookmarkStart w:id="19" w:name="page20"/>
    <w:bookmarkEnd w:id="19"/>
    <w:p>
      <w:pPr>
        <w:jc w:val="both"/>
        <w:ind w:firstLine="1304"/>
        <w:spacing w:after="0" w:line="253" w:lineRule="auto"/>
        <w:tabs>
          <w:tab w:leader="none" w:pos="1893"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Lapsed Awards</w:t>
      </w:r>
      <w:r>
        <w:rPr>
          <w:rFonts w:ascii="Times New Roman" w:cs="Times New Roman" w:eastAsia="Times New Roman" w:hAnsi="Times New Roman"/>
          <w:sz w:val="18"/>
          <w:szCs w:val="18"/>
          <w:color w:val="auto"/>
        </w:rPr>
        <w:t>. If an Award expires or becomes unexercisable without having been exercised in full, is surrendered pursuant to an Exchange Program, or, with respect to Restricted Stock, Restricted Stock Units, Performance Units or Performance Shares, is forfeited to, or repurchased by, the Company due to failure to vest, then the unpurchased Shares (or for Awards other than Options or Stock Appreciation Rights the forfeited or repurchased Shares), which were subject thereto will become available for future grant or sale under the Plan (unless the Plan has terminated). With respect to Stock Appreciation Rights, only Shares actually issued (i.e., the net Shares issued) pursuant to a Stock Appreciation Right will cease to be available under the Plan; all remaining Shares under Stock Appreciation Rights will remain available for future grant or sale under the Plan (unless the Plan has terminated). Shares that actually have been issued under the Plan under any Award will not be returned to the Plan and will not become available for future distribution under the Plan; provided, however, that if Shares issued pursuant to Awards of Restricted Stock, Restricted Stock Units, Performance Shares or Performance Units are repurchased by the Company or are forfeited to the Company, such Shares will become available for future grant under the Plan. Shares used to pay the exercise price of an Award or to satisfy the tax withholding obligations related to an Award will become available for future grant or sale under the Plan. To the extent an Award under the Plan is paid out in cash rather than Shares, such cash payment will not result in reducing the number of Shares available for issuance under the Plan.</w:t>
      </w:r>
    </w:p>
    <w:p>
      <w:pPr>
        <w:spacing w:after="0" w:line="189" w:lineRule="exact"/>
        <w:rPr>
          <w:rFonts w:ascii="Times New Roman" w:cs="Times New Roman" w:eastAsia="Times New Roman" w:hAnsi="Times New Roman"/>
          <w:sz w:val="18"/>
          <w:szCs w:val="18"/>
          <w:color w:val="auto"/>
        </w:rPr>
      </w:pPr>
    </w:p>
    <w:p>
      <w:pPr>
        <w:ind w:firstLine="1304"/>
        <w:spacing w:after="0" w:line="282" w:lineRule="auto"/>
        <w:tabs>
          <w:tab w:leader="none" w:pos="1869" w:val="left"/>
        </w:tabs>
        <w:numPr>
          <w:ilvl w:val="1"/>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Share Reserve</w:t>
      </w:r>
      <w:r>
        <w:rPr>
          <w:rFonts w:ascii="Times New Roman" w:cs="Times New Roman" w:eastAsia="Times New Roman" w:hAnsi="Times New Roman"/>
          <w:sz w:val="18"/>
          <w:szCs w:val="18"/>
          <w:color w:val="auto"/>
        </w:rPr>
        <w:t>. The Company, during the term of this Plan, will at all times reserve and keep available such number of Shares as will be sufficient to satisfy the requirements of the Plan.</w:t>
      </w:r>
    </w:p>
    <w:p>
      <w:pPr>
        <w:spacing w:after="0" w:line="16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2900" w:hanging="624"/>
        <w:spacing w:after="0"/>
        <w:tabs>
          <w:tab w:leader="none" w:pos="29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Multiple Administrative Bodies</w:t>
      </w:r>
      <w:r>
        <w:rPr>
          <w:rFonts w:ascii="Times New Roman" w:cs="Times New Roman" w:eastAsia="Times New Roman" w:hAnsi="Times New Roman"/>
          <w:sz w:val="18"/>
          <w:szCs w:val="18"/>
          <w:color w:val="auto"/>
        </w:rPr>
        <w:t>.  Different Committees with respect to different groups of Service Providers may</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administer the Plan.</w:t>
      </w:r>
    </w:p>
    <w:p>
      <w:pPr>
        <w:spacing w:after="0" w:line="206" w:lineRule="exact"/>
        <w:rPr>
          <w:rFonts w:ascii="Times New Roman" w:cs="Times New Roman" w:eastAsia="Times New Roman" w:hAnsi="Times New Roman"/>
          <w:sz w:val="18"/>
          <w:szCs w:val="18"/>
          <w:color w:val="auto"/>
        </w:rPr>
      </w:pPr>
    </w:p>
    <w:p>
      <w:pPr>
        <w:ind w:firstLine="2276"/>
        <w:spacing w:after="0" w:line="282" w:lineRule="auto"/>
        <w:tabs>
          <w:tab w:leader="none" w:pos="284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Rule 16b-3</w:t>
      </w:r>
      <w:r>
        <w:rPr>
          <w:rFonts w:ascii="Times New Roman" w:cs="Times New Roman" w:eastAsia="Times New Roman" w:hAnsi="Times New Roman"/>
          <w:sz w:val="18"/>
          <w:szCs w:val="18"/>
          <w:color w:val="auto"/>
        </w:rPr>
        <w:t>. To the extent desirable to qualify transactions hereunder as exempt under Rule 16b-3, the transactions contemplated hereunder will be structured to satisfy the requirements for exemption under Rule 16b-3.</w:t>
      </w:r>
    </w:p>
    <w:p>
      <w:pPr>
        <w:spacing w:after="0" w:line="161" w:lineRule="exact"/>
        <w:rPr>
          <w:rFonts w:ascii="Times New Roman" w:cs="Times New Roman" w:eastAsia="Times New Roman" w:hAnsi="Times New Roman"/>
          <w:sz w:val="18"/>
          <w:szCs w:val="18"/>
          <w:color w:val="auto"/>
        </w:rPr>
      </w:pPr>
    </w:p>
    <w:p>
      <w:pPr>
        <w:jc w:val="both"/>
        <w:ind w:firstLine="2276"/>
        <w:spacing w:after="0" w:line="266" w:lineRule="auto"/>
        <w:tabs>
          <w:tab w:leader="none" w:pos="2943"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Administration</w:t>
      </w:r>
      <w:r>
        <w:rPr>
          <w:rFonts w:ascii="Times New Roman" w:cs="Times New Roman" w:eastAsia="Times New Roman" w:hAnsi="Times New Roman"/>
          <w:sz w:val="18"/>
          <w:szCs w:val="18"/>
          <w:color w:val="auto"/>
        </w:rPr>
        <w:t>. Other than as provided above, the Plan will be administered by (A) the Board or (B) a Committee, which committee will be constituted to satisfy Applicable Laws. Until and unless determined otherwise by the Board, the Compensation Committee of the Board will have full authority to act as Administrator.</w:t>
      </w:r>
    </w:p>
    <w:p>
      <w:pPr>
        <w:spacing w:after="0" w:line="175" w:lineRule="exact"/>
        <w:rPr>
          <w:rFonts w:ascii="Times New Roman" w:cs="Times New Roman" w:eastAsia="Times New Roman" w:hAnsi="Times New Roman"/>
          <w:sz w:val="18"/>
          <w:szCs w:val="18"/>
          <w:color w:val="auto"/>
        </w:rPr>
      </w:pPr>
    </w:p>
    <w:p>
      <w:pPr>
        <w:ind w:firstLine="2276"/>
        <w:spacing w:after="0" w:line="282" w:lineRule="auto"/>
        <w:tabs>
          <w:tab w:leader="none" w:pos="30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Approval</w:t>
      </w:r>
      <w:r>
        <w:rPr>
          <w:rFonts w:ascii="Times New Roman" w:cs="Times New Roman" w:eastAsia="Times New Roman" w:hAnsi="Times New Roman"/>
          <w:sz w:val="18"/>
          <w:szCs w:val="18"/>
          <w:color w:val="auto"/>
        </w:rPr>
        <w:t>. Awards granted under the Plan must be approved by a majority of the Company’s “Independent Directors” (as defined under the Nasdaq Listing Rules) or the independent Compensation Committee of the Board, in each case acting as Administrator.</w:t>
      </w:r>
    </w:p>
    <w:p>
      <w:pPr>
        <w:spacing w:after="0" w:line="161" w:lineRule="exact"/>
        <w:rPr>
          <w:rFonts w:ascii="Times New Roman" w:cs="Times New Roman" w:eastAsia="Times New Roman" w:hAnsi="Times New Roman"/>
          <w:sz w:val="18"/>
          <w:szCs w:val="18"/>
          <w:color w:val="auto"/>
        </w:rPr>
      </w:pPr>
    </w:p>
    <w:p>
      <w:pPr>
        <w:ind w:firstLine="1304"/>
        <w:spacing w:after="0" w:line="282" w:lineRule="auto"/>
        <w:tabs>
          <w:tab w:leader="none" w:pos="1861"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Powers of the Administrator</w:t>
      </w:r>
      <w:r>
        <w:rPr>
          <w:rFonts w:ascii="Times New Roman" w:cs="Times New Roman" w:eastAsia="Times New Roman" w:hAnsi="Times New Roman"/>
          <w:sz w:val="18"/>
          <w:szCs w:val="18"/>
          <w:color w:val="auto"/>
        </w:rPr>
        <w:t>. Subject to the provisions of the Plan, and in the case of a Committee, subject to the specific duties delegated by the Board to such Committee, the Administrator will have the authority, in its discretion:</w:t>
      </w:r>
    </w:p>
    <w:p>
      <w:pPr>
        <w:spacing w:after="0" w:line="161" w:lineRule="exact"/>
        <w:rPr>
          <w:rFonts w:ascii="Times New Roman" w:cs="Times New Roman" w:eastAsia="Times New Roman" w:hAnsi="Times New Roman"/>
          <w:sz w:val="18"/>
          <w:szCs w:val="18"/>
          <w:color w:val="auto"/>
        </w:rPr>
      </w:pPr>
    </w:p>
    <w:p>
      <w:pPr>
        <w:ind w:left="2800" w:hanging="524"/>
        <w:spacing w:after="0"/>
        <w:tabs>
          <w:tab w:leader="none" w:pos="28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Fair Market Value;</w:t>
      </w:r>
    </w:p>
    <w:p>
      <w:pPr>
        <w:spacing w:after="0" w:line="225" w:lineRule="exact"/>
        <w:rPr>
          <w:rFonts w:ascii="Times New Roman" w:cs="Times New Roman" w:eastAsia="Times New Roman" w:hAnsi="Times New Roman"/>
          <w:sz w:val="18"/>
          <w:szCs w:val="18"/>
          <w:color w:val="auto"/>
        </w:rPr>
      </w:pPr>
    </w:p>
    <w:p>
      <w:pPr>
        <w:ind w:left="2820" w:hanging="544"/>
        <w:spacing w:after="0"/>
        <w:tabs>
          <w:tab w:leader="none" w:pos="28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select the Service Providers to whom Awards may be granted hereunder, subject to Section 5;</w:t>
      </w:r>
    </w:p>
    <w:p>
      <w:pPr>
        <w:spacing w:after="0" w:line="225" w:lineRule="exact"/>
        <w:rPr>
          <w:rFonts w:ascii="Times New Roman" w:cs="Times New Roman" w:eastAsia="Times New Roman" w:hAnsi="Times New Roman"/>
          <w:sz w:val="18"/>
          <w:szCs w:val="18"/>
          <w:color w:val="auto"/>
        </w:rPr>
      </w:pPr>
    </w:p>
    <w:p>
      <w:pPr>
        <w:ind w:left="2820" w:hanging="544"/>
        <w:spacing w:after="0"/>
        <w:tabs>
          <w:tab w:leader="none" w:pos="282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number of Shares to be covered by each Award granted hereunder;</w:t>
      </w:r>
    </w:p>
    <w:p>
      <w:pPr>
        <w:spacing w:after="0" w:line="225" w:lineRule="exact"/>
        <w:rPr>
          <w:rFonts w:ascii="Times New Roman" w:cs="Times New Roman" w:eastAsia="Times New Roman" w:hAnsi="Times New Roman"/>
          <w:sz w:val="18"/>
          <w:szCs w:val="18"/>
          <w:color w:val="auto"/>
        </w:rPr>
      </w:pPr>
    </w:p>
    <w:p>
      <w:pPr>
        <w:ind w:left="2860" w:hanging="584"/>
        <w:spacing w:after="0"/>
        <w:tabs>
          <w:tab w:leader="none" w:pos="28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forms of Award Agreements for use under the Plan;</w:t>
      </w:r>
    </w:p>
    <w:p>
      <w:pPr>
        <w:spacing w:after="0" w:line="225" w:lineRule="exact"/>
        <w:rPr>
          <w:rFonts w:ascii="Times New Roman" w:cs="Times New Roman" w:eastAsia="Times New Roman" w:hAnsi="Times New Roman"/>
          <w:sz w:val="18"/>
          <w:szCs w:val="18"/>
          <w:color w:val="auto"/>
        </w:rPr>
      </w:pPr>
    </w:p>
    <w:p>
      <w:pPr>
        <w:jc w:val="both"/>
        <w:ind w:firstLine="2276"/>
        <w:spacing w:after="0" w:line="261" w:lineRule="auto"/>
        <w:tabs>
          <w:tab w:leader="none" w:pos="3127"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determine the terms and conditions, not inconsistent with the terms of the Plan, of any Award granted hereunder. Such terms and conditions include, but are not limited to, the exercise price, the time or times when Awards may be exercised (which may be based on performance criteria), any vesting acceleration or waiver of forfeiture restrictions, and any restriction or limitation regarding any Award or the Shares relating thereto, based in each case on such factors as the Administrator will determine;</w:t>
      </w:r>
    </w:p>
    <w:p>
      <w:pPr>
        <w:spacing w:after="0" w:line="179" w:lineRule="exact"/>
        <w:rPr>
          <w:rFonts w:ascii="Times New Roman" w:cs="Times New Roman" w:eastAsia="Times New Roman" w:hAnsi="Times New Roman"/>
          <w:sz w:val="18"/>
          <w:szCs w:val="18"/>
          <w:color w:val="auto"/>
        </w:rPr>
      </w:pPr>
    </w:p>
    <w:p>
      <w:pPr>
        <w:ind w:left="2860" w:hanging="584"/>
        <w:spacing w:after="0"/>
        <w:tabs>
          <w:tab w:leader="none" w:pos="28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institute and determine the terms and conditions of an Exchange Program;</w:t>
      </w:r>
    </w:p>
    <w:p>
      <w:pPr>
        <w:spacing w:after="0" w:line="225" w:lineRule="exact"/>
        <w:rPr>
          <w:rFonts w:ascii="Times New Roman" w:cs="Times New Roman" w:eastAsia="Times New Roman" w:hAnsi="Times New Roman"/>
          <w:sz w:val="18"/>
          <w:szCs w:val="18"/>
          <w:color w:val="auto"/>
        </w:rPr>
      </w:pPr>
    </w:p>
    <w:p>
      <w:pPr>
        <w:ind w:left="2860" w:hanging="584"/>
        <w:spacing w:after="0"/>
        <w:tabs>
          <w:tab w:leader="none" w:pos="286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construe and interpret the terms of the Plan and Awards granted pursuant to the Plan;</w:t>
      </w:r>
    </w:p>
    <w:p>
      <w:pPr>
        <w:spacing w:after="0" w:line="225" w:lineRule="exact"/>
        <w:rPr>
          <w:rFonts w:ascii="Times New Roman" w:cs="Times New Roman" w:eastAsia="Times New Roman" w:hAnsi="Times New Roman"/>
          <w:sz w:val="18"/>
          <w:szCs w:val="18"/>
          <w:color w:val="auto"/>
        </w:rPr>
      </w:pPr>
    </w:p>
    <w:p>
      <w:pPr>
        <w:ind w:firstLine="2276"/>
        <w:spacing w:after="0" w:line="282" w:lineRule="auto"/>
        <w:tabs>
          <w:tab w:leader="none" w:pos="286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prescribe, amend and rescind rules and regulations relating to the Plan, including rules and regulations relating to sub-plans established for the purpose of satisfying applicable foreign laws or for qualifying for favorable tax treatment under applicable foreign laws;</w:t>
      </w:r>
    </w:p>
    <w:p>
      <w:pPr>
        <w:spacing w:after="0" w:line="161" w:lineRule="exact"/>
        <w:rPr>
          <w:rFonts w:ascii="Times New Roman" w:cs="Times New Roman" w:eastAsia="Times New Roman" w:hAnsi="Times New Roman"/>
          <w:sz w:val="18"/>
          <w:szCs w:val="18"/>
          <w:color w:val="auto"/>
        </w:rPr>
      </w:pPr>
    </w:p>
    <w:p>
      <w:pPr>
        <w:ind w:firstLine="2276"/>
        <w:spacing w:after="0" w:line="282" w:lineRule="auto"/>
        <w:tabs>
          <w:tab w:leader="none" w:pos="2952"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modify or amend each Award (subject to Section 18 of the Plan), including but not limited to the discretionary authority to extend the post-termination exercisability period of Awards and to extend the maximum term of an Option;</w:t>
      </w:r>
    </w:p>
    <w:p>
      <w:pPr>
        <w:spacing w:after="0" w:line="161" w:lineRule="exact"/>
        <w:rPr>
          <w:rFonts w:ascii="Times New Roman" w:cs="Times New Roman" w:eastAsia="Times New Roman" w:hAnsi="Times New Roman"/>
          <w:sz w:val="18"/>
          <w:szCs w:val="18"/>
          <w:color w:val="auto"/>
        </w:rPr>
      </w:pPr>
    </w:p>
    <w:p>
      <w:pPr>
        <w:ind w:left="2900" w:hanging="624"/>
        <w:spacing w:after="0"/>
        <w:tabs>
          <w:tab w:leader="none" w:pos="29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Participants to satisfy tax withholding obligations in such manner as prescribed in Section 14 of the Plan;</w:t>
      </w:r>
    </w:p>
    <w:p>
      <w:pPr>
        <w:spacing w:after="0" w:line="225" w:lineRule="exact"/>
        <w:rPr>
          <w:rFonts w:ascii="Times New Roman" w:cs="Times New Roman" w:eastAsia="Times New Roman" w:hAnsi="Times New Roman"/>
          <w:sz w:val="18"/>
          <w:szCs w:val="18"/>
          <w:color w:val="auto"/>
        </w:rPr>
      </w:pPr>
    </w:p>
    <w:p>
      <w:pPr>
        <w:ind w:firstLine="2276"/>
        <w:spacing w:after="0" w:line="282" w:lineRule="auto"/>
        <w:tabs>
          <w:tab w:leader="none" w:pos="3024"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authorize any person to execute on behalf of the Company any instrument required to effect the grant of an Award previously granted by the Administrator;</w:t>
      </w:r>
    </w:p>
    <w:p>
      <w:pPr>
        <w:spacing w:after="0" w:line="161" w:lineRule="exact"/>
        <w:rPr>
          <w:rFonts w:ascii="Times New Roman" w:cs="Times New Roman" w:eastAsia="Times New Roman" w:hAnsi="Times New Roman"/>
          <w:sz w:val="18"/>
          <w:szCs w:val="18"/>
          <w:color w:val="auto"/>
        </w:rPr>
      </w:pPr>
    </w:p>
    <w:p>
      <w:pPr>
        <w:ind w:firstLine="2276"/>
        <w:spacing w:after="0" w:line="282" w:lineRule="auto"/>
        <w:tabs>
          <w:tab w:leader="none" w:pos="2926"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allow a Participant to defer the receipt of the payment of cash or the delivery of Shares that otherwise would be due to such Participant under an Award; and</w:t>
      </w:r>
    </w:p>
    <w:p>
      <w:pPr>
        <w:spacing w:after="0" w:line="161" w:lineRule="exact"/>
        <w:rPr>
          <w:rFonts w:ascii="Times New Roman" w:cs="Times New Roman" w:eastAsia="Times New Roman" w:hAnsi="Times New Roman"/>
          <w:sz w:val="18"/>
          <w:szCs w:val="18"/>
          <w:color w:val="auto"/>
        </w:rPr>
      </w:pPr>
    </w:p>
    <w:p>
      <w:pPr>
        <w:ind w:left="2900" w:hanging="624"/>
        <w:spacing w:after="0"/>
        <w:tabs>
          <w:tab w:leader="none" w:pos="2900" w:val="left"/>
        </w:tabs>
        <w:numPr>
          <w:ilvl w:val="2"/>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make all other determinations deemed necessary or advisable for administering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1923" w:val="left"/>
        </w:tabs>
        <w:numPr>
          <w:ilvl w:val="1"/>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Administrator’s Decision</w:t>
      </w:r>
      <w:r>
        <w:rPr>
          <w:rFonts w:ascii="Times New Roman" w:cs="Times New Roman" w:eastAsia="Times New Roman" w:hAnsi="Times New Roman"/>
          <w:sz w:val="18"/>
          <w:szCs w:val="18"/>
          <w:color w:val="auto"/>
        </w:rPr>
        <w:t>. The Administrator’s decisions, determinations and interpretations will be final and binding on all Participants and any other holders of Awards.</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2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Eligibility</w:t>
      </w:r>
      <w:r>
        <w:rPr>
          <w:rFonts w:ascii="Times New Roman" w:cs="Times New Roman" w:eastAsia="Times New Roman" w:hAnsi="Times New Roman"/>
          <w:sz w:val="18"/>
          <w:szCs w:val="18"/>
          <w:color w:val="auto"/>
        </w:rPr>
        <w:t>. Nonstatutory Stock Options, Stock Appreciation Rights, Restricted Stock, Restricted Stock Units, Performance Shares and Performance Units may be granted to Employees so long as the following requirements are met:</w:t>
      </w:r>
    </w:p>
    <w:p>
      <w:pPr>
        <w:sectPr>
          <w:pgSz w:w="11900" w:h="16838" w:orient="portrait"/>
          <w:cols w:equalWidth="0" w:num="1">
            <w:col w:w="11240"/>
          </w:cols>
          <w:pgMar w:left="320" w:top="580" w:right="339" w:bottom="0" w:gutter="0" w:footer="0" w:header="0"/>
        </w:sectPr>
      </w:pPr>
    </w:p>
    <w:bookmarkStart w:id="20" w:name="page21"/>
    <w:bookmarkEnd w:id="20"/>
    <w:p>
      <w:pPr>
        <w:ind w:firstLine="1304"/>
        <w:spacing w:after="0" w:line="282" w:lineRule="auto"/>
        <w:tabs>
          <w:tab w:leader="none" w:pos="2039"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Employee was not previously an Employee or Director, or the Employee is returning to employment of the Company following a bona-fide period of non-employment; and</w:t>
      </w:r>
    </w:p>
    <w:p>
      <w:pPr>
        <w:spacing w:after="0" w:line="161" w:lineRule="exact"/>
        <w:rPr>
          <w:rFonts w:ascii="Times New Roman" w:cs="Times New Roman" w:eastAsia="Times New Roman" w:hAnsi="Times New Roman"/>
          <w:sz w:val="18"/>
          <w:szCs w:val="18"/>
          <w:color w:val="auto"/>
        </w:rPr>
      </w:pPr>
    </w:p>
    <w:p>
      <w:pPr>
        <w:ind w:right="20" w:firstLine="1304"/>
        <w:spacing w:after="0" w:line="282" w:lineRule="auto"/>
        <w:tabs>
          <w:tab w:leader="none" w:pos="1914"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an Award is an inducement material to the Employee’s entering into employment with the Company in accordance with Nasdaq Listing Rule 5635(c).</w:t>
      </w:r>
    </w:p>
    <w:p>
      <w:pPr>
        <w:spacing w:after="0" w:line="162" w:lineRule="exact"/>
        <w:rPr>
          <w:sz w:val="20"/>
          <w:szCs w:val="20"/>
          <w:color w:val="auto"/>
        </w:rPr>
      </w:pPr>
    </w:p>
    <w:p>
      <w:pPr>
        <w:ind w:right="20" w:firstLine="648"/>
        <w:spacing w:after="0" w:line="282" w:lineRule="auto"/>
        <w:rPr>
          <w:sz w:val="20"/>
          <w:szCs w:val="20"/>
          <w:color w:val="auto"/>
        </w:rPr>
      </w:pPr>
      <w:r>
        <w:rPr>
          <w:rFonts w:ascii="Times New Roman" w:cs="Times New Roman" w:eastAsia="Times New Roman" w:hAnsi="Times New Roman"/>
          <w:sz w:val="18"/>
          <w:szCs w:val="18"/>
          <w:color w:val="auto"/>
        </w:rPr>
        <w:t>Notwithstanding the foregoing, an Employee may be granted an Award in connection with a merger or acquisition to the extent permitted by Nasdaq Listing Rule 5635(c)(3) and the official guidance thereunder.</w:t>
      </w:r>
    </w:p>
    <w:p>
      <w:pPr>
        <w:spacing w:after="0" w:line="162" w:lineRule="exact"/>
        <w:rPr>
          <w:sz w:val="20"/>
          <w:szCs w:val="20"/>
          <w:color w:val="auto"/>
        </w:rPr>
      </w:pPr>
    </w:p>
    <w:p>
      <w:pPr>
        <w:ind w:left="1160" w:hanging="504"/>
        <w:spacing w:after="0"/>
        <w:tabs>
          <w:tab w:leader="none" w:pos="11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Options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6" w:lineRule="auto"/>
        <w:tabs>
          <w:tab w:leader="none" w:pos="1869"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Options</w:t>
      </w:r>
      <w:r>
        <w:rPr>
          <w:rFonts w:ascii="Times New Roman" w:cs="Times New Roman" w:eastAsia="Times New Roman" w:hAnsi="Times New Roman"/>
          <w:sz w:val="18"/>
          <w:szCs w:val="18"/>
          <w:color w:val="auto"/>
        </w:rPr>
        <w:t>. The Administrator, in its sole discretion and subject to the terms and conditions of the Plan, may grant Options to any individual as a material inducement to the individual becoming an Employee or as otherwise permitted under Section 5 in connection with a merger or acquisition, in each case, which grant shall become effective only if the individual actually becomes an Employee. Subject to the terms and conditions of the Plan, the Administrator will have complete discretion to determine the number of Shares granted to any Employee. Each Option shall be evidenced by an Award Agreement (which may be in electronic form) that shall specify the exercise price, the expiration date of the Option, the number of Shares covered by the Option, any conditions to exercise the Option, and such other terms and conditions as the Administrator, in its discretion, shall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216535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7" w:right="339" w:bottom="1440" w:gutter="0" w:footer="0" w:header="0"/>
        </w:sectPr>
      </w:pPr>
    </w:p>
    <w:bookmarkStart w:id="21" w:name="page22"/>
    <w:bookmarkEnd w:id="21"/>
    <w:p>
      <w:pPr>
        <w:spacing w:after="0" w:line="200" w:lineRule="exact"/>
        <w:rPr>
          <w:sz w:val="20"/>
          <w:szCs w:val="20"/>
          <w:color w:val="auto"/>
        </w:rPr>
      </w:pPr>
    </w:p>
    <w:p>
      <w:pPr>
        <w:ind w:left="2200" w:hanging="576"/>
        <w:spacing w:after="0"/>
        <w:tabs>
          <w:tab w:leader="none" w:pos="2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Option</w:t>
      </w:r>
      <w:r>
        <w:rPr>
          <w:rFonts w:ascii="Times New Roman" w:cs="Times New Roman" w:eastAsia="Times New Roman" w:hAnsi="Times New Roman"/>
          <w:sz w:val="18"/>
          <w:szCs w:val="18"/>
          <w:color w:val="auto"/>
        </w:rPr>
        <w:t>. The term of each Option will be stated in the Award Agreement.</w:t>
      </w:r>
    </w:p>
    <w:p>
      <w:pPr>
        <w:spacing w:after="0" w:line="225" w:lineRule="exact"/>
        <w:rPr>
          <w:rFonts w:ascii="Times New Roman" w:cs="Times New Roman" w:eastAsia="Times New Roman" w:hAnsi="Times New Roman"/>
          <w:sz w:val="18"/>
          <w:szCs w:val="18"/>
          <w:color w:val="auto"/>
        </w:rPr>
      </w:pPr>
    </w:p>
    <w:p>
      <w:pPr>
        <w:ind w:left="2180" w:hanging="556"/>
        <w:spacing w:after="0"/>
        <w:tabs>
          <w:tab w:leader="none" w:pos="2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 Exercise Price and Consideration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firstLine="2276"/>
        <w:spacing w:after="0" w:line="266" w:lineRule="auto"/>
        <w:tabs>
          <w:tab w:leader="none" w:pos="324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w:t>
      </w:r>
      <w:r>
        <w:rPr>
          <w:rFonts w:ascii="Times New Roman" w:cs="Times New Roman" w:eastAsia="Times New Roman" w:hAnsi="Times New Roman"/>
          <w:sz w:val="18"/>
          <w:szCs w:val="18"/>
          <w:color w:val="auto"/>
        </w:rPr>
        <w:t>. The per share exercise price for the Shares to be issued pursuant to exercise of an Option will be determined by the Administrator, provided that the per Share exercise price of the Option will be no less than one hundred percent (100%) of the Fair Market Value per Share on the date of grant.</w:t>
      </w:r>
    </w:p>
    <w:p>
      <w:pPr>
        <w:spacing w:after="0" w:line="175" w:lineRule="exact"/>
        <w:rPr>
          <w:rFonts w:ascii="Times New Roman" w:cs="Times New Roman" w:eastAsia="Times New Roman" w:hAnsi="Times New Roman"/>
          <w:sz w:val="18"/>
          <w:szCs w:val="18"/>
          <w:color w:val="auto"/>
        </w:rPr>
      </w:pPr>
    </w:p>
    <w:p>
      <w:pPr>
        <w:ind w:left="320" w:right="20" w:firstLine="2276"/>
        <w:spacing w:after="0" w:line="282" w:lineRule="auto"/>
        <w:tabs>
          <w:tab w:leader="none" w:pos="3235"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Waiting Period and Exercise Dates</w:t>
      </w:r>
      <w:r>
        <w:rPr>
          <w:rFonts w:ascii="Times New Roman" w:cs="Times New Roman" w:eastAsia="Times New Roman" w:hAnsi="Times New Roman"/>
          <w:sz w:val="18"/>
          <w:szCs w:val="18"/>
          <w:color w:val="auto"/>
        </w:rPr>
        <w:t>. At the time an Option is granted, the Administrator will fix the period within which the Option may be exercised and will determine any conditions that must be satisfied before the Option may be exercised.</w:t>
      </w:r>
    </w:p>
    <w:p>
      <w:pPr>
        <w:spacing w:after="0" w:line="161" w:lineRule="exact"/>
        <w:rPr>
          <w:rFonts w:ascii="Times New Roman" w:cs="Times New Roman" w:eastAsia="Times New Roman" w:hAnsi="Times New Roman"/>
          <w:sz w:val="18"/>
          <w:szCs w:val="18"/>
          <w:color w:val="auto"/>
        </w:rPr>
      </w:pPr>
    </w:p>
    <w:p>
      <w:pPr>
        <w:jc w:val="both"/>
        <w:ind w:left="320" w:firstLine="2276"/>
        <w:spacing w:after="0" w:line="254" w:lineRule="auto"/>
        <w:tabs>
          <w:tab w:leader="none" w:pos="3254"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of Consideration</w:t>
      </w:r>
      <w:r>
        <w:rPr>
          <w:rFonts w:ascii="Times New Roman" w:cs="Times New Roman" w:eastAsia="Times New Roman" w:hAnsi="Times New Roman"/>
          <w:sz w:val="18"/>
          <w:szCs w:val="18"/>
          <w:color w:val="auto"/>
        </w:rPr>
        <w:t>. The Administrator will determine the acceptable form of consideration for exercising an Option, including the method of payment. Such consideration may consist entirely of: (1) cash; (2) check; (3) promissory note, to the extent permitted by Applicable Laws; (4) other Shares, provided that such Shares have a Fair Market Value on the date of surrender equal to the aggregate exercise price of the Shares as to which such Option will be exercised and provided that accepting such Shares will not result in any adverse accounting consequences to the Company, as the Administrator determines in its sole discretion; (5) consideration received by the Company under a broker-assisted (or other) cashless exercise program (whether through a broker or otherwise) implemented by the Company in connection with the Plan; (6) by net exercise; (7) such other consideration and method of payment for the issuance of Shares to the extent permitted by Applicable Laws; or (8) any combination of the foregoing methods of payment.</w:t>
      </w:r>
    </w:p>
    <w:p>
      <w:pPr>
        <w:spacing w:after="0" w:line="191" w:lineRule="exact"/>
        <w:rPr>
          <w:rFonts w:ascii="Times New Roman" w:cs="Times New Roman" w:eastAsia="Times New Roman" w:hAnsi="Times New Roman"/>
          <w:sz w:val="18"/>
          <w:szCs w:val="18"/>
          <w:color w:val="auto"/>
        </w:rPr>
      </w:pPr>
    </w:p>
    <w:p>
      <w:pPr>
        <w:ind w:left="2200" w:hanging="576"/>
        <w:spacing w:after="0"/>
        <w:tabs>
          <w:tab w:leader="none" w:pos="220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firstLine="2276"/>
        <w:spacing w:after="0" w:line="257" w:lineRule="auto"/>
        <w:tabs>
          <w:tab w:leader="none" w:pos="3163" w:val="left"/>
        </w:tabs>
        <w:numPr>
          <w:ilvl w:val="1"/>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 for Exercise; Rights as a Stockholder</w:t>
      </w:r>
      <w:r>
        <w:rPr>
          <w:rFonts w:ascii="Times New Roman" w:cs="Times New Roman" w:eastAsia="Times New Roman" w:hAnsi="Times New Roman"/>
          <w:sz w:val="18"/>
          <w:szCs w:val="18"/>
          <w:color w:val="auto"/>
        </w:rPr>
        <w:t>. Any Option granted hereunder will be exercisable according to the terms of the Plan and at such times and under such conditions as determined by the Administrator and set forth in the Award Agreement. An Option may not be exercised for a fraction of a Share.</w:t>
      </w:r>
    </w:p>
    <w:p>
      <w:pPr>
        <w:spacing w:after="0" w:line="1" w:lineRule="exact"/>
        <w:rPr>
          <w:rFonts w:ascii="Times New Roman" w:cs="Times New Roman" w:eastAsia="Times New Roman" w:hAnsi="Times New Roman"/>
          <w:sz w:val="18"/>
          <w:szCs w:val="18"/>
          <w:color w:val="auto"/>
        </w:rPr>
      </w:pPr>
    </w:p>
    <w:p>
      <w:pPr>
        <w:spacing w:after="0" w:line="1" w:lineRule="exact"/>
        <w:rPr>
          <w:rFonts w:ascii="Times New Roman" w:cs="Times New Roman" w:eastAsia="Times New Roman" w:hAnsi="Times New Roman"/>
          <w:sz w:val="18"/>
          <w:szCs w:val="18"/>
          <w:color w:val="auto"/>
        </w:rPr>
      </w:pPr>
    </w:p>
    <w:p>
      <w:pPr>
        <w:jc w:val="both"/>
        <w:ind w:left="320" w:firstLine="2592"/>
        <w:spacing w:after="0" w:line="251" w:lineRule="auto"/>
        <w:rPr>
          <w:sz w:val="20"/>
          <w:szCs w:val="20"/>
          <w:color w:val="auto"/>
        </w:rPr>
      </w:pPr>
      <w:r>
        <w:rPr>
          <w:rFonts w:ascii="Times New Roman" w:cs="Times New Roman" w:eastAsia="Times New Roman" w:hAnsi="Times New Roman"/>
          <w:sz w:val="18"/>
          <w:szCs w:val="18"/>
          <w:color w:val="auto"/>
        </w:rPr>
        <w:t>An Option will be deemed exercised when the Company receives: (i) a notice of exercise (in such form as the Administrator may specify from time to time) from the person entitled to exercise the Option, and (ii) full payment for the Shares with respect to which the Option is exercised (together with applicable withholding taxes). Full payment may consist of any consideration and method of payment authorized by the Administrator and permitted by the Award Agreement and the Plan. Shares issued upon exercise of an Option will be issued in the name of the Participant or, if requested by the Participant, in the name of the Participant and his or her spouse. Until the Shares are issued (as evidenced by the appropriate entry on the books of the Company or of a duly authorized transfer agent of the Company), no right to vote or receive dividends or any other rights as a stockholder will exist with respect to the Shares subject to an Option, notwithstanding the exercise of the Option. The Company will issue (or cause to be issued) such Shares promptly after the Option is exercised. No adjustment will be made for a dividend or other right for which the record date is prior to the date the Shares are issued, except as provided in Section 13 of the Plan.</w:t>
      </w:r>
    </w:p>
    <w:p>
      <w:pPr>
        <w:spacing w:after="0" w:line="193" w:lineRule="exact"/>
        <w:rPr>
          <w:sz w:val="20"/>
          <w:szCs w:val="20"/>
          <w:color w:val="auto"/>
        </w:rPr>
      </w:pPr>
    </w:p>
    <w:p>
      <w:pPr>
        <w:jc w:val="both"/>
        <w:ind w:left="320" w:firstLine="1944"/>
        <w:spacing w:after="0" w:line="282" w:lineRule="auto"/>
        <w:rPr>
          <w:sz w:val="20"/>
          <w:szCs w:val="20"/>
          <w:color w:val="auto"/>
        </w:rPr>
      </w:pPr>
      <w:r>
        <w:rPr>
          <w:rFonts w:ascii="Times New Roman" w:cs="Times New Roman" w:eastAsia="Times New Roman" w:hAnsi="Times New Roman"/>
          <w:sz w:val="18"/>
          <w:szCs w:val="18"/>
          <w:color w:val="auto"/>
        </w:rPr>
        <w:t>Exercising an Option in any manner will decrease the number of Shares thereafter available, both for purposes of the Plan and for sale under the Option, by the number of Shares as to which the Option is exercised.</w:t>
      </w:r>
    </w:p>
    <w:p>
      <w:pPr>
        <w:spacing w:after="0" w:line="162" w:lineRule="exact"/>
        <w:rPr>
          <w:sz w:val="20"/>
          <w:szCs w:val="20"/>
          <w:color w:val="auto"/>
        </w:rPr>
      </w:pPr>
    </w:p>
    <w:p>
      <w:pPr>
        <w:jc w:val="both"/>
        <w:ind w:left="320" w:firstLine="2276"/>
        <w:spacing w:after="0" w:line="254" w:lineRule="auto"/>
        <w:tabs>
          <w:tab w:leader="none" w:pos="3195"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Relationship as a Service Provider</w:t>
      </w:r>
      <w:r>
        <w:rPr>
          <w:rFonts w:ascii="Times New Roman" w:cs="Times New Roman" w:eastAsia="Times New Roman" w:hAnsi="Times New Roman"/>
          <w:sz w:val="18"/>
          <w:szCs w:val="18"/>
          <w:color w:val="auto"/>
        </w:rPr>
        <w:t>. If a Participant ceases to be a Service Provider, other than upon the Participant’s termination as the result of the Participant’s death or Disability, the Participant may exercise his or her Option within such period of time as is specified in the Award Agreement to the extent that the Option is vested on the date of termination (but in no event later than the expiration of the term of such Option as set forth in the Award Agreement). In the absence of a specified time in the Award Agreement, the Option will remain exercisable for three (3)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by the Administrator, the Option will terminate, and the Shares covered by such Option will revert to the Plan.</w:t>
      </w:r>
    </w:p>
    <w:p>
      <w:pPr>
        <w:spacing w:after="0" w:line="191" w:lineRule="exact"/>
        <w:rPr>
          <w:rFonts w:ascii="Times New Roman" w:cs="Times New Roman" w:eastAsia="Times New Roman" w:hAnsi="Times New Roman"/>
          <w:sz w:val="18"/>
          <w:szCs w:val="18"/>
          <w:color w:val="auto"/>
        </w:rPr>
      </w:pPr>
    </w:p>
    <w:p>
      <w:pPr>
        <w:jc w:val="both"/>
        <w:ind w:left="320" w:firstLine="2276"/>
        <w:spacing w:after="0" w:line="255" w:lineRule="auto"/>
        <w:tabs>
          <w:tab w:leader="none" w:pos="3227"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Disability of Participant</w:t>
      </w:r>
      <w:r>
        <w:rPr>
          <w:rFonts w:ascii="Times New Roman" w:cs="Times New Roman" w:eastAsia="Times New Roman" w:hAnsi="Times New Roman"/>
          <w:sz w:val="18"/>
          <w:szCs w:val="18"/>
          <w:color w:val="auto"/>
        </w:rPr>
        <w:t>. If a Participant ceases to be a Service Provider as a result of the Participant’s Disability, the Participant may exercise his or her Option within such period of time as is specified in the Award Agreement to the extent the Option is vested on the date of termination (but in no event later than the expiration of the term of such Option as set forth in the Award Agreement). In the absence of a specified time in the Award Agreement, the Option will remain exercisable for twelve (12) months following the Participant’s termination. Unless otherwise provided by the Administrator, if on the date of termination the Participant is not vested as to his or her entire Option, the Shares covered by the unvested portion of the Option will revert to the Plan. If after termination the Participant does not exercise his or her Option within the time specified herein, the Option will terminate, and the Shares covered by such Option will revert to the Plan.</w:t>
      </w:r>
    </w:p>
    <w:p>
      <w:pPr>
        <w:spacing w:after="0" w:line="188" w:lineRule="exact"/>
        <w:rPr>
          <w:rFonts w:ascii="Times New Roman" w:cs="Times New Roman" w:eastAsia="Times New Roman" w:hAnsi="Times New Roman"/>
          <w:sz w:val="18"/>
          <w:szCs w:val="18"/>
          <w:color w:val="auto"/>
        </w:rPr>
      </w:pPr>
    </w:p>
    <w:p>
      <w:pPr>
        <w:jc w:val="both"/>
        <w:ind w:left="320" w:firstLine="2276"/>
        <w:spacing w:after="0" w:line="253" w:lineRule="auto"/>
        <w:tabs>
          <w:tab w:leader="none" w:pos="3316" w:val="left"/>
        </w:tabs>
        <w:numPr>
          <w:ilvl w:val="2"/>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Death of Participant</w:t>
      </w:r>
      <w:r>
        <w:rPr>
          <w:rFonts w:ascii="Times New Roman" w:cs="Times New Roman" w:eastAsia="Times New Roman" w:hAnsi="Times New Roman"/>
          <w:sz w:val="18"/>
          <w:szCs w:val="18"/>
          <w:color w:val="auto"/>
        </w:rPr>
        <w:t>. If a Participant dies while a Service Provider, the Option may be exercised following the Participant’s death within such period of time as is specified in the Award Agreement to the extent that the Option is vested on the date of death (but in no event may the option be exercised later than the expiration of the term of such Option as set forth in the Award Agreement), by the Participant’s designated beneficiary, provided such beneficiary has been designated prior to Participant’s death in a form acceptable to the Administrator. If no such beneficiary has been designated by the Participant, then such Option may be exercised by the personal representative of the Participant’s estate or by the person(s) to whom the Option is transferred pursuant to the Participant’s will or in accordance with the laws of descent and distribution. In the absence of a specified time in the Award Agreement, the Option will remain exercisable for twelve (12) months following Participant’s death. Unless otherwise provided by the Administrator, if at the time of death Participant is not vested as to his or her entire Option, the Shares covered by the unvested portion of the Option will immediately revert to the Plan. If the Option is not so exercised within the time specified herein, the Option will terminate, and the Shares covered by such Option will revert to the Plan.</w:t>
      </w:r>
    </w:p>
    <w:p>
      <w:pPr>
        <w:spacing w:after="0" w:line="194" w:lineRule="exact"/>
        <w:rPr>
          <w:rFonts w:ascii="Times New Roman" w:cs="Times New Roman" w:eastAsia="Times New Roman" w:hAnsi="Times New Roman"/>
          <w:sz w:val="18"/>
          <w:szCs w:val="18"/>
          <w:color w:val="auto"/>
        </w:rPr>
      </w:pPr>
    </w:p>
    <w:p>
      <w:pPr>
        <w:ind w:left="1480" w:hanging="504"/>
        <w:spacing w:after="0"/>
        <w:tabs>
          <w:tab w:leader="none" w:pos="14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firstLine="1304"/>
        <w:spacing w:after="0" w:line="261" w:lineRule="auto"/>
        <w:tabs>
          <w:tab w:leader="none" w:pos="2171" w:val="left"/>
        </w:tabs>
        <w:numPr>
          <w:ilvl w:val="1"/>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Restricted Stock</w:t>
      </w:r>
      <w:r>
        <w:rPr>
          <w:rFonts w:ascii="Times New Roman" w:cs="Times New Roman" w:eastAsia="Times New Roman" w:hAnsi="Times New Roman"/>
          <w:sz w:val="18"/>
          <w:szCs w:val="18"/>
          <w:color w:val="auto"/>
        </w:rPr>
        <w:t>. Subject to the terms and provisions of the Plan, the Administrator, at any time and from time to time, may grant Shares of Restricted Stock to any individual as a material inducement to the individual becoming an Employee or as otherwise permitted under Section 5 in connection with a merger or acquisition, in each case, which grant shall become effective only if the individual actually becomes an Employee, in such amounts as the Administrator, in its sole discretion, will determine.</w:t>
      </w:r>
    </w:p>
    <w:p>
      <w:pPr>
        <w:sectPr>
          <w:pgSz w:w="11900" w:h="17038" w:orient="portrait"/>
          <w:cols w:equalWidth="0" w:num="1">
            <w:col w:w="11560"/>
          </w:cols>
          <w:pgMar w:left="0" w:top="364" w:right="339" w:bottom="0" w:gutter="0" w:footer="0" w:header="0"/>
        </w:sectPr>
      </w:pPr>
    </w:p>
    <w:bookmarkStart w:id="22" w:name="page23"/>
    <w:bookmarkEnd w:id="22"/>
    <w:p>
      <w:pPr>
        <w:jc w:val="both"/>
        <w:ind w:left="-1120" w:firstLine="1304"/>
        <w:spacing w:after="0" w:line="258" w:lineRule="auto"/>
        <w:tabs>
          <w:tab w:leader="none" w:pos="75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Agreement</w:t>
      </w:r>
      <w:r>
        <w:rPr>
          <w:rFonts w:ascii="Times New Roman" w:cs="Times New Roman" w:eastAsia="Times New Roman" w:hAnsi="Times New Roman"/>
          <w:sz w:val="18"/>
          <w:szCs w:val="18"/>
          <w:color w:val="auto"/>
        </w:rPr>
        <w:t>. Each Award of Restricted Stock will be evidenced by an Award Agreement that will specify the Period of Restriction, if any, the number of Shares granted, and such other terms and conditions as the Administrator, in its sole discretion, will determine. Unless the Administrator determines otherwise, Shares of Restricted Stock will be held by the Company as escrow agent until the restrictions on such Shares have lapsed. Unless the Administrator determines otherwise, the Company as escrow agent will hold Shares of Restricted Stock until the restrictions on such Shares have lapsed.</w:t>
      </w:r>
    </w:p>
    <w:p>
      <w:pPr>
        <w:spacing w:after="0" w:line="183" w:lineRule="exact"/>
        <w:rPr>
          <w:rFonts w:ascii="Times New Roman" w:cs="Times New Roman" w:eastAsia="Times New Roman" w:hAnsi="Times New Roman"/>
          <w:sz w:val="18"/>
          <w:szCs w:val="18"/>
          <w:color w:val="auto"/>
        </w:rPr>
      </w:pPr>
    </w:p>
    <w:p>
      <w:pPr>
        <w:ind w:left="-1120" w:firstLine="1304"/>
        <w:spacing w:after="0" w:line="282" w:lineRule="auto"/>
        <w:tabs>
          <w:tab w:leader="none" w:pos="88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w:t>
      </w:r>
      <w:r>
        <w:rPr>
          <w:rFonts w:ascii="Times New Roman" w:cs="Times New Roman" w:eastAsia="Times New Roman" w:hAnsi="Times New Roman"/>
          <w:sz w:val="18"/>
          <w:szCs w:val="18"/>
          <w:color w:val="auto"/>
        </w:rPr>
        <w:t>. Except as provided in this Section 7 or the Award Agreement, Shares of Restricted Stock may not be sold, transferred, pledged, assigned, or otherwise alienated or hypothecated until the end of the applicable Period of Restriction.</w:t>
      </w:r>
    </w:p>
    <w:p>
      <w:pPr>
        <w:spacing w:after="0" w:line="161" w:lineRule="exact"/>
        <w:rPr>
          <w:rFonts w:ascii="Times New Roman" w:cs="Times New Roman" w:eastAsia="Times New Roman" w:hAnsi="Times New Roman"/>
          <w:sz w:val="18"/>
          <w:szCs w:val="18"/>
          <w:color w:val="auto"/>
        </w:rPr>
      </w:pPr>
    </w:p>
    <w:p>
      <w:pPr>
        <w:ind w:left="-1120" w:firstLine="1304"/>
        <w:spacing w:after="0" w:line="282" w:lineRule="auto"/>
        <w:tabs>
          <w:tab w:leader="none" w:pos="728"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Restrictions</w:t>
      </w:r>
      <w:r>
        <w:rPr>
          <w:rFonts w:ascii="Times New Roman" w:cs="Times New Roman" w:eastAsia="Times New Roman" w:hAnsi="Times New Roman"/>
          <w:sz w:val="18"/>
          <w:szCs w:val="18"/>
          <w:color w:val="auto"/>
        </w:rPr>
        <w:t>. The Administrator, in its sole discretion, may impose such other restrictions on Shares of Restricted Stock as it may deem advisable or appropriate.</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6" w:lineRule="auto"/>
        <w:tabs>
          <w:tab w:leader="none" w:pos="821"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Removal of Restrictions</w:t>
      </w:r>
      <w:r>
        <w:rPr>
          <w:rFonts w:ascii="Times New Roman" w:cs="Times New Roman" w:eastAsia="Times New Roman" w:hAnsi="Times New Roman"/>
          <w:sz w:val="18"/>
          <w:szCs w:val="18"/>
          <w:color w:val="auto"/>
        </w:rPr>
        <w:t>. Except as otherwise provided in this Section 7, Shares of Restricted Stock covered by each Restricted Stock grant made under the Plan will be released from escrow as soon as practicable after the last day of the Period of Restriction or at such other time as the Administrator may determine. The Administrator, in its discretion, may accelerate the time at which any restrictions will lapse or be removed.</w:t>
      </w:r>
    </w:p>
    <w:p>
      <w:pPr>
        <w:spacing w:after="0" w:line="175" w:lineRule="exact"/>
        <w:rPr>
          <w:rFonts w:ascii="Times New Roman" w:cs="Times New Roman" w:eastAsia="Times New Roman" w:hAnsi="Times New Roman"/>
          <w:sz w:val="18"/>
          <w:szCs w:val="18"/>
          <w:color w:val="auto"/>
        </w:rPr>
      </w:pPr>
    </w:p>
    <w:p>
      <w:pPr>
        <w:ind w:left="-1120" w:right="20" w:firstLine="1304"/>
        <w:spacing w:after="0" w:line="282" w:lineRule="auto"/>
        <w:tabs>
          <w:tab w:leader="none" w:pos="855"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Voting Rights</w:t>
      </w:r>
      <w:r>
        <w:rPr>
          <w:rFonts w:ascii="Times New Roman" w:cs="Times New Roman" w:eastAsia="Times New Roman" w:hAnsi="Times New Roman"/>
          <w:sz w:val="18"/>
          <w:szCs w:val="18"/>
          <w:color w:val="auto"/>
        </w:rPr>
        <w:t>. During the Period of Restriction, Service Providers holding Shares of Restricted Stock granted hereunder may exercise full voting rights with respect to those Shares, unless the Administrator determines otherwise.</w:t>
      </w:r>
    </w:p>
    <w:p>
      <w:pPr>
        <w:spacing w:after="0" w:line="161" w:lineRule="exact"/>
        <w:rPr>
          <w:rFonts w:ascii="Times New Roman" w:cs="Times New Roman" w:eastAsia="Times New Roman" w:hAnsi="Times New Roman"/>
          <w:sz w:val="18"/>
          <w:szCs w:val="18"/>
          <w:color w:val="auto"/>
        </w:rPr>
      </w:pPr>
    </w:p>
    <w:p>
      <w:pPr>
        <w:jc w:val="both"/>
        <w:ind w:left="-1120" w:firstLine="1304"/>
        <w:spacing w:after="0" w:line="261" w:lineRule="auto"/>
        <w:tabs>
          <w:tab w:leader="none" w:pos="80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Dividends and Other Distributions</w:t>
      </w:r>
      <w:r>
        <w:rPr>
          <w:rFonts w:ascii="Times New Roman" w:cs="Times New Roman" w:eastAsia="Times New Roman" w:hAnsi="Times New Roman"/>
          <w:sz w:val="18"/>
          <w:szCs w:val="18"/>
          <w:color w:val="auto"/>
        </w:rPr>
        <w:t>. During the Period of Restriction, Service Providers holding Shares of Restricted Stock will be entitled to receive all dividends and other distributions paid with respect to such Shares, unless the Administrator provides otherwise. If any such dividends or distributions are paid in Shares, the Shares will be subject to the same restrictions on transferability and forfeitability as the Shares of Restricted Stock with respect to which they were paid.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348615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121" w:right="339" w:bottom="1440" w:gutter="0" w:footer="0" w:header="0"/>
        </w:sectPr>
      </w:pPr>
    </w:p>
    <w:bookmarkStart w:id="23" w:name="page24"/>
    <w:bookmarkEnd w:id="23"/>
    <w:p>
      <w:pPr>
        <w:ind w:firstLine="1304"/>
        <w:spacing w:after="0" w:line="282" w:lineRule="auto"/>
        <w:tabs>
          <w:tab w:leader="none" w:pos="2095"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Return of Restricted Stock to Company</w:t>
      </w:r>
      <w:r>
        <w:rPr>
          <w:rFonts w:ascii="Times New Roman" w:cs="Times New Roman" w:eastAsia="Times New Roman" w:hAnsi="Times New Roman"/>
          <w:sz w:val="18"/>
          <w:szCs w:val="18"/>
          <w:color w:val="auto"/>
        </w:rPr>
        <w:t>. On the date set forth in the Award Agreement, the Restricted Stock for which restrictions have not lapsed will revert to the Company and again will become available for grant under the Plan.</w:t>
      </w:r>
    </w:p>
    <w:p>
      <w:pPr>
        <w:spacing w:after="0" w:line="16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Restricted Stock Units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99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w:t>
      </w:r>
      <w:r>
        <w:rPr>
          <w:rFonts w:ascii="Times New Roman" w:cs="Times New Roman" w:eastAsia="Times New Roman" w:hAnsi="Times New Roman"/>
          <w:sz w:val="18"/>
          <w:szCs w:val="18"/>
          <w:color w:val="auto"/>
        </w:rPr>
        <w:t>. Restricted Stock Units may be granted at any time and from time to time as determined by the Administrator to any individual as a material inducement to the individual becoming an Employee or as otherwise permitted under Section 5 in connection with a merger or acquisition, in each case, which grant shall become effective only if the individual actually becomes an Employee. After the Administrator determines that it will grant Restricted Stock Units under the Plan, it will advise the Participant in an Award Agreement of the terms, conditions, and restrictions related to the grant, including the number of Restricted Stock Units.</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90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Criteria and Other Terms</w:t>
      </w:r>
      <w:r>
        <w:rPr>
          <w:rFonts w:ascii="Times New Roman" w:cs="Times New Roman" w:eastAsia="Times New Roman" w:hAnsi="Times New Roman"/>
          <w:sz w:val="18"/>
          <w:szCs w:val="18"/>
          <w:color w:val="auto"/>
        </w:rPr>
        <w:t>. The Administrator will set vesting criteria in its discretion, which, depending on the extent to which the criteria are met, will determine the number of Restricted Stock Units that will be paid out to the Participant. Each Award of Restricted Stock Units will be evidenced by an Award Agreement that will specify the vesting criteria, and such other terms and conditions as the Administrator, in its sole discretion will determine.</w:t>
      </w:r>
    </w:p>
    <w:p>
      <w:pPr>
        <w:spacing w:after="0" w:line="179"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51"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Restricted Stock Units</w:t>
      </w:r>
      <w:r>
        <w:rPr>
          <w:rFonts w:ascii="Times New Roman" w:cs="Times New Roman" w:eastAsia="Times New Roman" w:hAnsi="Times New Roman"/>
          <w:sz w:val="18"/>
          <w:szCs w:val="18"/>
          <w:color w:val="auto"/>
        </w:rPr>
        <w:t>. Upon meeting the applicable vesting criteria, the Participant will be entitled to receive a payout as determined by the Administrator. Notwithstanding the foregoing, at any time after the grant of Restricted Stock Units, the Administrator, in its sole discretion, may reduce or waive any vesting criteria that must be met to receive a payout.</w:t>
      </w:r>
    </w:p>
    <w:p>
      <w:pPr>
        <w:spacing w:after="0" w:line="175"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2109"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w:t>
      </w:r>
      <w:r>
        <w:rPr>
          <w:rFonts w:ascii="Times New Roman" w:cs="Times New Roman" w:eastAsia="Times New Roman" w:hAnsi="Times New Roman"/>
          <w:sz w:val="18"/>
          <w:szCs w:val="18"/>
          <w:color w:val="auto"/>
        </w:rPr>
        <w:t>. Payment of earned Restricted Stock Units will be made as soon as practicable after the date(s) determined by the Administrator and set forth in the Award Agreement. The Administrator, in its sole discretion, may only settle earned Restricted Stock Units in cash, Shares, or a combination of both.</w:t>
      </w:r>
    </w:p>
    <w:p>
      <w:pPr>
        <w:spacing w:after="0" w:line="175" w:lineRule="exact"/>
        <w:rPr>
          <w:rFonts w:ascii="Times New Roman" w:cs="Times New Roman" w:eastAsia="Times New Roman" w:hAnsi="Times New Roman"/>
          <w:sz w:val="18"/>
          <w:szCs w:val="18"/>
          <w:color w:val="auto"/>
        </w:rPr>
      </w:pPr>
    </w:p>
    <w:p>
      <w:pPr>
        <w:ind w:left="2080" w:hanging="776"/>
        <w:spacing w:after="0"/>
        <w:tabs>
          <w:tab w:leader="none" w:pos="208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w:t>
      </w:r>
      <w:r>
        <w:rPr>
          <w:rFonts w:ascii="Times New Roman" w:cs="Times New Roman" w:eastAsia="Times New Roman" w:hAnsi="Times New Roman"/>
          <w:sz w:val="18"/>
          <w:szCs w:val="18"/>
          <w:color w:val="auto"/>
        </w:rPr>
        <w:t>.  On the date set forth in the Award Agreement, all unearned Restricted Stock Units will be forfeited to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Company.</w:t>
      </w:r>
    </w:p>
    <w:p>
      <w:pPr>
        <w:spacing w:after="0" w:line="206"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82"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Stock Appreciation Rights</w:t>
      </w:r>
      <w:r>
        <w:rPr>
          <w:rFonts w:ascii="Times New Roman" w:cs="Times New Roman" w:eastAsia="Times New Roman" w:hAnsi="Times New Roman"/>
          <w:sz w:val="18"/>
          <w:szCs w:val="18"/>
          <w:color w:val="auto"/>
        </w:rPr>
        <w:t>. Subject to the terms and conditions of the Plan, a Stock Appreciation Right may be granted to any individual as a material inducement to the individual becoming an Employee or as otherwise permitted under Section 5 in connection with a merger or acquisition, in each case, which grant shall become effective only if the individual actually becomes an Employee, at any time and from time to time as will be determined by the Administrator, in its sole discretion.</w:t>
      </w:r>
    </w:p>
    <w:p>
      <w:pPr>
        <w:spacing w:after="0" w:line="179" w:lineRule="exact"/>
        <w:rPr>
          <w:rFonts w:ascii="Times New Roman" w:cs="Times New Roman" w:eastAsia="Times New Roman" w:hAnsi="Times New Roman"/>
          <w:sz w:val="18"/>
          <w:szCs w:val="18"/>
          <w:color w:val="auto"/>
        </w:rPr>
      </w:pPr>
    </w:p>
    <w:p>
      <w:pPr>
        <w:ind w:left="2020" w:hanging="716"/>
        <w:spacing w:after="0"/>
        <w:tabs>
          <w:tab w:leader="none" w:pos="202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Number of Shares</w:t>
      </w:r>
      <w:r>
        <w:rPr>
          <w:rFonts w:ascii="Times New Roman" w:cs="Times New Roman" w:eastAsia="Times New Roman" w:hAnsi="Times New Roman"/>
          <w:sz w:val="18"/>
          <w:szCs w:val="18"/>
          <w:color w:val="auto"/>
        </w:rPr>
        <w:t>.  The Administrator will have complete discretion to determine the number of Stock Appreciation Rights</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granted to any Employee.</w:t>
      </w:r>
    </w:p>
    <w:p>
      <w:pPr>
        <w:spacing w:after="0" w:line="206" w:lineRule="exact"/>
        <w:rPr>
          <w:rFonts w:ascii="Times New Roman" w:cs="Times New Roman" w:eastAsia="Times New Roman" w:hAnsi="Times New Roman"/>
          <w:sz w:val="18"/>
          <w:szCs w:val="18"/>
          <w:color w:val="auto"/>
        </w:rPr>
      </w:pPr>
    </w:p>
    <w:p>
      <w:pPr>
        <w:jc w:val="both"/>
        <w:ind w:firstLine="1304"/>
        <w:spacing w:after="0" w:line="261" w:lineRule="auto"/>
        <w:tabs>
          <w:tab w:leader="none" w:pos="204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Price and Other Terms</w:t>
      </w:r>
      <w:r>
        <w:rPr>
          <w:rFonts w:ascii="Times New Roman" w:cs="Times New Roman" w:eastAsia="Times New Roman" w:hAnsi="Times New Roman"/>
          <w:sz w:val="18"/>
          <w:szCs w:val="18"/>
          <w:color w:val="auto"/>
        </w:rPr>
        <w:t>. The per share exercise price for the Shares to be issued pursuant to exercise of a Stock Appreciation Right will be determined by the Administrator and will be no less than one hundred percent (100%) of the Fair Market Value per Share on the date of grant. Otherwise, the Administrator, subject to the provisions of the Plan, will have complete discretion to determine the terms and conditions of Stock Appreciation Rights granted under the Plan.</w:t>
      </w:r>
    </w:p>
    <w:p>
      <w:pPr>
        <w:spacing w:after="0" w:line="179" w:lineRule="exact"/>
        <w:rPr>
          <w:rFonts w:ascii="Times New Roman" w:cs="Times New Roman" w:eastAsia="Times New Roman" w:hAnsi="Times New Roman"/>
          <w:sz w:val="18"/>
          <w:szCs w:val="18"/>
          <w:color w:val="auto"/>
        </w:rPr>
      </w:pPr>
    </w:p>
    <w:p>
      <w:pPr>
        <w:jc w:val="both"/>
        <w:ind w:right="20" w:firstLine="1304"/>
        <w:spacing w:after="0" w:line="266" w:lineRule="auto"/>
        <w:tabs>
          <w:tab w:leader="none" w:pos="190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 Appreciation Right Agreement</w:t>
      </w:r>
      <w:r>
        <w:rPr>
          <w:rFonts w:ascii="Times New Roman" w:cs="Times New Roman" w:eastAsia="Times New Roman" w:hAnsi="Times New Roman"/>
          <w:sz w:val="18"/>
          <w:szCs w:val="18"/>
          <w:color w:val="auto"/>
        </w:rPr>
        <w:t>. Each Stock Appreciation Right grant will be evidenced by an Award Agreement that will specify the exercise price, the term of the Stock Appreciation Right, the conditions of exercise, and such other terms and conditions as the Administrator, in its sole discretion, will determine.</w:t>
      </w:r>
    </w:p>
    <w:p>
      <w:pPr>
        <w:spacing w:after="0" w:line="175" w:lineRule="exact"/>
        <w:rPr>
          <w:rFonts w:ascii="Times New Roman" w:cs="Times New Roman" w:eastAsia="Times New Roman" w:hAnsi="Times New Roman"/>
          <w:sz w:val="18"/>
          <w:szCs w:val="18"/>
          <w:color w:val="auto"/>
        </w:rPr>
      </w:pPr>
    </w:p>
    <w:p>
      <w:pPr>
        <w:jc w:val="both"/>
        <w:ind w:firstLine="1304"/>
        <w:spacing w:after="0" w:line="266" w:lineRule="auto"/>
        <w:tabs>
          <w:tab w:leader="none" w:pos="1896"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Expiration of Stock Appreciation Rights</w:t>
      </w:r>
      <w:r>
        <w:rPr>
          <w:rFonts w:ascii="Times New Roman" w:cs="Times New Roman" w:eastAsia="Times New Roman" w:hAnsi="Times New Roman"/>
          <w:sz w:val="18"/>
          <w:szCs w:val="18"/>
          <w:color w:val="auto"/>
        </w:rPr>
        <w:t>. A Stock Appreciation Right granted under the Plan will expire ten (10) years from the date of grant or such shorter term as may be provided in the Award Agreement, as determined by the Administrator, in its sole discretion. Notwithstanding the foregoing, the rules of Section 6(d) relating to exercise also will apply to Stock Appreciation Rights.</w:t>
      </w:r>
    </w:p>
    <w:p>
      <w:pPr>
        <w:spacing w:after="0" w:line="175" w:lineRule="exact"/>
        <w:rPr>
          <w:rFonts w:ascii="Times New Roman" w:cs="Times New Roman" w:eastAsia="Times New Roman" w:hAnsi="Times New Roman"/>
          <w:sz w:val="18"/>
          <w:szCs w:val="18"/>
          <w:color w:val="auto"/>
        </w:rPr>
      </w:pPr>
    </w:p>
    <w:p>
      <w:pPr>
        <w:ind w:firstLine="1304"/>
        <w:spacing w:after="0" w:line="282" w:lineRule="auto"/>
        <w:tabs>
          <w:tab w:leader="none" w:pos="1975"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 of Stock Appreciation Right Amount</w:t>
      </w:r>
      <w:r>
        <w:rPr>
          <w:rFonts w:ascii="Times New Roman" w:cs="Times New Roman" w:eastAsia="Times New Roman" w:hAnsi="Times New Roman"/>
          <w:sz w:val="18"/>
          <w:szCs w:val="18"/>
          <w:color w:val="auto"/>
        </w:rPr>
        <w:t>. Upon exercise of a Stock Appreciation Right, a Participant will be entitled to receive payment from the Company in an amount determined by multiplying:</w:t>
      </w:r>
    </w:p>
    <w:p>
      <w:pPr>
        <w:spacing w:after="0" w:line="161" w:lineRule="exact"/>
        <w:rPr>
          <w:rFonts w:ascii="Times New Roman" w:cs="Times New Roman" w:eastAsia="Times New Roman" w:hAnsi="Times New Roman"/>
          <w:sz w:val="18"/>
          <w:szCs w:val="18"/>
          <w:color w:val="auto"/>
        </w:rPr>
      </w:pPr>
    </w:p>
    <w:p>
      <w:pPr>
        <w:ind w:left="2840" w:hanging="564"/>
        <w:spacing w:after="0"/>
        <w:tabs>
          <w:tab w:leader="none" w:pos="284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the Fair Market Value of a Share on the date of exercise over the exercise price; times</w:t>
      </w:r>
    </w:p>
    <w:p>
      <w:pPr>
        <w:spacing w:after="0" w:line="225" w:lineRule="exact"/>
        <w:rPr>
          <w:rFonts w:ascii="Times New Roman" w:cs="Times New Roman" w:eastAsia="Times New Roman" w:hAnsi="Times New Roman"/>
          <w:sz w:val="18"/>
          <w:szCs w:val="18"/>
          <w:color w:val="auto"/>
        </w:rPr>
      </w:pPr>
    </w:p>
    <w:p>
      <w:pPr>
        <w:ind w:left="2860" w:hanging="584"/>
        <w:spacing w:after="0"/>
        <w:tabs>
          <w:tab w:leader="none" w:pos="2860" w:val="left"/>
        </w:tabs>
        <w:numPr>
          <w:ilvl w:val="2"/>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with respect to which the Stock Appreciation Right is exercised.</w:t>
      </w:r>
    </w:p>
    <w:p>
      <w:pPr>
        <w:spacing w:after="0" w:line="243" w:lineRule="exact"/>
        <w:rPr>
          <w:sz w:val="20"/>
          <w:szCs w:val="20"/>
          <w:color w:val="auto"/>
        </w:rPr>
      </w:pPr>
    </w:p>
    <w:p>
      <w:pPr>
        <w:spacing w:after="0" w:line="260" w:lineRule="auto"/>
        <w:rPr>
          <w:sz w:val="20"/>
          <w:szCs w:val="20"/>
          <w:color w:val="auto"/>
        </w:rPr>
      </w:pPr>
      <w:r>
        <w:rPr>
          <w:rFonts w:ascii="Times New Roman" w:cs="Times New Roman" w:eastAsia="Times New Roman" w:hAnsi="Times New Roman"/>
          <w:sz w:val="18"/>
          <w:szCs w:val="18"/>
          <w:color w:val="auto"/>
        </w:rPr>
        <w:t>At the discretion of the Administrator, the payment upon Stock Appreciation Right exercise may be in cash, in Shares of equivalent value, or in some combination thereof.</w:t>
      </w:r>
    </w:p>
    <w:p>
      <w:pPr>
        <w:spacing w:after="0" w:line="181" w:lineRule="exact"/>
        <w:rPr>
          <w:sz w:val="20"/>
          <w:szCs w:val="20"/>
          <w:color w:val="auto"/>
        </w:rPr>
      </w:pPr>
    </w:p>
    <w:p>
      <w:pPr>
        <w:ind w:left="1200" w:hanging="544"/>
        <w:spacing w:after="0"/>
        <w:tabs>
          <w:tab w:leader="none" w:pos="120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Units and Performance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1304"/>
        <w:spacing w:after="0" w:line="258" w:lineRule="auto"/>
        <w:tabs>
          <w:tab w:leader="none" w:pos="1864"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Performance Units/Shares</w:t>
      </w:r>
      <w:r>
        <w:rPr>
          <w:rFonts w:ascii="Times New Roman" w:cs="Times New Roman" w:eastAsia="Times New Roman" w:hAnsi="Times New Roman"/>
          <w:sz w:val="18"/>
          <w:szCs w:val="18"/>
          <w:color w:val="auto"/>
        </w:rPr>
        <w:t>. Performance Units and Performance Shares may be granted to any individual as a material inducement to the individual becoming an Employee or as otherwise permitted under Section 5 in connection with a merger or acquisition, in each case, which grant shall become effective only if the individual actually becomes an Employee, at any time and from time to time, as will be determined by the Administrator, in its sole discretion. The Administrator will have complete discretion in determining the number of Performance Units and Performance Shares granted to each Participant.</w:t>
      </w:r>
    </w:p>
    <w:p>
      <w:pPr>
        <w:spacing w:after="0" w:line="183" w:lineRule="exact"/>
        <w:rPr>
          <w:rFonts w:ascii="Times New Roman" w:cs="Times New Roman" w:eastAsia="Times New Roman" w:hAnsi="Times New Roman"/>
          <w:sz w:val="18"/>
          <w:szCs w:val="18"/>
          <w:color w:val="auto"/>
        </w:rPr>
      </w:pPr>
    </w:p>
    <w:p>
      <w:pPr>
        <w:ind w:right="20" w:firstLine="1304"/>
        <w:spacing w:after="0" w:line="282" w:lineRule="auto"/>
        <w:tabs>
          <w:tab w:leader="none" w:pos="1893"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Value of Performance Units/Shares</w:t>
      </w:r>
      <w:r>
        <w:rPr>
          <w:rFonts w:ascii="Times New Roman" w:cs="Times New Roman" w:eastAsia="Times New Roman" w:hAnsi="Times New Roman"/>
          <w:sz w:val="18"/>
          <w:szCs w:val="18"/>
          <w:color w:val="auto"/>
        </w:rPr>
        <w:t>. Each Performance Unit will have an initial value that is established by the Administrator on or before the date of grant. Each Performance Share will have an initial value equal to the Fair Market Value of a Share on the date of grant.</w:t>
      </w:r>
    </w:p>
    <w:p>
      <w:pPr>
        <w:spacing w:after="0" w:line="161" w:lineRule="exact"/>
        <w:rPr>
          <w:rFonts w:ascii="Times New Roman" w:cs="Times New Roman" w:eastAsia="Times New Roman" w:hAnsi="Times New Roman"/>
          <w:sz w:val="18"/>
          <w:szCs w:val="18"/>
          <w:color w:val="auto"/>
        </w:rPr>
      </w:pPr>
    </w:p>
    <w:p>
      <w:pPr>
        <w:jc w:val="both"/>
        <w:ind w:firstLine="1304"/>
        <w:spacing w:after="0" w:line="266" w:lineRule="auto"/>
        <w:tabs>
          <w:tab w:leader="none" w:pos="2026"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Performance Objectives and Other Terms</w:t>
      </w:r>
      <w:r>
        <w:rPr>
          <w:rFonts w:ascii="Times New Roman" w:cs="Times New Roman" w:eastAsia="Times New Roman" w:hAnsi="Times New Roman"/>
          <w:sz w:val="18"/>
          <w:szCs w:val="18"/>
          <w:color w:val="auto"/>
        </w:rPr>
        <w:t>. The Administrator will set performance objectives or other vesting provisions (including, without limitation, continued status as a Service Provider) in its discretion which, depending on the extent to which they are met, will determine the number or value of Performance Units/Shares that will be paid out to the Service Providers. The time period during which the performance objectives</w:t>
      </w:r>
    </w:p>
    <w:p>
      <w:pPr>
        <w:sectPr>
          <w:pgSz w:w="11900" w:h="16838" w:orient="portrait"/>
          <w:cols w:equalWidth="0" w:num="1">
            <w:col w:w="11240"/>
          </w:cols>
          <w:pgMar w:left="320" w:top="580" w:right="339" w:bottom="0" w:gutter="0" w:footer="0" w:header="0"/>
        </w:sectPr>
      </w:pPr>
    </w:p>
    <w:bookmarkStart w:id="24" w:name="page25"/>
    <w:bookmarkEnd w:id="24"/>
    <w:p>
      <w:pPr>
        <w:jc w:val="both"/>
        <w:spacing w:after="0" w:line="258" w:lineRule="auto"/>
        <w:rPr>
          <w:sz w:val="20"/>
          <w:szCs w:val="20"/>
          <w:color w:val="auto"/>
        </w:rPr>
      </w:pPr>
      <w:r>
        <w:rPr>
          <w:rFonts w:ascii="Times New Roman" w:cs="Times New Roman" w:eastAsia="Times New Roman" w:hAnsi="Times New Roman"/>
          <w:sz w:val="18"/>
          <w:szCs w:val="18"/>
          <w:color w:val="auto"/>
        </w:rPr>
        <w:t>or other vesting provisions must be met will be called the “</w:t>
      </w:r>
      <w:r>
        <w:rPr>
          <w:rFonts w:ascii="Times New Roman" w:cs="Times New Roman" w:eastAsia="Times New Roman" w:hAnsi="Times New Roman"/>
          <w:sz w:val="18"/>
          <w:szCs w:val="18"/>
          <w:u w:val="single" w:color="auto"/>
          <w:color w:val="auto"/>
        </w:rPr>
        <w:t>Performance Period</w:t>
      </w:r>
      <w:r>
        <w:rPr>
          <w:rFonts w:ascii="Times New Roman" w:cs="Times New Roman" w:eastAsia="Times New Roman" w:hAnsi="Times New Roman"/>
          <w:sz w:val="18"/>
          <w:szCs w:val="18"/>
          <w:color w:val="auto"/>
        </w:rPr>
        <w:t>.” Each Award of Performance Units/Shares will be evidenced by an Award Agreement that will specify the Performance Period, and such other terms and conditions as the Administrator, in its sole discretion, will determine. The Administrator may set performance objectives based upon the achievement of Company-wide, divisional, business unit or individual goals (including, but not limited to, continued employment or service), applicable federal or state securities laws, or any other basis determined by the Administrator in its discretion.</w:t>
      </w:r>
    </w:p>
    <w:p>
      <w:pPr>
        <w:spacing w:after="0" w:line="183" w:lineRule="exact"/>
        <w:rPr>
          <w:sz w:val="20"/>
          <w:szCs w:val="20"/>
          <w:color w:val="auto"/>
        </w:rPr>
      </w:pPr>
    </w:p>
    <w:p>
      <w:pPr>
        <w:jc w:val="both"/>
        <w:ind w:firstLine="1304"/>
        <w:spacing w:after="0" w:line="258" w:lineRule="auto"/>
        <w:tabs>
          <w:tab w:leader="none" w:pos="217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Earning of Performance Units/Shares</w:t>
      </w:r>
      <w:r>
        <w:rPr>
          <w:rFonts w:ascii="Times New Roman" w:cs="Times New Roman" w:eastAsia="Times New Roman" w:hAnsi="Times New Roman"/>
          <w:sz w:val="18"/>
          <w:szCs w:val="18"/>
          <w:color w:val="auto"/>
        </w:rPr>
        <w:t>. After the applicable Performance Period has ended, the holder of Performance Units/Shares will be entitled to receive a payout of the number of Performance Units/Shares earned by the Participant over the Performance Period, to be determined as a function of the extent to which the corresponding performance objectives or other vesting provisions have been achieved. After the grant of a Performance Unit/Share, the Administrator, in its sole discretion, may reduce or waive any performance objectives or other vesting provisions for such Performance Unit/Share.</w:t>
      </w:r>
    </w:p>
    <w:p>
      <w:pPr>
        <w:spacing w:after="0" w:line="183" w:lineRule="exact"/>
        <w:rPr>
          <w:rFonts w:ascii="Times New Roman" w:cs="Times New Roman" w:eastAsia="Times New Roman" w:hAnsi="Times New Roman"/>
          <w:sz w:val="18"/>
          <w:szCs w:val="18"/>
          <w:color w:val="auto"/>
        </w:rPr>
      </w:pPr>
    </w:p>
    <w:p>
      <w:pPr>
        <w:jc w:val="both"/>
        <w:ind w:firstLine="1304"/>
        <w:spacing w:after="0" w:line="261" w:lineRule="auto"/>
        <w:tabs>
          <w:tab w:leader="none" w:pos="1896"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Form and Timing of Payment of Performance Units/Shares</w:t>
      </w:r>
      <w:r>
        <w:rPr>
          <w:rFonts w:ascii="Times New Roman" w:cs="Times New Roman" w:eastAsia="Times New Roman" w:hAnsi="Times New Roman"/>
          <w:sz w:val="18"/>
          <w:szCs w:val="18"/>
          <w:color w:val="auto"/>
        </w:rPr>
        <w:t>. Payment of earned Performance Units/Shares will be made as soon as practicable after the expiration of the applicable Performance Period. The Administrator, in its sole discretion, may pay earned Performance Units/Shares in the form of cash, in Shares (which have an aggregate Fair Market Value equal to the value of the earned Performance Units/Shares at the close of the applicable Performance Period) or in a combination thereof.</w:t>
      </w:r>
    </w:p>
    <w:p>
      <w:pPr>
        <w:spacing w:after="0" w:line="179" w:lineRule="exact"/>
        <w:rPr>
          <w:rFonts w:ascii="Times New Roman" w:cs="Times New Roman" w:eastAsia="Times New Roman" w:hAnsi="Times New Roman"/>
          <w:sz w:val="18"/>
          <w:szCs w:val="18"/>
          <w:color w:val="auto"/>
        </w:rPr>
      </w:pPr>
    </w:p>
    <w:p>
      <w:pPr>
        <w:ind w:firstLine="1304"/>
        <w:spacing w:after="0" w:line="282" w:lineRule="auto"/>
        <w:tabs>
          <w:tab w:leader="none" w:pos="1908" w:val="left"/>
        </w:tabs>
        <w:numPr>
          <w:ilvl w:val="1"/>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Cancellation of Performance Units/Shares</w:t>
      </w:r>
      <w:r>
        <w:rPr>
          <w:rFonts w:ascii="Times New Roman" w:cs="Times New Roman" w:eastAsia="Times New Roman" w:hAnsi="Times New Roman"/>
          <w:sz w:val="18"/>
          <w:szCs w:val="18"/>
          <w:color w:val="auto"/>
        </w:rPr>
        <w:t>. On the date set forth in the Award Agreement, all unearned or unvested Performance Units/Shares will be forfeited to the Company, and again will be available for grant under the Plan.</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235"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Leaves of Absence/Transfer Between Locations</w:t>
      </w:r>
      <w:r>
        <w:rPr>
          <w:rFonts w:ascii="Times New Roman" w:cs="Times New Roman" w:eastAsia="Times New Roman" w:hAnsi="Times New Roman"/>
          <w:sz w:val="18"/>
          <w:szCs w:val="18"/>
          <w:color w:val="auto"/>
        </w:rPr>
        <w:t>. Unless the Administrator provides otherwise, vesting of Awards granted hereunder will be suspended during any unpaid leave of absence. A Participant will not cease to be an Employee in the case of (i) any leave of absence approved by the Company or (ii) transfers between locations of the Company or between the Company, its Parent, or any Subsidiary.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346075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5" w:name="page26"/>
    <w:bookmarkEnd w:id="25"/>
    <w:p>
      <w:pPr>
        <w:spacing w:after="0" w:line="200" w:lineRule="exact"/>
        <w:rPr>
          <w:sz w:val="20"/>
          <w:szCs w:val="20"/>
          <w:color w:val="auto"/>
        </w:rPr>
      </w:pPr>
    </w:p>
    <w:p>
      <w:pPr>
        <w:jc w:val="both"/>
        <w:ind w:left="320" w:firstLine="656"/>
        <w:spacing w:after="0" w:line="261" w:lineRule="auto"/>
        <w:tabs>
          <w:tab w:leader="none" w:pos="1508"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Transferability of Awards</w:t>
      </w:r>
      <w:r>
        <w:rPr>
          <w:rFonts w:ascii="Times New Roman" w:cs="Times New Roman" w:eastAsia="Times New Roman" w:hAnsi="Times New Roman"/>
          <w:sz w:val="18"/>
          <w:szCs w:val="18"/>
          <w:color w:val="auto"/>
        </w:rPr>
        <w:t>. Unless determined otherwise by the Administrator, an Award may not be sold, pledged, assigned, hypothecated, transferred, or disposed of in any manner other than by will or by the laws of descent or distribution and may be exercised, during the lifetime of the Participant, only by the Participant. If the Administrator makes an Award transferable, such Award will contain such additional terms and conditions as the Administrator deems appropriate.</w:t>
      </w:r>
    </w:p>
    <w:p>
      <w:pPr>
        <w:spacing w:after="0" w:line="179" w:lineRule="exact"/>
        <w:rPr>
          <w:rFonts w:ascii="Times New Roman" w:cs="Times New Roman" w:eastAsia="Times New Roman" w:hAnsi="Times New Roman"/>
          <w:sz w:val="18"/>
          <w:szCs w:val="18"/>
          <w:color w:val="auto"/>
        </w:rPr>
      </w:pPr>
    </w:p>
    <w:p>
      <w:pPr>
        <w:ind w:left="1520" w:hanging="544"/>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Dissolution or Liquidation; Change in Control</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firstLine="1304"/>
        <w:spacing w:after="0" w:line="256" w:lineRule="auto"/>
        <w:tabs>
          <w:tab w:leader="none" w:pos="2184"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w:t>
      </w:r>
      <w:r>
        <w:rPr>
          <w:rFonts w:ascii="Times New Roman" w:cs="Times New Roman" w:eastAsia="Times New Roman" w:hAnsi="Times New Roman"/>
          <w:sz w:val="18"/>
          <w:szCs w:val="18"/>
          <w:color w:val="auto"/>
        </w:rPr>
        <w:t>. In the event that any dividend or other distribution (whether in the form of cash, Shares, other securities, or other property), recapitalization, stock split, reverse stock split, reorganization, merger, consolidation, split-up, spin-off, combination, repurchase, or exchange of Shares or other securities of the Company, or other change in the corporate structure of the Company affecting the Shares occurs, the Administrator, in order to prevent diminution or enlargement of the benefits or potential benefits intended to be made available under the Plan, will adjust the number and class of Shares that may be delivered under the Plan and/or the number, class, and price of Shares covered by each outstanding Award, and the numerical Share limits set forth in Section 3 of the Plan.</w:t>
      </w:r>
    </w:p>
    <w:p>
      <w:pPr>
        <w:spacing w:after="0" w:line="187" w:lineRule="exact"/>
        <w:rPr>
          <w:rFonts w:ascii="Times New Roman" w:cs="Times New Roman" w:eastAsia="Times New Roman" w:hAnsi="Times New Roman"/>
          <w:sz w:val="18"/>
          <w:szCs w:val="18"/>
          <w:color w:val="auto"/>
        </w:rPr>
      </w:pPr>
    </w:p>
    <w:p>
      <w:pPr>
        <w:jc w:val="both"/>
        <w:ind w:left="320" w:firstLine="1304"/>
        <w:spacing w:after="0" w:line="266" w:lineRule="auto"/>
        <w:tabs>
          <w:tab w:leader="none" w:pos="2168"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Dissolution or Liquidation</w:t>
      </w:r>
      <w:r>
        <w:rPr>
          <w:rFonts w:ascii="Times New Roman" w:cs="Times New Roman" w:eastAsia="Times New Roman" w:hAnsi="Times New Roman"/>
          <w:sz w:val="18"/>
          <w:szCs w:val="18"/>
          <w:color w:val="auto"/>
        </w:rPr>
        <w:t>. In the event of the proposed dissolution or liquidation of the Company, the Administrator will notify each Participant as soon as practicable prior to the effective date of such proposed transaction. To the extent it previously has not been exercised, an Award will terminate immediately prior to the consummation of such proposed action.</w:t>
      </w:r>
    </w:p>
    <w:p>
      <w:pPr>
        <w:spacing w:after="0" w:line="175" w:lineRule="exact"/>
        <w:rPr>
          <w:rFonts w:ascii="Times New Roman" w:cs="Times New Roman" w:eastAsia="Times New Roman" w:hAnsi="Times New Roman"/>
          <w:sz w:val="18"/>
          <w:szCs w:val="18"/>
          <w:color w:val="auto"/>
        </w:rPr>
      </w:pPr>
    </w:p>
    <w:p>
      <w:pPr>
        <w:jc w:val="both"/>
        <w:ind w:left="320" w:firstLine="1304"/>
        <w:spacing w:after="0" w:line="252" w:lineRule="auto"/>
        <w:tabs>
          <w:tab w:leader="none" w:pos="2189"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in Control</w:t>
      </w:r>
      <w:r>
        <w:rPr>
          <w:rFonts w:ascii="Times New Roman" w:cs="Times New Roman" w:eastAsia="Times New Roman" w:hAnsi="Times New Roman"/>
          <w:sz w:val="18"/>
          <w:szCs w:val="18"/>
          <w:color w:val="auto"/>
        </w:rPr>
        <w:t>. In the event of a Change in Control, each outstanding Award will be treated as the Administrator determines, including, without limitation, that (i) Awards may be assumed, or substantially equivalent Awards will be substituted, by the acquiring or succeeding corporation (or an affiliate thereof) with appropriate adjustments as to the number and kind of shares and prices; (ii) upon written notice to a Participant, that the Participant’s Awards will terminate upon or immediately prior to the consummation of such Change in Control; (iii) outstanding Awards will vest and become exercisable, realizable, or payable, or restrictions applicable to an Award will lapse, in whole or in part prior to or upon consummation of such Change in Control, and, to the extent the Administrator determines, terminate upon or immediately prior to the effectiveness of such merger or Change in Control; (iv) (A) the termination of an Award in exchange for an amount of cash and/or property, if any, equal to the amount that would have been attained upon the exercise of such Award or realization of the Participant’s rights as of the date of the occurrence of the transaction (and, for the avoidance of doubt, if as of the date of the occurrence of the transaction the Administrator determines in good faith that no amount would have been attained upon the exercise of such Award or realization of the Participant’s rights, then such Award may be terminated by the Company without payment), or (B) the replacement of such Award with other rights or property selected by the Administrator in its sole discretion; or (v) any combination of the foregoing. In taking any of the actions permitted under this Section 13(c), the Administrator will not be required to treat all Awards similarly in the transaction.</w:t>
      </w:r>
    </w:p>
    <w:p>
      <w:pPr>
        <w:spacing w:after="0" w:line="2" w:lineRule="exact"/>
        <w:rPr>
          <w:rFonts w:ascii="Times New Roman" w:cs="Times New Roman" w:eastAsia="Times New Roman" w:hAnsi="Times New Roman"/>
          <w:sz w:val="18"/>
          <w:szCs w:val="18"/>
          <w:color w:val="auto"/>
        </w:rPr>
      </w:pPr>
    </w:p>
    <w:p>
      <w:pPr>
        <w:spacing w:after="0" w:line="2" w:lineRule="exact"/>
        <w:rPr>
          <w:rFonts w:ascii="Times New Roman" w:cs="Times New Roman" w:eastAsia="Times New Roman" w:hAnsi="Times New Roman"/>
          <w:sz w:val="18"/>
          <w:szCs w:val="18"/>
          <w:color w:val="auto"/>
        </w:rPr>
      </w:pPr>
    </w:p>
    <w:p>
      <w:pPr>
        <w:jc w:val="both"/>
        <w:ind w:left="3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successor corporation does not assume or substitute for the Award, the Participant will fully vest in and have the right to exercise all of his or her outstanding Options and Stock Appreciation Rights, including Shares as to which such Awards would not otherwise be vested or exercisable, all restrictions on Restricted Stock and Restricted Stock Units will lapse, and, with respect to Awards with performance-based vesting, all performance goals or other vesting criteria will be deemed achieved at one hundred percent (100%) of target levels and all other terms and conditions met. In addition, if an Option or Stock Appreciation Right is not assumed or substituted in the event of a Change in Control, the Administrator will notify the Participant in writing or electronically that the Option or Stock Appreciation Right will be exercisable for a period of time determined by the Administrator in its sole discretion, and the Option or Stock Appreciation Right will terminate upon the expiration of such period.</w:t>
      </w:r>
    </w:p>
    <w:p>
      <w:pPr>
        <w:spacing w:after="0" w:line="2" w:lineRule="exact"/>
        <w:rPr>
          <w:rFonts w:ascii="Times New Roman" w:cs="Times New Roman" w:eastAsia="Times New Roman" w:hAnsi="Times New Roman"/>
          <w:sz w:val="18"/>
          <w:szCs w:val="18"/>
          <w:color w:val="auto"/>
        </w:rPr>
      </w:pPr>
    </w:p>
    <w:p>
      <w:pPr>
        <w:spacing w:after="0" w:line="2" w:lineRule="exact"/>
        <w:rPr>
          <w:rFonts w:ascii="Times New Roman" w:cs="Times New Roman" w:eastAsia="Times New Roman" w:hAnsi="Times New Roman"/>
          <w:sz w:val="18"/>
          <w:szCs w:val="18"/>
          <w:color w:val="auto"/>
        </w:rPr>
      </w:pPr>
    </w:p>
    <w:p>
      <w:pPr>
        <w:jc w:val="both"/>
        <w:ind w:left="320" w:firstLine="1296"/>
        <w:spacing w:after="0" w:line="25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purposes of this subsection (c), an Award will be considered assumed if, following the Change in Control, the Award confers the right to purchase or receive, for each Share subject to the Award immediately prior to the Change in Control, the consideration (whether stock, cash, or other securities or property) received in the Change in Control by holders of Common Stock for each Share held on the effective date of the transaction (and if holders were offered a choice of consideration, the type of consideration chosen by the holders of a majority of the outstanding Shares); provided, however, that if such consideration received in the Change in Control is not solely common stock of the successor corporation or its Parent, the Administrator may, with the consent of the successor corporation, provide for the consideration to be received upon the exercise of an Option or Stock Appreciation Right or upon the payout of a Restricted Stock Unit, Performance Unit or Performance Share, for each Share subject to such Award, to be solely common stock of the successor corporation or its Parent equal in fair market value to the per share consideration received by holders of Common Stock in the Change in Control.</w:t>
      </w:r>
    </w:p>
    <w:p>
      <w:pPr>
        <w:spacing w:after="0" w:line="3" w:lineRule="exact"/>
        <w:rPr>
          <w:rFonts w:ascii="Times New Roman" w:cs="Times New Roman" w:eastAsia="Times New Roman" w:hAnsi="Times New Roman"/>
          <w:sz w:val="18"/>
          <w:szCs w:val="18"/>
          <w:color w:val="auto"/>
        </w:rPr>
      </w:pPr>
    </w:p>
    <w:p>
      <w:pPr>
        <w:spacing w:after="0" w:line="3" w:lineRule="exact"/>
        <w:rPr>
          <w:rFonts w:ascii="Times New Roman" w:cs="Times New Roman" w:eastAsia="Times New Roman" w:hAnsi="Times New Roman"/>
          <w:sz w:val="18"/>
          <w:szCs w:val="18"/>
          <w:color w:val="auto"/>
        </w:rPr>
      </w:pPr>
    </w:p>
    <w:p>
      <w:pPr>
        <w:jc w:val="both"/>
        <w:ind w:left="320" w:firstLine="1296"/>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Notwithstanding anything in this Section 13(c) to the contrary, an Award that vests, is earned or paid-out upon the satisfaction of one or more performance goals will not be considered assumed if the Company or its successor modifies any of such performance goals without the Participant’s consent; provided, however, a modification to such performance goals only to reflect the successor corporation’s post-Change in Control corporate structure will not be deemed to invalidate an otherwise valid Award assumption.</w:t>
      </w:r>
    </w:p>
    <w:p>
      <w:pPr>
        <w:spacing w:after="0" w:line="188" w:lineRule="exact"/>
        <w:rPr>
          <w:rFonts w:ascii="Times New Roman" w:cs="Times New Roman" w:eastAsia="Times New Roman" w:hAnsi="Times New Roman"/>
          <w:sz w:val="18"/>
          <w:szCs w:val="18"/>
          <w:color w:val="auto"/>
        </w:rPr>
      </w:pPr>
    </w:p>
    <w:p>
      <w:pPr>
        <w:ind w:left="1520" w:hanging="544"/>
        <w:spacing w:after="0"/>
        <w:tabs>
          <w:tab w:leader="none" w:pos="152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320" w:firstLine="1304"/>
        <w:spacing w:after="0" w:line="261" w:lineRule="auto"/>
        <w:tabs>
          <w:tab w:leader="none" w:pos="2202"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Requirements</w:t>
      </w:r>
      <w:r>
        <w:rPr>
          <w:rFonts w:ascii="Times New Roman" w:cs="Times New Roman" w:eastAsia="Times New Roman" w:hAnsi="Times New Roman"/>
          <w:sz w:val="18"/>
          <w:szCs w:val="18"/>
          <w:color w:val="auto"/>
        </w:rPr>
        <w:t>. Prior to the delivery of any Shares or cash pursuant to an Award (or exercise thereof) or such earlier time as any tax withholding obligations are due, the Company will have the power and the right to deduct or withhold, or require a Participant to remit to the Company, an amount sufficient to satisfy federal, state, local, foreign or other taxes (including the Participant’s FICA obligation) required to be withheld with respect to such Award (or exercise thereof).</w:t>
      </w:r>
    </w:p>
    <w:p>
      <w:pPr>
        <w:spacing w:after="0" w:line="179" w:lineRule="exact"/>
        <w:rPr>
          <w:rFonts w:ascii="Times New Roman" w:cs="Times New Roman" w:eastAsia="Times New Roman" w:hAnsi="Times New Roman"/>
          <w:sz w:val="18"/>
          <w:szCs w:val="18"/>
          <w:color w:val="auto"/>
        </w:rPr>
      </w:pPr>
    </w:p>
    <w:p>
      <w:pPr>
        <w:jc w:val="both"/>
        <w:ind w:left="320" w:firstLine="1304"/>
        <w:spacing w:after="0" w:line="219" w:lineRule="exact"/>
        <w:tabs>
          <w:tab w:leader="none" w:pos="218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Withholding Arrangements</w:t>
      </w:r>
      <w:r>
        <w:rPr>
          <w:rFonts w:ascii="Times New Roman" w:cs="Times New Roman" w:eastAsia="Times New Roman" w:hAnsi="Times New Roman"/>
          <w:sz w:val="18"/>
          <w:szCs w:val="18"/>
          <w:color w:val="auto"/>
        </w:rPr>
        <w:t>. The Administrator, in its sole discretion and pursuant to such procedures as it may specify from time to time, may permit a Participant to satisfy such tax withholding obligation, in whole or in part by (without limitation) (a) paying cash, (b) electing to have the Company withhold otherwise deliverable cash or Shares having a Fair Market Value equal to the amount required to be withheld or other greater amount up to the maximum statutory rate under Applicable Laws, as applicable to the Participant, if such other greater amount would not result in adverse financial accounting treatment, as determined by the Company (including in connection with the effectiveness of FASB Accounting Standards Update 2016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09 amending FASB Accounting Standards Codification Topic 718, Compensation – Stock Compensation), or (c) delivering to the Company already-owned Shares having a Fair Market Value equal to the minimum statutory amount required to be withheld. The Fair Market Value of the Shares to be withheld or delivered will be determined as of the date that the taxes are required to be withheld.</w:t>
      </w:r>
    </w:p>
    <w:p>
      <w:pPr>
        <w:spacing w:after="0" w:line="198" w:lineRule="exact"/>
        <w:rPr>
          <w:rFonts w:ascii="Times New Roman" w:cs="Times New Roman" w:eastAsia="Times New Roman" w:hAnsi="Times New Roman"/>
          <w:sz w:val="18"/>
          <w:szCs w:val="18"/>
          <w:color w:val="auto"/>
        </w:rPr>
      </w:pPr>
    </w:p>
    <w:p>
      <w:pPr>
        <w:jc w:val="both"/>
        <w:ind w:left="320" w:firstLine="1304"/>
        <w:spacing w:after="0" w:line="261" w:lineRule="auto"/>
        <w:tabs>
          <w:tab w:leader="none" w:pos="2216" w:val="left"/>
        </w:tabs>
        <w:numPr>
          <w:ilvl w:val="1"/>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With Code Section 409A</w:t>
      </w:r>
      <w:r>
        <w:rPr>
          <w:rFonts w:ascii="Times New Roman" w:cs="Times New Roman" w:eastAsia="Times New Roman" w:hAnsi="Times New Roman"/>
          <w:sz w:val="18"/>
          <w:szCs w:val="18"/>
          <w:color w:val="auto"/>
        </w:rPr>
        <w:t>. Awards will be designed and operated in such a manner that they are either exempt from the application of, or comply with, the requirements of Code Section 409A such that the grant, payment, settlement or deferral will not be subject to the additional tax or interest applicable under Code Section 409A, except as otherwise determined in the sole discretion of the Administrator. The Plan and each Award Agreement under the Plan is intended to meet the requirements of Code Section 409A and will be construed and interpreted in accordance with</w:t>
      </w:r>
    </w:p>
    <w:p>
      <w:pPr>
        <w:sectPr>
          <w:pgSz w:w="11900" w:h="17038" w:orient="portrait"/>
          <w:cols w:equalWidth="0" w:num="1">
            <w:col w:w="11560"/>
          </w:cols>
          <w:pgMar w:left="0" w:top="580" w:right="339" w:bottom="0" w:gutter="0" w:footer="0" w:header="0"/>
        </w:sectPr>
      </w:pPr>
    </w:p>
    <w:bookmarkStart w:id="26" w:name="page27"/>
    <w:bookmarkEnd w:id="26"/>
    <w:p>
      <w:pPr>
        <w:jc w:val="both"/>
        <w:spacing w:after="0" w:line="266" w:lineRule="auto"/>
        <w:rPr>
          <w:sz w:val="20"/>
          <w:szCs w:val="20"/>
          <w:color w:val="auto"/>
        </w:rPr>
      </w:pPr>
      <w:r>
        <w:rPr>
          <w:rFonts w:ascii="Times New Roman" w:cs="Times New Roman" w:eastAsia="Times New Roman" w:hAnsi="Times New Roman"/>
          <w:sz w:val="18"/>
          <w:szCs w:val="18"/>
          <w:color w:val="auto"/>
        </w:rPr>
        <w:t>such intent, except as otherwise determined in the sole discretion of the Administrator.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or interest applicable under Code Section 409A.</w:t>
      </w:r>
    </w:p>
    <w:p>
      <w:pPr>
        <w:spacing w:after="0" w:line="176" w:lineRule="exact"/>
        <w:rPr>
          <w:sz w:val="20"/>
          <w:szCs w:val="20"/>
          <w:color w:val="auto"/>
        </w:rPr>
      </w:pPr>
    </w:p>
    <w:p>
      <w:pPr>
        <w:jc w:val="both"/>
        <w:ind w:firstLine="656"/>
        <w:spacing w:after="0" w:line="266" w:lineRule="auto"/>
        <w:tabs>
          <w:tab w:leader="none" w:pos="121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Effect on Employment or Service</w:t>
      </w:r>
      <w:r>
        <w:rPr>
          <w:rFonts w:ascii="Times New Roman" w:cs="Times New Roman" w:eastAsia="Times New Roman" w:hAnsi="Times New Roman"/>
          <w:sz w:val="18"/>
          <w:szCs w:val="18"/>
          <w:color w:val="auto"/>
        </w:rPr>
        <w:t>. Neither the Plan nor any Award will confer upon a Participant any right with respect to continuing the Participant’s relationship as a Service Provider with the Company, nor will they interfere in any way with the Participant’s right or the Company’s right to terminate such relationship at any time, with or without cause, to the extent permitted by Applicable Laws.</w:t>
      </w:r>
    </w:p>
    <w:p>
      <w:pPr>
        <w:spacing w:after="0" w:line="175" w:lineRule="exact"/>
        <w:rPr>
          <w:rFonts w:ascii="Times New Roman" w:cs="Times New Roman" w:eastAsia="Times New Roman" w:hAnsi="Times New Roman"/>
          <w:sz w:val="18"/>
          <w:szCs w:val="18"/>
          <w:color w:val="auto"/>
        </w:rPr>
      </w:pPr>
    </w:p>
    <w:p>
      <w:pPr>
        <w:jc w:val="both"/>
        <w:ind w:firstLine="656"/>
        <w:spacing w:after="0" w:line="266" w:lineRule="auto"/>
        <w:tabs>
          <w:tab w:leader="none" w:pos="1296"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Date of Grant</w:t>
      </w:r>
      <w:r>
        <w:rPr>
          <w:rFonts w:ascii="Times New Roman" w:cs="Times New Roman" w:eastAsia="Times New Roman" w:hAnsi="Times New Roman"/>
          <w:sz w:val="18"/>
          <w:szCs w:val="18"/>
          <w:color w:val="auto"/>
        </w:rPr>
        <w:t>. The date of grant of an Award will be, for all purposes, the date on which the Administrator makes the determination granting such Award, or such other later date as is determined by the Administrator. Notice of the determination will be provided to each Participant within a reasonable time after the date of such grant.</w:t>
      </w:r>
    </w:p>
    <w:p>
      <w:pPr>
        <w:spacing w:after="0" w:line="175" w:lineRule="exact"/>
        <w:rPr>
          <w:rFonts w:ascii="Times New Roman" w:cs="Times New Roman" w:eastAsia="Times New Roman" w:hAnsi="Times New Roman"/>
          <w:sz w:val="18"/>
          <w:szCs w:val="18"/>
          <w:color w:val="auto"/>
        </w:rPr>
      </w:pPr>
    </w:p>
    <w:p>
      <w:pPr>
        <w:ind w:right="20" w:firstLine="656"/>
        <w:spacing w:after="0" w:line="282" w:lineRule="auto"/>
        <w:tabs>
          <w:tab w:leader="none" w:pos="1228"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of Plan</w:t>
      </w:r>
      <w:r>
        <w:rPr>
          <w:rFonts w:ascii="Times New Roman" w:cs="Times New Roman" w:eastAsia="Times New Roman" w:hAnsi="Times New Roman"/>
          <w:sz w:val="18"/>
          <w:szCs w:val="18"/>
          <w:color w:val="auto"/>
        </w:rPr>
        <w:t>. The Plan will become effective upon its adoption by the Board. It will continue in effect for a term of ten (10) years from the date adopted by the Board, unless terminated earlier under Section 18 of the Plan.</w:t>
      </w:r>
    </w:p>
    <w:p>
      <w:pPr>
        <w:spacing w:after="0" w:line="161" w:lineRule="exact"/>
        <w:rPr>
          <w:rFonts w:ascii="Times New Roman" w:cs="Times New Roman" w:eastAsia="Times New Roman" w:hAnsi="Times New Roman"/>
          <w:sz w:val="18"/>
          <w:szCs w:val="18"/>
          <w:color w:val="auto"/>
        </w:rPr>
      </w:pPr>
    </w:p>
    <w:p>
      <w:pPr>
        <w:ind w:left="1200" w:hanging="544"/>
        <w:spacing w:after="0"/>
        <w:tabs>
          <w:tab w:leader="none" w:pos="120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 of the Plan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860" w:hanging="556"/>
        <w:spacing w:after="0"/>
        <w:tabs>
          <w:tab w:leader="none" w:pos="1860"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and Termination</w:t>
      </w:r>
      <w:r>
        <w:rPr>
          <w:rFonts w:ascii="Times New Roman" w:cs="Times New Roman" w:eastAsia="Times New Roman" w:hAnsi="Times New Roman"/>
          <w:sz w:val="18"/>
          <w:szCs w:val="18"/>
          <w:color w:val="auto"/>
        </w:rPr>
        <w:t>. The Administrator may at any time amend, alter, suspend or terminate the Plan.</w:t>
      </w:r>
    </w:p>
    <w:p>
      <w:pPr>
        <w:spacing w:after="0" w:line="225" w:lineRule="exact"/>
        <w:rPr>
          <w:rFonts w:ascii="Times New Roman" w:cs="Times New Roman" w:eastAsia="Times New Roman" w:hAnsi="Times New Roman"/>
          <w:sz w:val="18"/>
          <w:szCs w:val="18"/>
          <w:color w:val="auto"/>
        </w:rPr>
      </w:pPr>
    </w:p>
    <w:p>
      <w:pPr>
        <w:ind w:firstLine="1304"/>
        <w:spacing w:after="0" w:line="282" w:lineRule="auto"/>
        <w:tabs>
          <w:tab w:leader="none" w:pos="2014" w:val="left"/>
        </w:tabs>
        <w:numPr>
          <w:ilvl w:val="1"/>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Stockholder Approval</w:t>
      </w:r>
      <w:r>
        <w:rPr>
          <w:rFonts w:ascii="Times New Roman" w:cs="Times New Roman" w:eastAsia="Times New Roman" w:hAnsi="Times New Roman"/>
          <w:sz w:val="18"/>
          <w:szCs w:val="18"/>
          <w:color w:val="auto"/>
        </w:rPr>
        <w:t>. The Company will obtain stockholder approval of any Plan amendment to the extent necessary and desirable to comply with Applicable Laws.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jc w:val="both"/>
        <w:ind w:left="-656" w:firstLine="1304"/>
        <w:spacing w:after="0" w:line="261" w:lineRule="auto"/>
        <w:tabs>
          <w:tab w:leader="none" w:pos="1199" w:val="left"/>
        </w:tabs>
        <w:numPr>
          <w:ilvl w:val="1"/>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Amendment or Termination</w:t>
      </w:r>
      <w:r>
        <w:rPr>
          <w:rFonts w:ascii="Times New Roman" w:cs="Times New Roman" w:eastAsia="Times New Roman" w:hAnsi="Times New Roman"/>
          <w:sz w:val="18"/>
          <w:szCs w:val="18"/>
          <w:color w:val="auto"/>
        </w:rPr>
        <w:t>. No amendment, alteration, suspension or termination of the Plan will materially impair the rights of any Participant, unless mutually agreed otherwise between the Participant and the Administrator, which agreement must be in writing and signed by the Participant and the Company. Termination of the Plan will not affect the Administrator’s ability to exercise the powers granted to it hereunder with respect to Awards granted under the Plan prior to the date of such termination.</w:t>
      </w:r>
    </w:p>
    <w:p>
      <w:pPr>
        <w:spacing w:after="0" w:line="179" w:lineRule="exact"/>
        <w:rPr>
          <w:rFonts w:ascii="Times New Roman" w:cs="Times New Roman" w:eastAsia="Times New Roman" w:hAnsi="Times New Roman"/>
          <w:sz w:val="18"/>
          <w:szCs w:val="18"/>
          <w:color w:val="auto"/>
        </w:rPr>
      </w:pPr>
    </w:p>
    <w:p>
      <w:pPr>
        <w:ind w:left="544" w:hanging="544"/>
        <w:spacing w:after="0"/>
        <w:tabs>
          <w:tab w:leader="none" w:pos="54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Upon Issuance of Shares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294"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Legal Compliance</w:t>
      </w:r>
      <w:r>
        <w:rPr>
          <w:rFonts w:ascii="Times New Roman" w:cs="Times New Roman" w:eastAsia="Times New Roman" w:hAnsi="Times New Roman"/>
          <w:sz w:val="18"/>
          <w:szCs w:val="18"/>
          <w:color w:val="auto"/>
        </w:rPr>
        <w:t>. Shares will not be issued pursuant to the exercise of an Award unless the exercise of such Award and the issuance and delivery of such Shares will comply with Applicable Laws and will be further subject to the approval of counsel for the Company with respect to such compliance.</w:t>
      </w:r>
    </w:p>
    <w:p>
      <w:pPr>
        <w:spacing w:after="0" w:line="175" w:lineRule="exact"/>
        <w:rPr>
          <w:rFonts w:ascii="Times New Roman" w:cs="Times New Roman" w:eastAsia="Times New Roman" w:hAnsi="Times New Roman"/>
          <w:sz w:val="18"/>
          <w:szCs w:val="18"/>
          <w:color w:val="auto"/>
        </w:rPr>
      </w:pPr>
    </w:p>
    <w:p>
      <w:pPr>
        <w:jc w:val="both"/>
        <w:ind w:left="-656" w:firstLine="1304"/>
        <w:spacing w:after="0" w:line="266" w:lineRule="auto"/>
        <w:tabs>
          <w:tab w:leader="none" w:pos="1291" w:val="left"/>
        </w:tabs>
        <w:numPr>
          <w:ilvl w:val="1"/>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Investment Representations</w:t>
      </w:r>
      <w:r>
        <w:rPr>
          <w:rFonts w:ascii="Times New Roman" w:cs="Times New Roman" w:eastAsia="Times New Roman" w:hAnsi="Times New Roman"/>
          <w:sz w:val="18"/>
          <w:szCs w:val="18"/>
          <w:color w:val="auto"/>
        </w:rPr>
        <w:t>. As a condition to the exercise of an Award, the Company may require the person exercising such Award to represent and warrant at the time of any such exercise that the Shares are being purchased only for investment and without any present intention to sell or distribute such Shares if, in the opinion of counsel for the Company, such a representation is required.</w:t>
      </w:r>
    </w:p>
    <w:p>
      <w:pPr>
        <w:spacing w:after="0" w:line="175" w:lineRule="exact"/>
        <w:rPr>
          <w:rFonts w:ascii="Times New Roman" w:cs="Times New Roman" w:eastAsia="Times New Roman" w:hAnsi="Times New Roman"/>
          <w:sz w:val="18"/>
          <w:szCs w:val="18"/>
          <w:color w:val="auto"/>
        </w:rPr>
      </w:pPr>
    </w:p>
    <w:p>
      <w:pPr>
        <w:jc w:val="both"/>
        <w:ind w:left="-656" w:firstLine="656"/>
        <w:spacing w:after="0" w:line="256" w:lineRule="auto"/>
        <w:tabs>
          <w:tab w:leader="none" w:pos="69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Inability to Obtain Authority</w:t>
      </w:r>
      <w:r>
        <w:rPr>
          <w:rFonts w:ascii="Times New Roman" w:cs="Times New Roman" w:eastAsia="Times New Roman" w:hAnsi="Times New Roman"/>
          <w:sz w:val="18"/>
          <w:szCs w:val="18"/>
          <w:color w:val="auto"/>
        </w:rPr>
        <w:t>. The inability of the Company to obtain authority from any regulatory body having jurisdiction or to complete or comply with the requirements of any registration or other qualification of the Shares under any state, federal or foreign law or under the rules and regulations of the Securities and Exchange Commission, the stock exchange on which Shares of the same class are then listed, or any other governmental or regulatory body, which authority, registration, qualification or rule compliance is deemed by the Company’s counsel to be necessary or advisable for the issuance and sale of any Shares hereunder, will relieve the Company of any liability in respect of the failure to issue or sell such Shares as to which such requisite authority, registration, qualification or rule compliance will not have been obtained.</w:t>
      </w:r>
    </w:p>
    <w:p>
      <w:pPr>
        <w:sectPr>
          <w:pgSz w:w="11900" w:h="16838" w:orient="portrait"/>
          <w:cols w:equalWidth="0" w:num="1">
            <w:col w:w="10584"/>
          </w:cols>
          <w:pgMar w:left="976" w:top="580" w:right="3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8"/>
          <w:szCs w:val="18"/>
          <w:b w:val="1"/>
          <w:bCs w:val="1"/>
          <w:color w:val="auto"/>
        </w:rPr>
        <w:t>Exhibit 10.3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INDUCEMENT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NOTICE OF STOCK OPTION GRANT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Unless otherwise defined herein, the terms defined in the Pulse Biosciences, Inc. Amended and Restated 2017 Inducement Equity Incentive Plan (the “Plan” of the “2017 Inducement Equity Incentive Plan”)) will have the same defined meanings in this Stock Option Agreement including the Notice of Stock Option Grant (the “Notice of Grant”), the Terms and Conditions of Stock Option Grant, and the appendices and exhibits attached thereto (all together, the “Award Agreement”).</w:t>
      </w:r>
    </w:p>
    <w:p>
      <w:pPr>
        <w:spacing w:after="0" w:line="176"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196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Name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t>
            </w:r>
          </w:p>
        </w:tc>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[[FIRSTNAME]] [[LASTNAME]]</w:t>
            </w:r>
          </w:p>
        </w:tc>
        <w:tc>
          <w:tcPr>
            <w:tcW w:w="0" w:type="dxa"/>
            <w:vAlign w:val="bottom"/>
          </w:tcPr>
          <w:p>
            <w:pPr>
              <w:spacing w:after="0"/>
              <w:rPr>
                <w:sz w:val="1"/>
                <w:szCs w:val="1"/>
                <w:color w:val="auto"/>
              </w:rPr>
            </w:pPr>
          </w:p>
        </w:tc>
      </w:tr>
      <w:tr>
        <w:trPr>
          <w:trHeight w:val="108"/>
        </w:trPr>
        <w:tc>
          <w:tcPr>
            <w:tcW w:w="1960" w:type="dxa"/>
            <w:vAlign w:val="bottom"/>
            <w:vMerge w:val="continue"/>
          </w:tcPr>
          <w:p>
            <w:pPr>
              <w:spacing w:after="0"/>
              <w:rPr>
                <w:sz w:val="9"/>
                <w:szCs w:val="9"/>
                <w:color w:val="auto"/>
              </w:rPr>
            </w:pPr>
          </w:p>
        </w:tc>
        <w:tc>
          <w:tcPr>
            <w:tcW w:w="5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02"/>
        </w:trPr>
        <w:tc>
          <w:tcPr>
            <w:tcW w:w="1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Address:</w:t>
            </w:r>
          </w:p>
        </w:tc>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rPr>
              <w:t>[[RESADDR1]]</w:t>
            </w:r>
          </w:p>
        </w:tc>
        <w:tc>
          <w:tcPr>
            <w:tcW w:w="0" w:type="dxa"/>
            <w:vAlign w:val="bottom"/>
          </w:tcPr>
          <w:p>
            <w:pPr>
              <w:spacing w:after="0"/>
              <w:rPr>
                <w:sz w:val="1"/>
                <w:szCs w:val="1"/>
                <w:color w:val="auto"/>
              </w:rPr>
            </w:pPr>
          </w:p>
        </w:tc>
      </w:tr>
      <w:tr>
        <w:trPr>
          <w:trHeight w:val="238"/>
        </w:trPr>
        <w:tc>
          <w:tcPr>
            <w:tcW w:w="1960" w:type="dxa"/>
            <w:vAlign w:val="bottom"/>
          </w:tcPr>
          <w:p>
            <w:pPr>
              <w:spacing w:after="0"/>
              <w:rPr>
                <w:sz w:val="20"/>
                <w:szCs w:val="20"/>
                <w:color w:val="auto"/>
              </w:rPr>
            </w:pPr>
          </w:p>
        </w:tc>
        <w:tc>
          <w:tcPr>
            <w:tcW w:w="5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color w:val="auto"/>
                <w:w w:val="98"/>
              </w:rPr>
              <w:t>[[RESCITY]], [[RESSTATEORPROV]] [[RESPOSTALCODE]]</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undersigned Participant has been granted an Option to purchase Common Stock of Pulse Biosciences, Inc. (the “Company”), subject to the terms and conditions of the Plan and this Award Agreement, as follows:</w:t>
      </w:r>
    </w:p>
    <w:p>
      <w:pPr>
        <w:spacing w:after="0" w:line="162"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208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Date of Grant</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[[GRANTDATE]]</w:t>
            </w:r>
          </w:p>
        </w:tc>
        <w:tc>
          <w:tcPr>
            <w:tcW w:w="0" w:type="dxa"/>
            <w:vAlign w:val="bottom"/>
          </w:tcPr>
          <w:p>
            <w:pPr>
              <w:spacing w:after="0"/>
              <w:rPr>
                <w:sz w:val="1"/>
                <w:szCs w:val="1"/>
                <w:color w:val="auto"/>
              </w:rPr>
            </w:pPr>
          </w:p>
        </w:tc>
      </w:tr>
      <w:tr>
        <w:trPr>
          <w:trHeight w:val="108"/>
        </w:trPr>
        <w:tc>
          <w:tcPr>
            <w:tcW w:w="2080" w:type="dxa"/>
            <w:vAlign w:val="bottom"/>
            <w:gridSpan w:val="3"/>
            <w:vMerge w:val="continue"/>
          </w:tcPr>
          <w:p>
            <w:pPr>
              <w:spacing w:after="0"/>
              <w:rPr>
                <w:sz w:val="9"/>
                <w:szCs w:val="9"/>
                <w:color w:val="auto"/>
              </w:rPr>
            </w:pPr>
          </w:p>
        </w:tc>
        <w:tc>
          <w:tcPr>
            <w:tcW w:w="25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324"/>
        </w:trPr>
        <w:tc>
          <w:tcPr>
            <w:tcW w:w="462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Vesting Commencement Date [[VESTINGSTARTDATE]]</w:t>
            </w:r>
          </w:p>
        </w:tc>
        <w:tc>
          <w:tcPr>
            <w:tcW w:w="0" w:type="dxa"/>
            <w:vAlign w:val="bottom"/>
          </w:tcPr>
          <w:p>
            <w:pPr>
              <w:spacing w:after="0"/>
              <w:rPr>
                <w:sz w:val="1"/>
                <w:szCs w:val="1"/>
                <w:color w:val="auto"/>
              </w:rPr>
            </w:pPr>
          </w:p>
        </w:tc>
      </w:tr>
      <w:tr>
        <w:trPr>
          <w:trHeight w:val="43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Number of Shares Granted</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[[SHARESGRANTED]]</w:t>
            </w:r>
          </w:p>
        </w:tc>
        <w:tc>
          <w:tcPr>
            <w:tcW w:w="0" w:type="dxa"/>
            <w:vAlign w:val="bottom"/>
          </w:tcPr>
          <w:p>
            <w:pPr>
              <w:spacing w:after="0"/>
              <w:rPr>
                <w:sz w:val="1"/>
                <w:szCs w:val="1"/>
                <w:color w:val="auto"/>
              </w:rPr>
            </w:pPr>
          </w:p>
        </w:tc>
      </w:tr>
      <w:tr>
        <w:trPr>
          <w:trHeight w:val="43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Exercise Price per Share</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[[GRANTPRICE]]</w:t>
            </w:r>
          </w:p>
        </w:tc>
        <w:tc>
          <w:tcPr>
            <w:tcW w:w="0" w:type="dxa"/>
            <w:vAlign w:val="bottom"/>
          </w:tcPr>
          <w:p>
            <w:pPr>
              <w:spacing w:after="0"/>
              <w:rPr>
                <w:sz w:val="1"/>
                <w:szCs w:val="1"/>
                <w:color w:val="auto"/>
              </w:rPr>
            </w:pPr>
          </w:p>
        </w:tc>
      </w:tr>
      <w:tr>
        <w:trPr>
          <w:trHeight w:val="43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Total Exercise Price</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[[GRANTPRICE]]</w:t>
            </w:r>
          </w:p>
        </w:tc>
        <w:tc>
          <w:tcPr>
            <w:tcW w:w="0" w:type="dxa"/>
            <w:vAlign w:val="bottom"/>
          </w:tcPr>
          <w:p>
            <w:pPr>
              <w:spacing w:after="0"/>
              <w:rPr>
                <w:sz w:val="1"/>
                <w:szCs w:val="1"/>
                <w:color w:val="auto"/>
              </w:rPr>
            </w:pPr>
          </w:p>
        </w:tc>
      </w:tr>
      <w:tr>
        <w:trPr>
          <w:trHeight w:val="43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Type of Option</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[[GRANTTYPE]]</w:t>
            </w:r>
          </w:p>
        </w:tc>
        <w:tc>
          <w:tcPr>
            <w:tcW w:w="0" w:type="dxa"/>
            <w:vAlign w:val="bottom"/>
          </w:tcPr>
          <w:p>
            <w:pPr>
              <w:spacing w:after="0"/>
              <w:rPr>
                <w:sz w:val="1"/>
                <w:szCs w:val="1"/>
                <w:color w:val="auto"/>
              </w:rPr>
            </w:pPr>
          </w:p>
        </w:tc>
      </w:tr>
      <w:tr>
        <w:trPr>
          <w:trHeight w:val="432"/>
        </w:trPr>
        <w:tc>
          <w:tcPr>
            <w:tcW w:w="20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Term/Expiration Date</w:t>
            </w:r>
          </w:p>
        </w:tc>
        <w:tc>
          <w:tcPr>
            <w:tcW w:w="2540" w:type="dxa"/>
            <w:vAlign w:val="bottom"/>
          </w:tcPr>
          <w:p>
            <w:pPr>
              <w:ind w:left="160"/>
              <w:spacing w:after="0"/>
              <w:rPr>
                <w:sz w:val="20"/>
                <w:szCs w:val="20"/>
                <w:color w:val="auto"/>
              </w:rPr>
            </w:pPr>
            <w:r>
              <w:rPr>
                <w:rFonts w:ascii="Times New Roman" w:cs="Times New Roman" w:eastAsia="Times New Roman" w:hAnsi="Times New Roman"/>
                <w:sz w:val="18"/>
                <w:szCs w:val="18"/>
                <w:color w:val="auto"/>
                <w:w w:val="97"/>
              </w:rPr>
              <w:t>[[GRANTEXPIRATIONDATE]]</w:t>
            </w:r>
          </w:p>
        </w:tc>
        <w:tc>
          <w:tcPr>
            <w:tcW w:w="0" w:type="dxa"/>
            <w:vAlign w:val="bottom"/>
          </w:tcPr>
          <w:p>
            <w:pPr>
              <w:spacing w:after="0"/>
              <w:rPr>
                <w:sz w:val="1"/>
                <w:szCs w:val="1"/>
                <w:color w:val="auto"/>
              </w:rPr>
            </w:pPr>
          </w:p>
        </w:tc>
      </w:tr>
      <w:tr>
        <w:trPr>
          <w:trHeight w:val="391"/>
        </w:trPr>
        <w:tc>
          <w:tcPr>
            <w:tcW w:w="80" w:type="dxa"/>
            <w:vAlign w:val="bottom"/>
          </w:tcPr>
          <w:p>
            <w:pPr>
              <w:spacing w:after="0"/>
              <w:rPr>
                <w:sz w:val="24"/>
                <w:szCs w:val="24"/>
                <w:color w:val="auto"/>
              </w:rPr>
            </w:pPr>
          </w:p>
        </w:tc>
        <w:tc>
          <w:tcPr>
            <w:tcW w:w="20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Vesting Schedule:</w:t>
            </w:r>
          </w:p>
        </w:tc>
        <w:tc>
          <w:tcPr>
            <w:tcW w:w="2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Subject to accelerated vesting as set forth below or in the Plan, this Option will be exercisable, in whole or in part, in accordance with the following schedule or as otherwise delivered to you in a signed writing by the Company: [[VESTINGTEMPLATEDESC]]</w:t>
      </w:r>
    </w:p>
    <w:p>
      <w:pPr>
        <w:spacing w:after="0" w:line="162"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Termination Period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This Option will be exercisable for three (3) months after Participant ceases to be a Service Provider, unless such termination is due to Participant’s death or Disability, in which case this Option will be exercisable for twelve (12) months after Participant ceases to be a Service Provider. Notwithstanding the foregoing sentence, in no event may this Option be exercised after the Term/Expiration Date as provided above and may be subject to earlier termination as provided in Section 13 of the Plan.</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Clawback Policy</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jc w:val="both"/>
        <w:ind w:firstLine="648"/>
        <w:spacing w:after="0" w:line="267" w:lineRule="auto"/>
        <w:rPr>
          <w:sz w:val="20"/>
          <w:szCs w:val="20"/>
          <w:color w:val="auto"/>
        </w:rPr>
      </w:pPr>
      <w:r>
        <w:rPr>
          <w:rFonts w:ascii="Times New Roman" w:cs="Times New Roman" w:eastAsia="Times New Roman" w:hAnsi="Times New Roman"/>
          <w:sz w:val="18"/>
          <w:szCs w:val="18"/>
          <w:color w:val="auto"/>
        </w:rPr>
        <w:t>On November 1, 2023, in accordance with applicable law, including 229 CFR § 240.10D, the Company adopted a policy to recoup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claw back) certain “Erroneously Awarded Compensation” in the event the Company restates its financial reports (the “Policy”). This Option is subject to the Policy, although the Policy only applies to Executive Officers, as defined by the Policy.</w:t>
      </w:r>
    </w:p>
    <w:p>
      <w:pPr>
        <w:spacing w:after="0" w:line="17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u w:val="single" w:color="auto"/>
          <w:color w:val="auto"/>
        </w:rPr>
        <w:t>Acknowledgments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Participant acknowledges receipt of a copy of the Plan and Policy and represents that he/she/they is familiar with the terms and provisions thereof, and hereby accepts this Award Agreement subject to all of the terms and provisionsof the Plan and Policy. Participant has reviewed the Plan and this Award Agreement in their entirety, has had an opportunity to obtain the advice of counsel prior to executing this Award Agreement and fully understands all provisions of this Award Agreement. Participant hereby agrees to accept as binding, conclusive and final all decisions or interpretations of the Administrator upon any questions arising under the Plan, the Policy or this Award Agreement. Participant further agrees to notify the Company upon any change in the residence address indicated herein.</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PARTICIPANT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ACCEPTED:</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[[SIGNATURE]]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375" w:gutter="0" w:footer="0" w:header="0"/>
        </w:sectPr>
      </w:pPr>
    </w:p>
    <w:bookmarkStart w:id="29" w:name="page30"/>
    <w:bookmarkEnd w:id="29"/>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INDUCEMENT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TERMS AND CONDITIONS OF STOCK OPTION GRANT</w:t>
      </w:r>
    </w:p>
    <w:p>
      <w:pPr>
        <w:spacing w:after="0" w:line="229" w:lineRule="exact"/>
        <w:rPr>
          <w:sz w:val="20"/>
          <w:szCs w:val="20"/>
          <w:color w:val="auto"/>
        </w:rPr>
      </w:pPr>
    </w:p>
    <w:p>
      <w:pPr>
        <w:jc w:val="both"/>
        <w:ind w:firstLine="656"/>
        <w:spacing w:after="0" w:line="256" w:lineRule="auto"/>
        <w:tabs>
          <w:tab w:leader="none" w:pos="1035"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Grant of Option</w:t>
      </w:r>
      <w:r>
        <w:rPr>
          <w:rFonts w:ascii="Times New Roman" w:cs="Times New Roman" w:eastAsia="Times New Roman" w:hAnsi="Times New Roman"/>
          <w:sz w:val="18"/>
          <w:szCs w:val="18"/>
          <w:color w:val="auto"/>
        </w:rPr>
        <w:t>. The Company hereby grants to the individual (the “Participant”) named in the Notice of Stock Option Grant of this Award Agreement (the “Notice of Grant”) an option (the “Option”) to purchase the number of Shares, as set forth in the Notice of Grant, at the exercise price per Share set forth in the Notice of Grant (the “Exercise Price”), subject to all of the terms and conditions in this Award Agreement and the Plan, which is incorporated herein by reference. Subject to Section 18(c) of the Plan, in the event of a conflict between the terms and conditions of the Plan and the terms and conditions of this Award Agreement, the terms and conditions of the Plan will prevail. The Option will be designated as a Nonstatutory Stock Option (“NSO”) for both U.S. and non-U.S. taxpayers.</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062"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Vesting Schedule</w:t>
      </w:r>
      <w:r>
        <w:rPr>
          <w:rFonts w:ascii="Times New Roman" w:cs="Times New Roman" w:eastAsia="Times New Roman" w:hAnsi="Times New Roman"/>
          <w:sz w:val="18"/>
          <w:szCs w:val="18"/>
          <w:color w:val="auto"/>
        </w:rPr>
        <w:t>. Except as provided in Section 3, the Option awarded by this Award Agreement will vest in accordance with the vesting provisions set forth in the Notice of Grant. Shares scheduled to vest on a certain date or upon the occurrence of a certain condition will not vest in Participant in accordance with any of the provisions of this Award Agreement, unless Participant will have been continuously a Service Provider from the Date of Grant until the date such vesting occurs.</w:t>
      </w:r>
    </w:p>
    <w:p>
      <w:pPr>
        <w:spacing w:after="0" w:line="179" w:lineRule="exact"/>
        <w:rPr>
          <w:rFonts w:ascii="Times New Roman" w:cs="Times New Roman" w:eastAsia="Times New Roman" w:hAnsi="Times New Roman"/>
          <w:sz w:val="18"/>
          <w:szCs w:val="18"/>
          <w:color w:val="auto"/>
        </w:rPr>
      </w:pPr>
    </w:p>
    <w:p>
      <w:pPr>
        <w:jc w:val="both"/>
        <w:ind w:firstLine="656"/>
        <w:spacing w:after="0" w:line="266" w:lineRule="auto"/>
        <w:tabs>
          <w:tab w:leader="none" w:pos="1129"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Administrator Discretion</w:t>
      </w:r>
      <w:r>
        <w:rPr>
          <w:rFonts w:ascii="Times New Roman" w:cs="Times New Roman" w:eastAsia="Times New Roman" w:hAnsi="Times New Roman"/>
          <w:sz w:val="18"/>
          <w:szCs w:val="18"/>
          <w:color w:val="auto"/>
        </w:rPr>
        <w:t>. The Administrator, in its discretion, may accelerate the vesting of the balance, or some lesser portion of the balance, of the unvested Option at any time, subject to the terms of the Plan. If so accelerated, such Option will be considered as having vested as of the date specified by the Administrator.</w:t>
      </w:r>
    </w:p>
    <w:p>
      <w:pPr>
        <w:spacing w:after="0" w:line="17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41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 to Exercise</w:t>
      </w:r>
      <w:r>
        <w:rPr>
          <w:rFonts w:ascii="Times New Roman" w:cs="Times New Roman" w:eastAsia="Times New Roman" w:hAnsi="Times New Roman"/>
          <w:sz w:val="18"/>
          <w:szCs w:val="18"/>
          <w:color w:val="auto"/>
        </w:rPr>
        <w:t>. This Option may be exercised only within the term set out in the Notice of Grant, and may be exercised during such term only in accordance with the Plan and the terms of this Award Agreement.</w:t>
      </w:r>
    </w:p>
    <w:p>
      <w:pPr>
        <w:spacing w:after="0" w:line="161" w:lineRule="exact"/>
        <w:rPr>
          <w:rFonts w:ascii="Times New Roman" w:cs="Times New Roman" w:eastAsia="Times New Roman" w:hAnsi="Times New Roman"/>
          <w:sz w:val="18"/>
          <w:szCs w:val="18"/>
          <w:color w:val="auto"/>
        </w:rPr>
      </w:pPr>
    </w:p>
    <w:p>
      <w:pPr>
        <w:jc w:val="both"/>
        <w:ind w:firstLine="980"/>
        <w:spacing w:after="0" w:line="255" w:lineRule="auto"/>
        <w:tabs>
          <w:tab w:leader="none" w:pos="140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Exercise</w:t>
      </w:r>
      <w:r>
        <w:rPr>
          <w:rFonts w:ascii="Times New Roman" w:cs="Times New Roman" w:eastAsia="Times New Roman" w:hAnsi="Times New Roman"/>
          <w:sz w:val="18"/>
          <w:szCs w:val="18"/>
          <w:color w:val="auto"/>
        </w:rPr>
        <w:t xml:space="preserve">. This Option is exercisable by delivery of an exercise notice (the “Exercise Notice”) in the form attached as </w:t>
      </w:r>
      <w:r>
        <w:rPr>
          <w:rFonts w:ascii="Times New Roman" w:cs="Times New Roman" w:eastAsia="Times New Roman" w:hAnsi="Times New Roman"/>
          <w:sz w:val="18"/>
          <w:szCs w:val="18"/>
          <w:u w:val="single" w:color="auto"/>
          <w:color w:val="auto"/>
        </w:rPr>
        <w:t>Exhibit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w:t>
      </w:r>
      <w:r>
        <w:rPr>
          <w:rFonts w:ascii="Times New Roman" w:cs="Times New Roman" w:eastAsia="Times New Roman" w:hAnsi="Times New Roman"/>
          <w:sz w:val="18"/>
          <w:szCs w:val="18"/>
          <w:color w:val="auto"/>
        </w:rPr>
        <w:t xml:space="preserve"> or in a manner and pursuant to such procedures as the Administrator may determine, which will state the election to exercise the Option, the number of Shares in respect of which the Option is being exercised (the “Exercised Shares”), and such other representations and agreements as may be required by the Company pursuant to the provisions of the Plan. The Exercise Notice will be completed by Participant and delivered to the Company. The Exercise Notice will be accompanied by payment of the aggregate Exercise Price as to all Exercised Shares together and of any Tax Obligations (as defined in Section 6(a)). This Option will be deemed to be exercised upon receipt by the Company of such fully executed Exercise Notice accompanied by the aggregate Exercise Price.</w:t>
      </w:r>
    </w:p>
    <w:p>
      <w:pPr>
        <w:spacing w:after="0" w:line="188" w:lineRule="exact"/>
        <w:rPr>
          <w:rFonts w:ascii="Times New Roman" w:cs="Times New Roman" w:eastAsia="Times New Roman" w:hAnsi="Times New Roman"/>
          <w:sz w:val="18"/>
          <w:szCs w:val="18"/>
          <w:color w:val="auto"/>
        </w:rPr>
      </w:pPr>
    </w:p>
    <w:p>
      <w:pPr>
        <w:ind w:left="1060" w:hanging="404"/>
        <w:spacing w:after="0"/>
        <w:tabs>
          <w:tab w:leader="none" w:pos="106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Method of Payment</w:t>
      </w:r>
      <w:r>
        <w:rPr>
          <w:rFonts w:ascii="Times New Roman" w:cs="Times New Roman" w:eastAsia="Times New Roman" w:hAnsi="Times New Roman"/>
          <w:sz w:val="18"/>
          <w:szCs w:val="18"/>
          <w:color w:val="auto"/>
        </w:rPr>
        <w:t>. Payment of the aggregate Exercise Price will be by any of the following, or a combination thereof, at the election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w:t>
      </w:r>
    </w:p>
    <w:p>
      <w:pPr>
        <w:spacing w:after="0" w:line="206"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check;</w:t>
      </w:r>
    </w:p>
    <w:p>
      <w:pPr>
        <w:spacing w:after="0" w:line="225" w:lineRule="exact"/>
        <w:rPr>
          <w:rFonts w:ascii="Times New Roman" w:cs="Times New Roman" w:eastAsia="Times New Roman" w:hAnsi="Times New Roman"/>
          <w:sz w:val="18"/>
          <w:szCs w:val="18"/>
          <w:color w:val="auto"/>
        </w:rPr>
      </w:pPr>
    </w:p>
    <w:p>
      <w:pPr>
        <w:ind w:left="1380" w:hanging="400"/>
        <w:spacing w:after="0"/>
        <w:tabs>
          <w:tab w:leader="none" w:pos="1380"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consideration received by the Company under a formal cashless exercise program adopted by the Company in connection with the Plan;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or</w:t>
      </w:r>
    </w:p>
    <w:p>
      <w:pPr>
        <w:spacing w:after="0" w:line="206" w:lineRule="exact"/>
        <w:rPr>
          <w:rFonts w:ascii="Times New Roman" w:cs="Times New Roman" w:eastAsia="Times New Roman" w:hAnsi="Times New Roman"/>
          <w:sz w:val="18"/>
          <w:szCs w:val="18"/>
          <w:color w:val="auto"/>
        </w:rPr>
      </w:pPr>
    </w:p>
    <w:p>
      <w:pPr>
        <w:jc w:val="both"/>
        <w:ind w:firstLine="980"/>
        <w:spacing w:after="0" w:line="266" w:lineRule="auto"/>
        <w:tabs>
          <w:tab w:leader="none" w:pos="1396"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is a U.S. employee, surrender of other Shares which have a Fair Market Value on the date of surrender equal to the aggregate Exercise Price of the Exercised Shares, provided that accepting such Shares, in the sole discretion of the Administrator, will not result in any adverse accounting consequences to the Company.</w:t>
      </w:r>
    </w:p>
    <w:p>
      <w:pPr>
        <w:spacing w:after="0" w:line="175" w:lineRule="exact"/>
        <w:rPr>
          <w:rFonts w:ascii="Times New Roman" w:cs="Times New Roman" w:eastAsia="Times New Roman" w:hAnsi="Times New Roman"/>
          <w:sz w:val="18"/>
          <w:szCs w:val="18"/>
          <w:color w:val="auto"/>
        </w:rPr>
      </w:pPr>
    </w:p>
    <w:p>
      <w:pPr>
        <w:ind w:left="1020" w:hanging="364"/>
        <w:spacing w:after="0"/>
        <w:tabs>
          <w:tab w:leader="none" w:pos="1020" w:val="left"/>
        </w:tabs>
        <w:numPr>
          <w:ilvl w:val="1"/>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Obligations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firstLine="980"/>
        <w:spacing w:after="0" w:line="261" w:lineRule="auto"/>
        <w:tabs>
          <w:tab w:leader="none" w:pos="1377" w:val="left"/>
        </w:tabs>
        <w:numPr>
          <w:ilvl w:val="2"/>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that, regardless of any action taken by the Company or, if different, Participant’s employer (the “Employer”), the ultimate liability for any tax and/or social insurance liability obligations and requirements in connection with the Option, including, without limitation,</w:t>
      </w:r>
    </w:p>
    <w:p>
      <w:pPr>
        <w:jc w:val="both"/>
        <w:ind w:firstLine="8"/>
        <w:spacing w:after="0" w:line="250" w:lineRule="auto"/>
        <w:tabs>
          <w:tab w:leader="none" w:pos="24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federal, state, and local taxes (including the Participant’s Federal Insurance Contributions Act (FICA) obligation) that are required to be withheld by the Company or the Employer or other payment of tax-related items related to Participant’s participation in the Plan and legally applicable to Participant,</w:t>
      </w:r>
    </w:p>
    <w:p>
      <w:pPr>
        <w:jc w:val="both"/>
        <w:ind w:firstLine="8"/>
        <w:spacing w:after="0" w:line="251" w:lineRule="auto"/>
        <w:tabs>
          <w:tab w:leader="none" w:pos="2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Participant’s and, to the extent required by the Company (or Employer), the Company’s (or Employer’s) fringe benefit tax liability, if any, associated with the grant, vesting, or exercise of the Option or sale of Shares, and (c) any other Company (or Employer) taxes the responsibility for which the Participant has, or has agreed to bear, with respect to the Option (or exercise thereof or issuance of Shares thereunder) (collectively, the “Tax Obligations”), is and remains Participant’s responsibility and may exceed the amount actually withheld by the Company or the Employer. Participant further acknowledges that the Company and/or the Employer (i) make no representations or undertakings regarding the treatment of any Tax Obligations in connection with any aspect of the Option, including, but not limited to, the grant, vesting or exercise of the Option, the subsequent sale of Shares acquired pursuant to such exercise and the receipt of any dividends or other distributions, and (ii) do not commit to and are under no obligation to structure the terms of the grant or any aspect of the Option to reduce or eliminate Participant’s liability for Tax Obligations or achieve any particular tax result. Further, if Participant is subject to Tax Obligations in more than one jurisdiction between the Date of Grant and the date of any relevant taxable or tax withholding event, as applicable, Participant acknowledges that the Company and/or the Employer (or former employer, as applicable) may be required to withhold or account for Tax Obligations in more than one jurisdiction. If Participant fails to make satisfactory arrangements for the payment of any required Tax Obligations hereunder at the time of the applicable taxable event, Participant acknowledges and agrees that the Company may refuse to issue or deliver the Shares.</w:t>
      </w:r>
    </w:p>
    <w:p>
      <w:pPr>
        <w:spacing w:after="0" w:line="191" w:lineRule="exact"/>
        <w:rPr>
          <w:rFonts w:ascii="Times New Roman" w:cs="Times New Roman" w:eastAsia="Times New Roman" w:hAnsi="Times New Roman"/>
          <w:sz w:val="18"/>
          <w:szCs w:val="18"/>
          <w:color w:val="auto"/>
        </w:rPr>
      </w:pPr>
    </w:p>
    <w:p>
      <w:pPr>
        <w:jc w:val="both"/>
        <w:ind w:firstLine="980"/>
        <w:spacing w:after="0" w:line="277" w:lineRule="auto"/>
        <w:tabs>
          <w:tab w:leader="none" w:pos="1434" w:val="left"/>
        </w:tabs>
        <w:numPr>
          <w:ilvl w:val="2"/>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Tax Withholding</w:t>
      </w:r>
      <w:r>
        <w:rPr>
          <w:rFonts w:ascii="Times New Roman" w:cs="Times New Roman" w:eastAsia="Times New Roman" w:hAnsi="Times New Roman"/>
          <w:sz w:val="17"/>
          <w:szCs w:val="17"/>
          <w:color w:val="auto"/>
        </w:rPr>
        <w:t>. When the Option is exercised, Participant generally will recognize immediate U.S. taxable income if Participant is a U.S. taxpayer. If Participant is a non-U.S. taxpayer, Participant will be subject to applicable taxes in his or her jurisdiction. Pursuant to such procedures as the Administrator may specify from time to time, the Company and/or Employer shall withhold the minimum amount required to be withheld for the payment of Tax Obligations. The Administrator, in its sole discretion and pursuant to such procedures as it may specify from time to time, may permit Participant to satisfy such Tax Obligations, in whole or in part (without limitation), if permissible by applicable local law, by (a) paying cash, (b) electing to</w:t>
      </w:r>
    </w:p>
    <w:p>
      <w:pPr>
        <w:sectPr>
          <w:pgSz w:w="11900" w:h="16838" w:orient="portrait"/>
          <w:cols w:equalWidth="0" w:num="1">
            <w:col w:w="11240"/>
          </w:cols>
          <w:pgMar w:left="320" w:top="576" w:right="339" w:bottom="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have the Company withhold otherwise deliverable Shares having a Fair Market Value equal to the amount of such Tax Obligations, (c) withholding the amount of such Tax Obligations from Participant’s wages or other cash compensation paid to Participant by the company and/or the Employer,</w:t>
      </w:r>
    </w:p>
    <w:p>
      <w:pPr>
        <w:jc w:val="both"/>
        <w:ind w:firstLine="8"/>
        <w:spacing w:after="0" w:line="251" w:lineRule="auto"/>
        <w:tabs>
          <w:tab w:leader="none" w:pos="278"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delivering to the Company already vested and owned Shares having a Fair Market Value equal to such Tax Obligations, or (e) selling a sufficient number of such Shares otherwise deliverable to Participant through such means as the Company may determine in its sole discretion (whether through a broker or otherwise) equal to the amount of the Tax Obligations. To the extent determined appropriate by the Company in its discretion, it will have the right (but not the obligation) to satisfy any Tax Obligations by reducing the number of Shares otherwise deliverable to Participant. Further, if Participant is subject to tax in more than one jurisdiction between the Date of Grant and a date of any relevant taxable or tax withholding event, as applicable, Participant acknowledges and agrees that the Company and/or the Employer (and/or former employer, as applicable) may be required to withhold or account for tax in more than one jurisdiction. If Participant fails to make satisfactory arrangements for the payment of any required Tax Obligations hereunder at the time of the Option exercise, Participant acknowledges and agrees that the Company may refuse to honor the exercise and refuse to deliver the Shares if such amounts are not delivered at the time of exercise.</w:t>
      </w:r>
    </w:p>
    <w:p>
      <w:pPr>
        <w:spacing w:after="0" w:line="193" w:lineRule="exact"/>
        <w:rPr>
          <w:rFonts w:ascii="Times New Roman" w:cs="Times New Roman" w:eastAsia="Times New Roman" w:hAnsi="Times New Roman"/>
          <w:sz w:val="18"/>
          <w:szCs w:val="18"/>
          <w:color w:val="auto"/>
        </w:rPr>
      </w:pPr>
    </w:p>
    <w:p>
      <w:pPr>
        <w:jc w:val="both"/>
        <w:ind w:firstLine="980"/>
        <w:spacing w:after="0" w:line="254" w:lineRule="auto"/>
        <w:tabs>
          <w:tab w:leader="none" w:pos="1396"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Code Section 409A</w:t>
      </w:r>
      <w:r>
        <w:rPr>
          <w:rFonts w:ascii="Times New Roman" w:cs="Times New Roman" w:eastAsia="Times New Roman" w:hAnsi="Times New Roman"/>
          <w:sz w:val="18"/>
          <w:szCs w:val="18"/>
          <w:color w:val="auto"/>
        </w:rPr>
        <w:t>. Under Code Section 409A, an option that vests after December 31, 2004 (or that vested on or prior to such date but which was materially modified after October 3, 2004) that was granted with a per share exercise price that is determined by the Internal Revenue Service (the “IRS”) to be less than the fair market value of a share on the date of grant (a “Discount Option”) may be considered “deferred compensation.” A Discount Option may result in (i) income recognition by Participant prior to the exercise of the option, (ii) an additional twenty percent (20%) federal income tax, and (iii) potential penalty and interest charges. The Discount Option may also result in additional state income, penalty and interest charges to Participant. Participant acknowledges that the Company cannot and has not guaranteed that the IRS will agree that the per Share Exercise Price of this Option equals or exceeds the Fair Market Value of a Share on the Date of Grant in a later examination. Participant agrees that if the IRS determines that the Option was granted with a per Share Exercise Price that was less than the Fair Market Value of a Share on the Date of Grant, Participant will be solely responsible for Participant’s costs related to such a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354330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jc w:val="both"/>
        <w:ind w:firstLine="656"/>
        <w:spacing w:after="0" w:line="258" w:lineRule="auto"/>
        <w:tabs>
          <w:tab w:leader="none" w:pos="1021"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Neither Participant nor any person claiming under or through Participant will have any of the rights or privileges of a stockholder of the Company in respect of any Shares deliverable hereunder unless and until certificates representing such Shares (which may be in book entry form) will have been issued, recorded on the records of the Company or its transfer agents or registrars, and delivered to Participant (including through electronic delivery to a brokerage account). After such issuance, recordation and delivery, Participant will have all the rights of a stockholder of the Company with respect to voting such Shares and receipt of dividends and distributions on such Shares.</w:t>
      </w:r>
    </w:p>
    <w:p>
      <w:pPr>
        <w:spacing w:after="0" w:line="183" w:lineRule="exact"/>
        <w:rPr>
          <w:rFonts w:ascii="Times New Roman" w:cs="Times New Roman" w:eastAsia="Times New Roman" w:hAnsi="Times New Roman"/>
          <w:sz w:val="18"/>
          <w:szCs w:val="18"/>
          <w:color w:val="auto"/>
        </w:rPr>
      </w:pPr>
    </w:p>
    <w:p>
      <w:pPr>
        <w:jc w:val="both"/>
        <w:ind w:firstLine="656"/>
        <w:spacing w:after="0" w:line="272" w:lineRule="auto"/>
        <w:tabs>
          <w:tab w:leader="none" w:pos="1278"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 Guarantee of Continued Service</w:t>
      </w:r>
      <w:r>
        <w:rPr>
          <w:rFonts w:ascii="Times New Roman" w:cs="Times New Roman" w:eastAsia="Times New Roman" w:hAnsi="Times New Roman"/>
          <w:sz w:val="17"/>
          <w:szCs w:val="17"/>
          <w:color w:val="auto"/>
        </w:rPr>
        <w:t>. PARTICIPANT ACKNOWLEDGES AND AGREES THAT THE VESTING OF SHARES PURSUANT TO THE VESTING SCHEDULE HEREOF IS EARNED ONLY BY CONTINUING AS A SERVICE PROVIDER AT THE WILL OF THE COMPANY (OR THE EMPLOYER) AND NOT THROUGH THE ACT OF BEING HIRED, BEING GRANTED THIS OPTION OR ACQUIRING SHARES HEREUNDER. PARTICIPANT FURTHER ACKNOWLEDGES AND AGREES THAT THIS AWARD AGREEMENT, THE TRANSACTIONS CONTEMPLATED HEREUNDER AND THE VESTING SCHEDULE SET FORTH HEREIN DO NOT CONSTITUTE AN EXPRESS OR IMPLIED PROMISE OF CONTINUED ENGAGEMENT AS A SERVICE PROVIDER FOR THE VESTING PERIOD, FOR ANY PERIOD, OR AT ALL, AND WILL NOT INTERFERE IN ANY WAY WITH PARTICIPANT’S RIGHT OR THE RIGHT OF THE COMPANY (OR THE EMPLOYER) TO TERMINATE PARTICIPANT’S RELATIONSHIP AS A SERVICE PROVIDER AT ANY TIME, WITH OR WITHOUT CAUSE.</w:t>
      </w:r>
    </w:p>
    <w:p>
      <w:pPr>
        <w:spacing w:after="0" w:line="171" w:lineRule="exact"/>
        <w:rPr>
          <w:rFonts w:ascii="Times New Roman" w:cs="Times New Roman" w:eastAsia="Times New Roman" w:hAnsi="Times New Roman"/>
          <w:sz w:val="17"/>
          <w:szCs w:val="17"/>
          <w:color w:val="auto"/>
        </w:rPr>
      </w:pPr>
    </w:p>
    <w:p>
      <w:pPr>
        <w:ind w:left="1020" w:hanging="364"/>
        <w:spacing w:after="0"/>
        <w:tabs>
          <w:tab w:leader="none" w:pos="102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Nature of Grant</w:t>
      </w:r>
      <w:r>
        <w:rPr>
          <w:rFonts w:ascii="Times New Roman" w:cs="Times New Roman" w:eastAsia="Times New Roman" w:hAnsi="Times New Roman"/>
          <w:sz w:val="18"/>
          <w:szCs w:val="18"/>
          <w:color w:val="auto"/>
        </w:rPr>
        <w:t>. In accepting the Option, Participant acknowledges, understands and agrees that:</w:t>
      </w:r>
    </w:p>
    <w:p>
      <w:pPr>
        <w:spacing w:after="0" w:line="225" w:lineRule="exact"/>
        <w:rPr>
          <w:rFonts w:ascii="Times New Roman" w:cs="Times New Roman" w:eastAsia="Times New Roman" w:hAnsi="Times New Roman"/>
          <w:sz w:val="18"/>
          <w:szCs w:val="18"/>
          <w:color w:val="auto"/>
        </w:rPr>
      </w:pPr>
    </w:p>
    <w:p>
      <w:pPr>
        <w:ind w:firstLine="980"/>
        <w:spacing w:after="0" w:line="282" w:lineRule="auto"/>
        <w:tabs>
          <w:tab w:leader="none" w:pos="137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grant of the Option is voluntary and occasional and does not create any contractual or other right to receive future grants of options, or benefits in lieu of options, even if options have been granted in the past;</w:t>
      </w:r>
    </w:p>
    <w:p>
      <w:pPr>
        <w:spacing w:after="0" w:line="161"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decisions with respect to future option or other grants, if any, will be at the sole discretion of the Company;</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is voluntarily participating in the Plan;</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any Shares acquired under the Plan are not intended to replace any pension rights or compensation;</w:t>
      </w:r>
    </w:p>
    <w:p>
      <w:pPr>
        <w:spacing w:after="0" w:line="225" w:lineRule="exact"/>
        <w:rPr>
          <w:rFonts w:ascii="Times New Roman" w:cs="Times New Roman" w:eastAsia="Times New Roman" w:hAnsi="Times New Roman"/>
          <w:sz w:val="18"/>
          <w:szCs w:val="18"/>
          <w:color w:val="auto"/>
        </w:rPr>
      </w:pPr>
    </w:p>
    <w:p>
      <w:pPr>
        <w:jc w:val="both"/>
        <w:ind w:firstLine="980"/>
        <w:spacing w:after="0" w:line="266" w:lineRule="auto"/>
        <w:tabs>
          <w:tab w:leader="none" w:pos="1382"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Shares acquired under the Plan and the income and value of same, are not part of normal or expected compensation for purposes of calculating any severance, resignation, termination, redundancy, dismissal, end-of-service payments, bonuses, long-service awards, pension or retirement or welfare benefits or similar payments;</w:t>
      </w:r>
    </w:p>
    <w:p>
      <w:pPr>
        <w:spacing w:after="0" w:line="175" w:lineRule="exact"/>
        <w:rPr>
          <w:rFonts w:ascii="Times New Roman" w:cs="Times New Roman" w:eastAsia="Times New Roman" w:hAnsi="Times New Roman"/>
          <w:sz w:val="18"/>
          <w:szCs w:val="18"/>
          <w:color w:val="auto"/>
        </w:rPr>
      </w:pPr>
    </w:p>
    <w:p>
      <w:pPr>
        <w:ind w:left="1340" w:hanging="360"/>
        <w:spacing w:after="0"/>
        <w:tabs>
          <w:tab w:leader="none" w:pos="13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future value of the Shares underlying the Option is unknown, indeterminable, and cannot be predicted with certainty;</w:t>
      </w:r>
    </w:p>
    <w:p>
      <w:pPr>
        <w:spacing w:after="0" w:line="22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underlying Shares do not increase in value, the Option will have no value;</w:t>
      </w:r>
    </w:p>
    <w:p>
      <w:pPr>
        <w:spacing w:after="0" w:line="225" w:lineRule="exact"/>
        <w:rPr>
          <w:rFonts w:ascii="Times New Roman" w:cs="Times New Roman" w:eastAsia="Times New Roman" w:hAnsi="Times New Roman"/>
          <w:sz w:val="18"/>
          <w:szCs w:val="18"/>
          <w:color w:val="auto"/>
        </w:rPr>
      </w:pPr>
    </w:p>
    <w:p>
      <w:pPr>
        <w:ind w:left="1440" w:hanging="460"/>
        <w:spacing w:after="0"/>
        <w:tabs>
          <w:tab w:leader="none" w:pos="144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Participant exercises the Option and acquires Shares, the value of such Shares may increase or decrease in value, even below the</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Price;</w:t>
      </w:r>
    </w:p>
    <w:p>
      <w:pPr>
        <w:spacing w:after="0" w:line="206" w:lineRule="exact"/>
        <w:rPr>
          <w:rFonts w:ascii="Times New Roman" w:cs="Times New Roman" w:eastAsia="Times New Roman" w:hAnsi="Times New Roman"/>
          <w:sz w:val="18"/>
          <w:szCs w:val="18"/>
          <w:color w:val="auto"/>
        </w:rPr>
      </w:pPr>
    </w:p>
    <w:p>
      <w:pPr>
        <w:jc w:val="both"/>
        <w:ind w:firstLine="980"/>
        <w:spacing w:after="0" w:line="253" w:lineRule="auto"/>
        <w:tabs>
          <w:tab w:leader="none" w:pos="1343"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the Option, Participant’s engagement as a Service Provider will be considered terminated as of the date Participant is no longer actively providing services to the Company or any Parent or Subsidiary (regardless of the reason for such termination and whether or not later found to be invalid or in breach of employment laws in the jurisdiction where Participant is a Service Provider or the terms of Participant’s employment or service agreement, if any), and unless otherwise expressly provided in this Award Agreement (including by reference in the Notice of Grant to other arrangements or contracts) or determined by the Administrator, (i) Participant’s right to vest in the Option under the Plan, if any, will terminate as of such date and will not be extended by any notice period (</w:t>
      </w:r>
      <w:r>
        <w:rPr>
          <w:rFonts w:ascii="Times New Roman" w:cs="Times New Roman" w:eastAsia="Times New Roman" w:hAnsi="Times New Roman"/>
          <w:sz w:val="18"/>
          <w:szCs w:val="18"/>
          <w:i w:val="1"/>
          <w:iCs w:val="1"/>
          <w:color w:val="auto"/>
        </w:rPr>
        <w:t>e.g</w:t>
      </w:r>
      <w:r>
        <w:rPr>
          <w:rFonts w:ascii="Times New Roman" w:cs="Times New Roman" w:eastAsia="Times New Roman" w:hAnsi="Times New Roman"/>
          <w:sz w:val="18"/>
          <w:szCs w:val="18"/>
          <w:color w:val="auto"/>
        </w:rPr>
        <w:t>., Participant’s period of service would not include any contractual notice period or any period of “garden leave” or similar period mandated under employment laws in the jurisdiction where Participant is a Service Provider or Participant’s employment or service agreement, if any, unless Participant is providing bona fide services during such time); and (ii) the period (if any) during which Participant may exercise the Option after such termination of Participant's engagement as a Service Provider will commence on the date Participant ceases to actively provide services and will not be extended by any notice period mandated under employment laws in the jurisdiction where Participant is employed or terms of Participant’s engagement agreement, if any; the Administrator shall have the exclusive discretion to determine when Participant is no longer actively providing services for purposes of his or her Option grant (including whether Participant may still be considered to be providing services while on a leave of absence);</w:t>
      </w:r>
    </w:p>
    <w:p>
      <w:pPr>
        <w:spacing w:after="0" w:line="189" w:lineRule="exact"/>
        <w:rPr>
          <w:rFonts w:ascii="Times New Roman" w:cs="Times New Roman" w:eastAsia="Times New Roman" w:hAnsi="Times New Roman"/>
          <w:sz w:val="18"/>
          <w:szCs w:val="18"/>
          <w:color w:val="auto"/>
        </w:rPr>
      </w:pPr>
    </w:p>
    <w:p>
      <w:pPr>
        <w:jc w:val="both"/>
        <w:ind w:firstLine="980"/>
        <w:spacing w:after="0" w:line="266" w:lineRule="auto"/>
        <w:tabs>
          <w:tab w:leader="none" w:pos="1445"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otherwise provided in the Plan or by the Company in its discretion, the Option and the benefits evidenced by this Award Agreement do not create any entitlement to have the Option or any such benefits transferred to, or assumed by, another company nor to be exchanged, cashed out or substituted for, in connection with any corporate transaction affecting the Shares; and</w:t>
      </w:r>
    </w:p>
    <w:p>
      <w:pPr>
        <w:spacing w:after="0" w:line="175" w:lineRule="exact"/>
        <w:rPr>
          <w:rFonts w:ascii="Times New Roman" w:cs="Times New Roman" w:eastAsia="Times New Roman" w:hAnsi="Times New Roman"/>
          <w:sz w:val="18"/>
          <w:szCs w:val="18"/>
          <w:color w:val="auto"/>
        </w:rPr>
      </w:pPr>
    </w:p>
    <w:p>
      <w:pPr>
        <w:ind w:left="1360" w:hanging="380"/>
        <w:spacing w:after="0"/>
        <w:tabs>
          <w:tab w:leader="none" w:pos="1360" w:val="left"/>
        </w:tabs>
        <w:numPr>
          <w:ilvl w:val="1"/>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provisions apply only if Participant is providing services outside the United States:</w:t>
      </w:r>
    </w:p>
    <w:p>
      <w:pPr>
        <w:spacing w:after="0" w:line="225" w:lineRule="exact"/>
        <w:rPr>
          <w:rFonts w:ascii="Times New Roman" w:cs="Times New Roman" w:eastAsia="Times New Roman" w:hAnsi="Times New Roman"/>
          <w:sz w:val="18"/>
          <w:szCs w:val="18"/>
          <w:color w:val="auto"/>
        </w:rPr>
      </w:pPr>
    </w:p>
    <w:p>
      <w:pPr>
        <w:ind w:left="1780" w:hanging="476"/>
        <w:spacing w:after="0"/>
        <w:tabs>
          <w:tab w:leader="none" w:pos="1780"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Option and the Shares subject to the Option are not part of normal or expected compensation or salary for any purpose;</w:t>
      </w:r>
    </w:p>
    <w:p>
      <w:pPr>
        <w:spacing w:after="0" w:line="225" w:lineRule="exact"/>
        <w:rPr>
          <w:rFonts w:ascii="Times New Roman" w:cs="Times New Roman" w:eastAsia="Times New Roman" w:hAnsi="Times New Roman"/>
          <w:sz w:val="18"/>
          <w:szCs w:val="18"/>
          <w:color w:val="auto"/>
        </w:rPr>
      </w:pPr>
    </w:p>
    <w:p>
      <w:pPr>
        <w:jc w:val="both"/>
        <w:ind w:left="1800" w:hanging="496"/>
        <w:spacing w:after="0" w:line="261" w:lineRule="auto"/>
        <w:tabs>
          <w:tab w:leader="none" w:pos="1842"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Participant acknowledges and agrees that none of the Company, the Employer, or any Parent or Subsidiary shall be liable for any foreign exchange rate fluctuation between Participant’s local currency and the United States Dollar that may affect the value of the Option or of any amounts due to Participant pursuant to the exercise of the Option or the subsequent sale of any Shares acquired upon exercise; and</w:t>
      </w:r>
    </w:p>
    <w:p>
      <w:pPr>
        <w:spacing w:after="0" w:line="179" w:lineRule="exact"/>
        <w:rPr>
          <w:rFonts w:ascii="Times New Roman" w:cs="Times New Roman" w:eastAsia="Times New Roman" w:hAnsi="Times New Roman"/>
          <w:sz w:val="18"/>
          <w:szCs w:val="18"/>
          <w:color w:val="auto"/>
        </w:rPr>
      </w:pPr>
    </w:p>
    <w:p>
      <w:pPr>
        <w:jc w:val="both"/>
        <w:ind w:left="1800" w:hanging="496"/>
        <w:spacing w:after="0" w:line="254" w:lineRule="auto"/>
        <w:tabs>
          <w:tab w:leader="none" w:pos="1834" w:val="left"/>
        </w:tabs>
        <w:numPr>
          <w:ilvl w:val="2"/>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claim or entitlement to compensation or damages shall arise from forfeiture of the Option resulting from the termination of Participant’s engagement as a Service Provider (for any reason whatsoever, whether or not later found to be invalid or in breach of employment laws in the jurisdiction where Participant is a Service Provider or the terms of Participant’s employment or service agreement, if any), and in consideration of the grant of the Option to which Participant is otherwise not entitled, Participant irrevocably agrees never to institute any claim against the Company, any Parent, any Subsidiary or the Employer, waives his or her ability, if any, to bring any such claim, and releases the Company, any Parent or Subsidiary and the Employer from any such claim; if, notwithstanding the foregoing, any such claim is allowed by a court of competent jurisdiction, then, by participating in the Plan, Participant shall be deemed irrevocably to have agreed not to pursue such claim and agrees to execute any and all documents necessary to request dismissal or withdrawal of such claim.</w:t>
      </w:r>
    </w:p>
    <w:p>
      <w:pPr>
        <w:sectPr>
          <w:pgSz w:w="11900" w:h="16838" w:orient="portrait"/>
          <w:cols w:equalWidth="0" w:num="1">
            <w:col w:w="11240"/>
          </w:cols>
          <w:pgMar w:left="320" w:top="580" w:right="339" w:bottom="114" w:gutter="0" w:footer="0" w:header="0"/>
        </w:sectPr>
      </w:pPr>
    </w:p>
    <w:bookmarkStart w:id="32" w:name="page33"/>
    <w:bookmarkEnd w:id="32"/>
    <w:p>
      <w:pPr>
        <w:jc w:val="both"/>
        <w:ind w:firstLine="656"/>
        <w:spacing w:after="0" w:line="261" w:lineRule="auto"/>
        <w:tabs>
          <w:tab w:leader="none" w:pos="13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Advice Regarding Grant</w:t>
      </w:r>
      <w:r>
        <w:rPr>
          <w:rFonts w:ascii="Times New Roman" w:cs="Times New Roman" w:eastAsia="Times New Roman" w:hAnsi="Times New Roman"/>
          <w:sz w:val="18"/>
          <w:szCs w:val="18"/>
          <w:color w:val="auto"/>
        </w:rPr>
        <w:t>. The Company is not providing any tax, legal or financial advice, nor is the Company making any recommendations regarding Participant’s participation in the Plan, or Participant’s acquisition or sale of the underlying Shares. Participant is hereby advised to consult with his or her own personal tax, legal and financial advisors regarding his or her participation in the Plan before taking any action related to the Plan.</w:t>
      </w:r>
    </w:p>
    <w:p>
      <w:pPr>
        <w:spacing w:after="0" w:line="175" w:lineRule="exact"/>
        <w:rPr>
          <w:rFonts w:ascii="Times New Roman" w:cs="Times New Roman" w:eastAsia="Times New Roman" w:hAnsi="Times New Roman"/>
          <w:sz w:val="18"/>
          <w:szCs w:val="18"/>
          <w:color w:val="auto"/>
        </w:rPr>
      </w:pPr>
    </w:p>
    <w:p>
      <w:pPr>
        <w:jc w:val="both"/>
        <w:ind w:firstLine="656"/>
        <w:spacing w:after="0" w:line="259"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Data Privacy</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Participant hereby explicitly and unambiguously consents to the collection, use and transfer, in electronic or other form,</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b w:val="1"/>
          <w:bCs w:val="1"/>
          <w:i w:val="1"/>
          <w:iCs w:val="1"/>
          <w:color w:val="auto"/>
        </w:rPr>
        <w:t>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personal data as described in this Award Agreement and any other Option grant materials by and among, as applicable, the Employer, the Company and any Parent or Subsidiary for the exclusive purpose of implementing, administering and managing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participation in the</w:t>
      </w: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i w:val="1"/>
          <w:iCs w:val="1"/>
          <w:color w:val="auto"/>
        </w:rPr>
        <w:t>Plan.</w:t>
      </w:r>
    </w:p>
    <w:p>
      <w:pPr>
        <w:spacing w:after="0" w:line="203"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Participant understands that the Company and the Employer may hold certain personal information about Participant, including, but not limited to,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favor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Data</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for the exclusive purpose of implementing, administering and managing the Plan.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213360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ind w:right="60" w:firstLine="648"/>
        <w:spacing w:after="0" w:line="267" w:lineRule="auto"/>
        <w:rPr>
          <w:sz w:val="20"/>
          <w:szCs w:val="20"/>
          <w:color w:val="auto"/>
        </w:rPr>
      </w:pPr>
      <w:r>
        <w:rPr>
          <w:rFonts w:ascii="Times New Roman" w:cs="Times New Roman" w:eastAsia="Times New Roman" w:hAnsi="Times New Roman"/>
          <w:sz w:val="17"/>
          <w:szCs w:val="17"/>
          <w:b w:val="1"/>
          <w:bCs w:val="1"/>
          <w:i w:val="1"/>
          <w:iCs w:val="1"/>
          <w:color w:val="auto"/>
        </w:rPr>
        <w:t>Participant understands that Data will be transferred to a stock plan service provider as may be selected by the Company in the future, which is assisting the Company with the implementation, administration and management of the Plan. Participant understands that the recipients of the Data may be located in the United States or elsewhere, and that the recipient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country of operation (e.g., the United States) may have different data privacy laws and protections than Participant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country. Participant understands that if he or she resides outside the United States, he or she may request a list with the names and addresses of any potential recipients of the Data by contacting his or her local human resources representative. Participant authorizes the Company and any other possible recipients which may assist the Company (presently or in the future) with implementing, administering and managing the Plan to receive, possess, use, retain and transfer the Data, in electronic or other form, for the sole purposes of implementing, administering and managing Participant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participation in the Plan. Participant understands that Data will be held only as long as is necessary to implement, administer and manage Participant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participation in the Plan. Participant understands that if he or she resides outside the United States, he or she may, at any time, view Data, request additional information about the storage and processing of Data, require any necessary amendments to Data or refuse or withdraw the consents herein, in any case without cost, by contacting in writing his or her local human resources representative. Further, Participant understands that he or she is providing the consents herein on a purely voluntary basis. If Participant does not consent, or if Participant later seeks to revoke his or her consent, his or her engagement as a Service Provider and career with the Employer will not be adversely affected; the only adverse consequence of refusing or withdrawing Participant</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i w:val="1"/>
          <w:iCs w:val="1"/>
          <w:color w:val="auto"/>
        </w:rPr>
        <w:t>s consent is that the Company would not be able to grant Participant</w:t>
      </w:r>
    </w:p>
    <w:p>
      <w:pPr>
        <w:spacing w:after="0" w:line="2" w:lineRule="exact"/>
        <w:rPr>
          <w:sz w:val="20"/>
          <w:szCs w:val="20"/>
          <w:color w:val="auto"/>
        </w:rPr>
      </w:pPr>
    </w:p>
    <w:p>
      <w:pPr>
        <w:jc w:val="both"/>
        <w:ind w:right="360"/>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Options or other equity awards or administer or maintain such awards. Therefore, Participant understands that refusing or withdrawing his or her consent may affect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ability to participate in the Plan. For more information on the consequences of Participant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 refusal to consent or withdrawal of consent, Participant understands that he or she may contact his or her local human resources representative.</w:t>
      </w:r>
    </w:p>
    <w:p>
      <w:pPr>
        <w:spacing w:after="0" w:line="186" w:lineRule="exact"/>
        <w:rPr>
          <w:sz w:val="20"/>
          <w:szCs w:val="20"/>
          <w:color w:val="auto"/>
        </w:rPr>
      </w:pPr>
    </w:p>
    <w:p>
      <w:pPr>
        <w:ind w:firstLine="656"/>
        <w:spacing w:after="0" w:line="282" w:lineRule="auto"/>
        <w:tabs>
          <w:tab w:leader="none" w:pos="11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Address for Notices</w:t>
      </w:r>
      <w:r>
        <w:rPr>
          <w:rFonts w:ascii="Times New Roman" w:cs="Times New Roman" w:eastAsia="Times New Roman" w:hAnsi="Times New Roman"/>
          <w:sz w:val="18"/>
          <w:szCs w:val="18"/>
          <w:color w:val="auto"/>
        </w:rPr>
        <w:t>. Any notice to be given to the Company under the terms of this Award Agreement will be addressed to the Company at Pulse Biosciences, Inc., 849 Mitten Rd. #104, Burlingame, CA 94010, or at such other address as the Company may hereafter designate in writing.</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19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Non-Transferability of Option</w:t>
      </w:r>
      <w:r>
        <w:rPr>
          <w:rFonts w:ascii="Times New Roman" w:cs="Times New Roman" w:eastAsia="Times New Roman" w:hAnsi="Times New Roman"/>
          <w:sz w:val="18"/>
          <w:szCs w:val="18"/>
          <w:color w:val="auto"/>
        </w:rPr>
        <w:t>. This Option may not be transferred in any manner otherwise than by will or by the laws of descent or distribution and may be exercised during the lifetime of Participant only by Participant.</w:t>
      </w:r>
    </w:p>
    <w:p>
      <w:pPr>
        <w:spacing w:after="0" w:line="161" w:lineRule="exact"/>
        <w:rPr>
          <w:rFonts w:ascii="Times New Roman" w:cs="Times New Roman" w:eastAsia="Times New Roman" w:hAnsi="Times New Roman"/>
          <w:sz w:val="18"/>
          <w:szCs w:val="18"/>
          <w:color w:val="auto"/>
        </w:rPr>
      </w:pPr>
    </w:p>
    <w:p>
      <w:pPr>
        <w:jc w:val="both"/>
        <w:ind w:firstLine="656"/>
        <w:spacing w:after="0" w:line="261" w:lineRule="auto"/>
        <w:tabs>
          <w:tab w:leader="none" w:pos="1152"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Company may assign any of its rights under this Award Agreement to single or multiple assignees, and this Award Agreement shall inure to the benefit of the successors and assigns of the Company. Subject to the restrictions on transfer herein set forth, this Award Agreement shall be binding upon Participant and his or her heirs, executors, administrators, successors and assigns. The rights and obligations of Participant under this Award Agreement may only be assigned with the prior written consent of the Company.</w:t>
      </w:r>
    </w:p>
    <w:p>
      <w:pPr>
        <w:spacing w:after="0" w:line="179" w:lineRule="exact"/>
        <w:rPr>
          <w:rFonts w:ascii="Times New Roman" w:cs="Times New Roman" w:eastAsia="Times New Roman" w:hAnsi="Times New Roman"/>
          <w:sz w:val="18"/>
          <w:szCs w:val="18"/>
          <w:color w:val="auto"/>
        </w:rPr>
      </w:pPr>
    </w:p>
    <w:p>
      <w:pPr>
        <w:jc w:val="both"/>
        <w:ind w:firstLine="656"/>
        <w:spacing w:after="0" w:line="254" w:lineRule="auto"/>
        <w:tabs>
          <w:tab w:leader="none" w:pos="1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Conditions to Issuance of Stock</w:t>
      </w:r>
      <w:r>
        <w:rPr>
          <w:rFonts w:ascii="Times New Roman" w:cs="Times New Roman" w:eastAsia="Times New Roman" w:hAnsi="Times New Roman"/>
          <w:sz w:val="18"/>
          <w:szCs w:val="18"/>
          <w:color w:val="auto"/>
        </w:rPr>
        <w:t>. If at any time the Company will determine, in its discretion, that the listing, registration, qualification or rule compliance of the Shares upon any securities exchange or under any state, federal or foreign law, the tax code and related regulations or under the rulings or regulations of the United States Securities and Exchange Commission or any other governmental regulatory body or the clearance, consent or approval of the United States Securities and Exchange Commission or any other governmental regulatory authority is necessary or desirable as a condition to the purchase by, or issuance of Shares, to Participant (or his or her estate) hereunder, such purchase or issuance will not occur unless and until such listing, registration, qualification, rule compliance, clearance, consent or approval will have been completed, effected or obtained free of any conditions not acceptable to the Company. Subject to the terms of the Award Agreement and the Plan, the Company shall not be required to issue any certificate or certificates for Shares hereunder prior to the lapse of such reasonable period of time following the date of exercise of the Option as the Administrator may establish from time to time for reasons of administrative convenience.</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1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Language</w:t>
      </w:r>
      <w:r>
        <w:rPr>
          <w:rFonts w:ascii="Times New Roman" w:cs="Times New Roman" w:eastAsia="Times New Roman" w:hAnsi="Times New Roman"/>
          <w:sz w:val="18"/>
          <w:szCs w:val="18"/>
          <w:color w:val="auto"/>
        </w:rPr>
        <w:t>. If Participant has received this Award Agreement or any other document related to the Plan translated into a language other than English and if the meaning of the translated version is different than the English version, the English version will control.</w:t>
      </w:r>
    </w:p>
    <w:p>
      <w:pPr>
        <w:spacing w:after="0" w:line="161" w:lineRule="exact"/>
        <w:rPr>
          <w:rFonts w:ascii="Times New Roman" w:cs="Times New Roman" w:eastAsia="Times New Roman" w:hAnsi="Times New Roman"/>
          <w:sz w:val="18"/>
          <w:szCs w:val="18"/>
          <w:color w:val="auto"/>
        </w:rPr>
      </w:pPr>
    </w:p>
    <w:p>
      <w:pPr>
        <w:jc w:val="both"/>
        <w:ind w:firstLine="656"/>
        <w:spacing w:after="0" w:line="256" w:lineRule="auto"/>
        <w:tabs>
          <w:tab w:leader="none" w:pos="1206"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Interpretation</w:t>
      </w:r>
      <w:r>
        <w:rPr>
          <w:rFonts w:ascii="Times New Roman" w:cs="Times New Roman" w:eastAsia="Times New Roman" w:hAnsi="Times New Roman"/>
          <w:sz w:val="18"/>
          <w:szCs w:val="18"/>
          <w:color w:val="auto"/>
        </w:rPr>
        <w:t>. The Administrator will have the power to interpret the Plan and this Award Agreement and to adopt such rules for the administration, interpretation and application of the Plan as are consistent therewith and to interpret or revoke any such rules (including, but not limited to, the determination of whether or not any Shares subject to the Option have vested). All actions taken and all interpretations and determinations made by the Administrator in good faith will be final and binding upon Participant, the Company and all other interested persons. Neither the Administrator nor any person acting on behalf of the Administrator will be personally liable for any action, determination or interpretation made in good faith with respect to the Plan or this Award Agreement.</w:t>
      </w:r>
    </w:p>
    <w:p>
      <w:pPr>
        <w:spacing w:after="0" w:line="187"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Electronic Delivery and Acceptance</w:t>
      </w:r>
      <w:r>
        <w:rPr>
          <w:rFonts w:ascii="Times New Roman" w:cs="Times New Roman" w:eastAsia="Times New Roman" w:hAnsi="Times New Roman"/>
          <w:sz w:val="18"/>
          <w:szCs w:val="18"/>
          <w:color w:val="auto"/>
        </w:rPr>
        <w:t>. The Company may, in its sole discretion, decide to deliver any documents related to Options awarded under the Plan or future options that may be awarded under the Plan by electronic means or request Participant’s consent to participate in the Plan by electronic means. Participant hereby consents to receive such documents by electronic delivery and agrees to participate in the Plan through any on-line or electronic system established and maintained by the Company or a third party designated by the Company.</w:t>
      </w:r>
    </w:p>
    <w:p>
      <w:pPr>
        <w:spacing w:after="0" w:line="179" w:lineRule="exact"/>
        <w:rPr>
          <w:rFonts w:ascii="Times New Roman" w:cs="Times New Roman" w:eastAsia="Times New Roman" w:hAnsi="Times New Roman"/>
          <w:sz w:val="18"/>
          <w:szCs w:val="18"/>
          <w:color w:val="auto"/>
        </w:rPr>
      </w:pPr>
    </w:p>
    <w:p>
      <w:pPr>
        <w:ind w:left="1140" w:hanging="484"/>
        <w:spacing w:after="0"/>
        <w:tabs>
          <w:tab w:leader="none" w:pos="11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Captions</w:t>
      </w:r>
      <w:r>
        <w:rPr>
          <w:rFonts w:ascii="Times New Roman" w:cs="Times New Roman" w:eastAsia="Times New Roman" w:hAnsi="Times New Roman"/>
          <w:sz w:val="18"/>
          <w:szCs w:val="18"/>
          <w:color w:val="auto"/>
        </w:rPr>
        <w:t>. Captions provided herein are for convenience only and are not to serve as a basis for interpretation or construction of this Award</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09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Agreement Severable</w:t>
      </w:r>
      <w:r>
        <w:rPr>
          <w:rFonts w:ascii="Times New Roman" w:cs="Times New Roman" w:eastAsia="Times New Roman" w:hAnsi="Times New Roman"/>
          <w:sz w:val="18"/>
          <w:szCs w:val="18"/>
          <w:color w:val="auto"/>
        </w:rPr>
        <w:t>. In the event that any provision in this Award Agreement will be held invalid or unenforceable, such provision will be severable from, and such invalidity or unenforceability will not be construed to have any effect on, the remaining provisions of this Award Agreement.</w:t>
      </w:r>
    </w:p>
    <w:p>
      <w:pPr>
        <w:spacing w:after="0" w:line="161" w:lineRule="exact"/>
        <w:rPr>
          <w:rFonts w:ascii="Times New Roman" w:cs="Times New Roman" w:eastAsia="Times New Roman" w:hAnsi="Times New Roman"/>
          <w:sz w:val="18"/>
          <w:szCs w:val="18"/>
          <w:color w:val="auto"/>
        </w:rPr>
      </w:pPr>
    </w:p>
    <w:p>
      <w:pPr>
        <w:jc w:val="both"/>
        <w:ind w:firstLine="656"/>
        <w:spacing w:after="0" w:line="266" w:lineRule="auto"/>
        <w:tabs>
          <w:tab w:leader="none" w:pos="1111"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 Suspension or Termination of the Plan</w:t>
      </w:r>
      <w:r>
        <w:rPr>
          <w:rFonts w:ascii="Times New Roman" w:cs="Times New Roman" w:eastAsia="Times New Roman" w:hAnsi="Times New Roman"/>
          <w:sz w:val="18"/>
          <w:szCs w:val="18"/>
          <w:color w:val="auto"/>
        </w:rPr>
        <w:t>. By accepting this Award, Participant expressly warrants that he or she has received an Option under the Plan, and has received, read and understood a description of the Plan. Participant understands that the Plan is discretionary in nature and may be amended, suspended or terminated by the Company at any time.</w:t>
      </w:r>
    </w:p>
    <w:p>
      <w:pPr>
        <w:spacing w:after="0" w:line="175" w:lineRule="exact"/>
        <w:rPr>
          <w:rFonts w:ascii="Times New Roman" w:cs="Times New Roman" w:eastAsia="Times New Roman" w:hAnsi="Times New Roman"/>
          <w:sz w:val="18"/>
          <w:szCs w:val="18"/>
          <w:color w:val="auto"/>
        </w:rPr>
      </w:pPr>
    </w:p>
    <w:p>
      <w:pPr>
        <w:jc w:val="both"/>
        <w:ind w:firstLine="656"/>
        <w:spacing w:after="0" w:line="261" w:lineRule="auto"/>
        <w:tabs>
          <w:tab w:leader="none" w:pos="112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and Venue</w:t>
      </w:r>
      <w:r>
        <w:rPr>
          <w:rFonts w:ascii="Times New Roman" w:cs="Times New Roman" w:eastAsia="Times New Roman" w:hAnsi="Times New Roman"/>
          <w:sz w:val="18"/>
          <w:szCs w:val="18"/>
          <w:color w:val="auto"/>
        </w:rPr>
        <w:t>. This Award Agreement will be governed by the laws of California, without giving effect to the conflict of law principles thereof. For purposes of litigating any dispute that arises under this Option or this Award Agreement, the parties hereby submit to and consent to the jurisdiction of the State of California, and agree that such litigation will be conducted in the courts of San Francisco, California, or the federal courts for the United States for the Northern District of California, and no other courts, where this Option is made and/or to be performed.</w:t>
      </w:r>
    </w:p>
    <w:p>
      <w:pPr>
        <w:spacing w:after="0" w:line="179" w:lineRule="exact"/>
        <w:rPr>
          <w:rFonts w:ascii="Times New Roman" w:cs="Times New Roman" w:eastAsia="Times New Roman" w:hAnsi="Times New Roman"/>
          <w:sz w:val="18"/>
          <w:szCs w:val="18"/>
          <w:color w:val="auto"/>
        </w:rPr>
      </w:pPr>
    </w:p>
    <w:p>
      <w:pPr>
        <w:jc w:val="both"/>
        <w:ind w:firstLine="656"/>
        <w:spacing w:after="0" w:line="258" w:lineRule="auto"/>
        <w:tabs>
          <w:tab w:leader="none" w:pos="1233"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Country Addendum</w:t>
      </w:r>
      <w:r>
        <w:rPr>
          <w:rFonts w:ascii="Times New Roman" w:cs="Times New Roman" w:eastAsia="Times New Roman" w:hAnsi="Times New Roman"/>
          <w:sz w:val="18"/>
          <w:szCs w:val="18"/>
          <w:color w:val="auto"/>
        </w:rPr>
        <w:t>. Notwithstanding any provisions in this Award Agreement, this Option shall be subject to any special terms and conditions set forth in any appendix to this Award Agreement for Participant’s country (the “Country Addendum”). Moreover, if Participant relocates to one of the countries included in the Country Addendum, the special terms and conditions for such country will apply to Participant, to the extent the Company determines that the application of such terms and conditions is necessary or advisable for legal or administrative reasons. The Country Addendum constitutes part of this Award Agreement.</w:t>
      </w:r>
    </w:p>
    <w:p>
      <w:pPr>
        <w:sectPr>
          <w:pgSz w:w="11900" w:h="16838" w:orient="portrait"/>
          <w:cols w:equalWidth="0" w:num="1">
            <w:col w:w="11240"/>
          </w:cols>
          <w:pgMar w:left="320" w:top="360" w:right="339" w:bottom="0" w:gutter="0" w:footer="0" w:header="0"/>
        </w:sectPr>
      </w:pPr>
    </w:p>
    <w:bookmarkStart w:id="34" w:name="page35"/>
    <w:bookmarkEnd w:id="34"/>
    <w:p>
      <w:pPr>
        <w:jc w:val="both"/>
        <w:ind w:left="-656" w:firstLine="656"/>
        <w:spacing w:after="0" w:line="256" w:lineRule="auto"/>
        <w:tabs>
          <w:tab w:leader="none" w:pos="59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Modifications to the Agreement</w:t>
      </w:r>
      <w:r>
        <w:rPr>
          <w:rFonts w:ascii="Times New Roman" w:cs="Times New Roman" w:eastAsia="Times New Roman" w:hAnsi="Times New Roman"/>
          <w:sz w:val="18"/>
          <w:szCs w:val="18"/>
          <w:color w:val="auto"/>
        </w:rPr>
        <w:t>. This Award Agreement constitutes the entire understanding of the parties on the subjects covered. Participant expressly warrants that he or she is not accepting this Award Agreement in reliance on any promises, representations, or inducements other than those contained herein. Modifications to this Award Agreement or the Plan can be made only in an express written contract executed by a duly authorized officer of the Company. Notwithstanding anything to the contrary in the Plan or this Award Agreement, the Company reserves the right to revise this Award Agreement as it deems necessary or advisable, in its sole discretion and without the consent of Participant, to comply with Code Section 409A or to otherwise avoid imposition of any additional tax or income recognition under Section 409A of the Code in connection with the Option.</w:t>
      </w:r>
    </w:p>
    <w:p>
      <w:pPr>
        <w:spacing w:after="0" w:line="187"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496"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Waiver</w:t>
      </w:r>
      <w:r>
        <w:rPr>
          <w:rFonts w:ascii="Times New Roman" w:cs="Times New Roman" w:eastAsia="Times New Roman" w:hAnsi="Times New Roman"/>
          <w:sz w:val="18"/>
          <w:szCs w:val="18"/>
          <w:color w:val="auto"/>
        </w:rPr>
        <w:t>. Either party’s failure to enforce any provision or provisions of this Award Agreement shall not in any way be construed as a waiver of any such provision or provisions, nor prevent that party from thereafter enforcing each and every other provision of this Award Agreement. The rights granted both parties herein are cumulative and shall not constitute a waiver of either party’s right to assert all other legal remedies available to it under the circumstances.</w:t>
      </w:r>
    </w:p>
    <w:p>
      <w:pPr>
        <w:spacing w:after="0" w:line="179" w:lineRule="exact"/>
        <w:rPr>
          <w:rFonts w:ascii="Times New Roman" w:cs="Times New Roman" w:eastAsia="Times New Roman" w:hAnsi="Times New Roman"/>
          <w:sz w:val="18"/>
          <w:szCs w:val="18"/>
          <w:color w:val="auto"/>
        </w:rPr>
      </w:pPr>
    </w:p>
    <w:p>
      <w:pPr>
        <w:jc w:val="both"/>
        <w:ind w:left="-656" w:firstLine="656"/>
        <w:spacing w:after="0" w:line="261" w:lineRule="auto"/>
        <w:tabs>
          <w:tab w:leader="none" w:pos="509"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Consequences</w:t>
      </w:r>
      <w:r>
        <w:rPr>
          <w:rFonts w:ascii="Times New Roman" w:cs="Times New Roman" w:eastAsia="Times New Roman" w:hAnsi="Times New Roman"/>
          <w:sz w:val="18"/>
          <w:szCs w:val="18"/>
          <w:color w:val="auto"/>
        </w:rPr>
        <w:t>. Participant has reviewed with its own tax advisors the U.S. federal, state, local and foreign tax consequences of this investment and the transactions contemplated by this Award Agreement. With respect to such matters, Participant relies solely on such advisors and not on any statements or representations of the Company or any of its agents, written or oral. Participant understands that Participant (and not the Company) shall be responsible for Participant’s own tax liability that may arise as a result of this investment or the transactions contemplated by this Award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348615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121" w:right="339" w:bottom="1440" w:gutter="0" w:footer="0" w:header="0"/>
        </w:sectPr>
      </w:pPr>
    </w:p>
    <w:bookmarkStart w:id="35" w:name="page36"/>
    <w:bookmarkEnd w:id="35"/>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2017 INDUCEMENT EQUITY INCENTIVE PLAN</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STOCK OPTION AGREEMENT</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COUNTRY ADDENDUM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TERMS AND CONDITIONS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This Country Addendum includes additional terms and conditions that govern the Option granted to Participant under the Plan if Participant works in one of the countries listed below. If Participant is a citizen or resident of a country (or is considered as such for local law purposes) other than the one in which he or she is currently working or if Participant relocates to another country after receiving the Option, the Company will, in its discretion, determine the extent to which the terms and conditions contained herein will be applicable to Participant.</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Certain capitalized terms used but not defined in this Country Addendum shall have the meanings set forth in the Plan, the and/or the Award Agreement to which this Country Addendum is attached.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NOTIFICATIONS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This Country Addendum also includes notifications relating to exchange control and other issues of which Participant should be aware with respect to his or her participation in the Plan. The information is based on the exchange control, securities and other laws in effect in the countries listed in this Country Addendum, as of November 13, 2017. Such laws are often complex and change frequently. As a result, the Company strongly recommends that Participant not rely on the notifications herein as the only source of information relating to the consequences of his or her participation in the Plan because the information may be outdated when Participant exercises the Option or sells Shares acquired under the Plan.</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 notifications are general in nature and may not apply to Participant’s particular situation, and the Company is not in a position to assure Participant of any particular result. Accordingly, Participant is advised to seek appropriate professional advice as to how the relevant laws in Participant’s country may apply to Participant’s situation.</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Finally, if Participant is a citizen or resident of a country other than the one in which Participant is currently working (or is considered as such for local law purposes) or if Participant moves to another country after the Option is granted, the information contained herein may not be applicable to Participant.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337185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36" w:name="page37"/>
    <w:bookmarkEnd w:id="36"/>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EXHIBIT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2017 INDUCEMENT EQUITY INCENTIVE PLAN</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EXERCISE NOTICE</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Pulse Biosciences, Inc.</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3957 Point Eden Way,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Hayward, CA 94545</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Attention: Stock Administration</w:t>
      </w:r>
    </w:p>
    <w:p>
      <w:pPr>
        <w:spacing w:after="0" w:line="200" w:lineRule="exact"/>
        <w:rPr>
          <w:sz w:val="20"/>
          <w:szCs w:val="20"/>
          <w:color w:val="auto"/>
        </w:rPr>
      </w:pPr>
    </w:p>
    <w:p>
      <w:pPr>
        <w:spacing w:after="0" w:line="223" w:lineRule="exact"/>
        <w:rPr>
          <w:sz w:val="20"/>
          <w:szCs w:val="20"/>
          <w:color w:val="auto"/>
        </w:rPr>
      </w:pPr>
    </w:p>
    <w:p>
      <w:pPr>
        <w:ind w:left="1280" w:hanging="624"/>
        <w:spacing w:after="0"/>
        <w:tabs>
          <w:tab w:leader="none" w:pos="12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Exercise of Option</w:t>
      </w:r>
      <w:r>
        <w:rPr>
          <w:rFonts w:ascii="Times New Roman" w:cs="Times New Roman" w:eastAsia="Times New Roman" w:hAnsi="Times New Roman"/>
          <w:sz w:val="18"/>
          <w:szCs w:val="18"/>
          <w:color w:val="auto"/>
        </w:rPr>
        <w:t>. Effective as of today, ________________, _____, the undersigned (“Purchaser”) hereby elects to purchase</w:t>
      </w:r>
    </w:p>
    <w:p>
      <w:pPr>
        <w:spacing w:after="0" w:line="27" w:lineRule="exact"/>
        <w:rPr>
          <w:rFonts w:ascii="Times New Roman" w:cs="Times New Roman" w:eastAsia="Times New Roman" w:hAnsi="Times New Roman"/>
          <w:sz w:val="18"/>
          <w:szCs w:val="18"/>
          <w:color w:val="auto"/>
        </w:rPr>
      </w:pPr>
    </w:p>
    <w:p>
      <w:pPr>
        <w:jc w:val="both"/>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 shares (the “Shares”) of the Common Stock of Pulse Biosciences, Inc. (the “Company”) under and pursuant to the 2017 Inducement Equity Incentive Plan (the “Plan”) and the Stock Option Agreement, dated ________ and including the Notice of Grant, the Terms and Conditions of Stock Option Grant, and appendices and exhibits attached thereto (the “Award Agreement”). The purchase price for the Shares will be $_____________, as required by the Award Agreement.</w:t>
      </w:r>
    </w:p>
    <w:p>
      <w:pPr>
        <w:spacing w:after="0" w:line="188" w:lineRule="exact"/>
        <w:rPr>
          <w:rFonts w:ascii="Times New Roman" w:cs="Times New Roman" w:eastAsia="Times New Roman" w:hAnsi="Times New Roman"/>
          <w:sz w:val="18"/>
          <w:szCs w:val="18"/>
          <w:color w:val="auto"/>
        </w:rPr>
      </w:pPr>
    </w:p>
    <w:p>
      <w:pPr>
        <w:ind w:firstLine="656"/>
        <w:spacing w:after="0" w:line="282" w:lineRule="auto"/>
        <w:tabs>
          <w:tab w:leader="none" w:pos="10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Delivery of Payment</w:t>
      </w:r>
      <w:r>
        <w:rPr>
          <w:rFonts w:ascii="Times New Roman" w:cs="Times New Roman" w:eastAsia="Times New Roman" w:hAnsi="Times New Roman"/>
          <w:sz w:val="18"/>
          <w:szCs w:val="18"/>
          <w:color w:val="auto"/>
        </w:rPr>
        <w:t>. Purchaser herewith delivers to the Company the full purchase price of the Shares and any Tax Obligations (as defined in Section 7(a) of the Award Agreement) to be paid in connection with the exercise of the Option.</w:t>
      </w:r>
    </w:p>
    <w:p>
      <w:pPr>
        <w:spacing w:after="0" w:line="161" w:lineRule="exact"/>
        <w:rPr>
          <w:rFonts w:ascii="Times New Roman" w:cs="Times New Roman" w:eastAsia="Times New Roman" w:hAnsi="Times New Roman"/>
          <w:sz w:val="18"/>
          <w:szCs w:val="18"/>
          <w:color w:val="auto"/>
        </w:rPr>
      </w:pPr>
    </w:p>
    <w:p>
      <w:pPr>
        <w:ind w:firstLine="656"/>
        <w:spacing w:after="0" w:line="282" w:lineRule="auto"/>
        <w:tabs>
          <w:tab w:leader="none" w:pos="1035"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of Purchaser</w:t>
      </w:r>
      <w:r>
        <w:rPr>
          <w:rFonts w:ascii="Times New Roman" w:cs="Times New Roman" w:eastAsia="Times New Roman" w:hAnsi="Times New Roman"/>
          <w:sz w:val="18"/>
          <w:szCs w:val="18"/>
          <w:color w:val="auto"/>
        </w:rPr>
        <w:t>. Purchaser acknowledges that Purchaser has received, read and understood the Plan and the Award Agreement and agrees to abide by and be bound by their terms and conditions.</w:t>
      </w:r>
    </w:p>
    <w:p>
      <w:pPr>
        <w:spacing w:after="0" w:line="161" w:lineRule="exact"/>
        <w:rPr>
          <w:rFonts w:ascii="Times New Roman" w:cs="Times New Roman" w:eastAsia="Times New Roman" w:hAnsi="Times New Roman"/>
          <w:sz w:val="18"/>
          <w:szCs w:val="18"/>
          <w:color w:val="auto"/>
        </w:rPr>
      </w:pPr>
    </w:p>
    <w:p>
      <w:pPr>
        <w:jc w:val="both"/>
        <w:ind w:firstLine="656"/>
        <w:spacing w:after="0" w:line="258" w:lineRule="auto"/>
        <w:tabs>
          <w:tab w:leader="none" w:pos="1008"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Rights as Stockholder</w:t>
      </w:r>
      <w:r>
        <w:rPr>
          <w:rFonts w:ascii="Times New Roman" w:cs="Times New Roman" w:eastAsia="Times New Roman" w:hAnsi="Times New Roman"/>
          <w:sz w:val="18"/>
          <w:szCs w:val="18"/>
          <w:color w:val="auto"/>
        </w:rPr>
        <w:t>. Until the issuance (as evidenced by the appropriate entry on the books of the Company or of a duly authorized transfer agent of the Company) of the Shares, no right to vote or receive dividends or any other rights as a stockholder will exist with respect to the Shares subject to the Option, notwithstanding the exercise of the Option. The Shares so acquired will be issued to Purchaser as soon as practicable after exercise of the Option. No adjustment will be made for a dividend or other right for which the record date is prior to the date of issuance, except as provided in Section 13 of the Plan.</w:t>
      </w:r>
    </w:p>
    <w:p>
      <w:pPr>
        <w:spacing w:after="0" w:line="183" w:lineRule="exact"/>
        <w:rPr>
          <w:rFonts w:ascii="Times New Roman" w:cs="Times New Roman" w:eastAsia="Times New Roman" w:hAnsi="Times New Roman"/>
          <w:sz w:val="18"/>
          <w:szCs w:val="18"/>
          <w:color w:val="auto"/>
        </w:rPr>
      </w:pPr>
    </w:p>
    <w:p>
      <w:pPr>
        <w:jc w:val="both"/>
        <w:ind w:firstLine="656"/>
        <w:spacing w:after="0" w:line="266" w:lineRule="auto"/>
        <w:tabs>
          <w:tab w:leader="none" w:pos="1183"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Consultation</w:t>
      </w:r>
      <w:r>
        <w:rPr>
          <w:rFonts w:ascii="Times New Roman" w:cs="Times New Roman" w:eastAsia="Times New Roman" w:hAnsi="Times New Roman"/>
          <w:sz w:val="18"/>
          <w:szCs w:val="18"/>
          <w:color w:val="auto"/>
        </w:rPr>
        <w:t>. Purchaser understands that Purchaser may suffer adverse tax consequences as a result of Purchaser’s purchase or disposition of the Shares. Purchaser represents that Purchaser has consulted with any tax consultants Purchaser deems advisable in connection with the purchase or disposition of the Shares and that Purchaser is not relying on the Company for any tax advice.</w:t>
      </w:r>
    </w:p>
    <w:p>
      <w:pPr>
        <w:spacing w:after="0" w:line="175" w:lineRule="exact"/>
        <w:rPr>
          <w:rFonts w:ascii="Times New Roman" w:cs="Times New Roman" w:eastAsia="Times New Roman" w:hAnsi="Times New Roman"/>
          <w:sz w:val="18"/>
          <w:szCs w:val="18"/>
          <w:color w:val="auto"/>
        </w:rPr>
      </w:pPr>
    </w:p>
    <w:p>
      <w:pPr>
        <w:jc w:val="both"/>
        <w:ind w:firstLine="656"/>
        <w:spacing w:after="0" w:line="258" w:lineRule="auto"/>
        <w:tabs>
          <w:tab w:leader="none" w:pos="1021"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 Governing Law</w:t>
      </w:r>
      <w:r>
        <w:rPr>
          <w:rFonts w:ascii="Times New Roman" w:cs="Times New Roman" w:eastAsia="Times New Roman" w:hAnsi="Times New Roman"/>
          <w:sz w:val="18"/>
          <w:szCs w:val="18"/>
          <w:color w:val="auto"/>
        </w:rPr>
        <w:t>. The Plan and Award Agreement are incorporated herein by reference. This Exercise Notice, the Plan and the Award Agreement constitute the entire agreement of the parties with respect to the subject matter hereof and supersede in their entirety all prior undertakings and agreements of the Company and Purchaser with respect to the subject matter hereof, and may not be modified adversely to the Purchaser’s interest except by means of a writing signed by the Company and Purchaser. This agreement is governed by the internal substantive laws, but not the choice of law rules, of California.</w:t>
      </w:r>
    </w:p>
    <w:p>
      <w:pPr>
        <w:sectPr>
          <w:pgSz w:w="11900" w:h="16838" w:orient="portrait"/>
          <w:cols w:equalWidth="0" w:num="1">
            <w:col w:w="11240"/>
          </w:cols>
          <w:pgMar w:left="320" w:top="576" w:right="339" w:bottom="1440" w:gutter="0" w:footer="0" w:header="0"/>
        </w:sectPr>
      </w:pPr>
    </w:p>
    <w:p>
      <w:pPr>
        <w:spacing w:after="0" w:line="399"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Submitted by:</w:t>
      </w:r>
    </w:p>
    <w:p>
      <w:pPr>
        <w:spacing w:after="0" w:line="22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7"/>
          <w:szCs w:val="17"/>
          <w:color w:val="auto"/>
        </w:rPr>
        <w:t>PURCHASER</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166306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-127635</wp:posOffset>
            </wp:positionV>
            <wp:extent cx="166306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205" w:lineRule="exact"/>
        <w:rPr>
          <w:sz w:val="20"/>
          <w:szCs w:val="20"/>
          <w:color w:val="auto"/>
        </w:rPr>
      </w:pPr>
    </w:p>
    <w:p>
      <w:pPr>
        <w:ind w:left="1700"/>
        <w:spacing w:after="0"/>
        <w:rPr>
          <w:sz w:val="20"/>
          <w:szCs w:val="20"/>
          <w:color w:val="auto"/>
        </w:rPr>
      </w:pPr>
      <w:r>
        <w:rPr>
          <w:rFonts w:ascii="Times New Roman" w:cs="Times New Roman" w:eastAsia="Times New Roman" w:hAnsi="Times New Roman"/>
          <w:sz w:val="18"/>
          <w:szCs w:val="18"/>
          <w:u w:val="single" w:color="auto"/>
          <w:color w:val="auto"/>
        </w:rPr>
        <w:t>Address</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br w:type="column"/>
      </w:r>
    </w:p>
    <w:p>
      <w:pPr>
        <w:spacing w:after="0" w:line="3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Accepted by: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PULSE BIOSCIENCES, INC.</w:t>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4100"/>
        <w:spacing w:after="0"/>
        <w:rPr>
          <w:sz w:val="20"/>
          <w:szCs w:val="20"/>
          <w:color w:val="auto"/>
        </w:rPr>
      </w:pPr>
      <w:r>
        <w:rPr>
          <w:rFonts w:ascii="Times New Roman" w:cs="Times New Roman" w:eastAsia="Times New Roman" w:hAnsi="Times New Roman"/>
          <w:sz w:val="17"/>
          <w:szCs w:val="17"/>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-120650</wp:posOffset>
            </wp:positionV>
            <wp:extent cx="166306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p>
      <w:pPr>
        <w:jc w:val="center"/>
        <w:ind w:right="4120"/>
        <w:spacing w:after="0"/>
        <w:rPr>
          <w:sz w:val="20"/>
          <w:szCs w:val="20"/>
          <w:color w:val="auto"/>
        </w:rPr>
      </w:pPr>
      <w:r>
        <w:rPr>
          <w:rFonts w:ascii="Times New Roman" w:cs="Times New Roman" w:eastAsia="Times New Roman" w:hAnsi="Times New Roman"/>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-127635</wp:posOffset>
            </wp:positionV>
            <wp:extent cx="166306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63065" cy="8255"/>
                    </a:xfrm>
                    <a:prstGeom prst="rect">
                      <a:avLst/>
                    </a:prstGeom>
                    <a:noFill/>
                  </pic:spPr>
                </pic:pic>
              </a:graphicData>
            </a:graphic>
          </wp:anchor>
        </w:drawing>
      </w:r>
    </w:p>
    <w:p>
      <w:pPr>
        <w:spacing w:after="0" w:line="632" w:lineRule="exact"/>
        <w:rPr>
          <w:sz w:val="20"/>
          <w:szCs w:val="20"/>
          <w:color w:val="auto"/>
        </w:rPr>
      </w:pPr>
    </w:p>
    <w:p>
      <w:pPr>
        <w:sectPr>
          <w:pgSz w:w="11900" w:h="16838" w:orient="portrait"/>
          <w:cols w:equalWidth="0" w:num="2">
            <w:col w:w="6220" w:space="720"/>
            <w:col w:w="4300"/>
          </w:cols>
          <w:pgMar w:left="320" w:top="576" w:right="339" w:bottom="1440" w:gutter="0" w:footer="0" w:header="0"/>
          <w:type w:val="continuous"/>
        </w:sectPr>
      </w:pPr>
    </w:p>
    <w:p>
      <w:pPr>
        <w:spacing w:after="0" w:line="255" w:lineRule="exact"/>
        <w:rPr>
          <w:sz w:val="20"/>
          <w:szCs w:val="20"/>
          <w:color w:val="auto"/>
        </w:rPr>
      </w:pPr>
    </w:p>
    <w:p>
      <w:pPr>
        <w:ind w:left="6940"/>
        <w:spacing w:after="0"/>
        <w:rPr>
          <w:sz w:val="20"/>
          <w:szCs w:val="20"/>
          <w:color w:val="auto"/>
        </w:rPr>
      </w:pPr>
      <w:r>
        <w:rPr>
          <w:rFonts w:ascii="Times New Roman" w:cs="Times New Roman" w:eastAsia="Times New Roman" w:hAnsi="Times New Roman"/>
          <w:sz w:val="17"/>
          <w:szCs w:val="17"/>
          <w:color w:val="auto"/>
        </w:rPr>
        <w:t>Date Received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1076325</wp:posOffset>
            </wp:positionH>
            <wp:positionV relativeFrom="paragraph">
              <wp:posOffset>-120650</wp:posOffset>
            </wp:positionV>
            <wp:extent cx="166306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4402455</wp:posOffset>
            </wp:positionH>
            <wp:positionV relativeFrom="paragraph">
              <wp:posOffset>-120650</wp:posOffset>
            </wp:positionV>
            <wp:extent cx="166306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663065" cy="8890"/>
                    </a:xfrm>
                    <a:prstGeom prst="rect">
                      <a:avLst/>
                    </a:prstGeom>
                    <a:noFill/>
                  </pic:spPr>
                </pic:pic>
              </a:graphicData>
            </a:graphic>
          </wp:anchor>
        </w:drawing>
        <w:drawing>
          <wp:anchor simplePos="0" relativeHeight="251657728" behindDoc="1" locked="0" layoutInCell="0" allowOverlap="1">
            <wp:simplePos x="0" y="0"/>
            <wp:positionH relativeFrom="column">
              <wp:posOffset>1076325</wp:posOffset>
            </wp:positionH>
            <wp:positionV relativeFrom="paragraph">
              <wp:posOffset>161925</wp:posOffset>
            </wp:positionV>
            <wp:extent cx="1663065"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663065" cy="8890"/>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type w:val="continuous"/>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t>Exhibit 10.4</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FOURTH AMENDMENT TO EMPLOYMENT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fourth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effective as of May 12, 2024, by and between Kevin Danahy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Pulse Biosciences,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Executive,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right="108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entered into an employment agreement dated February 9, 2022 (as previously amended,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certain provisions of the Employment Agreement related to Executive’s severance benefits;</w:t>
      </w:r>
    </w:p>
    <w:p>
      <w:pPr>
        <w:spacing w:after="0" w:line="225" w:lineRule="exact"/>
        <w:rPr>
          <w:sz w:val="20"/>
          <w:szCs w:val="20"/>
          <w:color w:val="auto"/>
        </w:rPr>
      </w:pPr>
    </w:p>
    <w:p>
      <w:pPr>
        <w:ind w:right="60"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considerations of the promises, mutual covenants, and above recitals, including Executive’s continued employment,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is hereby acknowledged, Executive and the Company hereby agree as follows:</w:t>
      </w:r>
    </w:p>
    <w:p>
      <w:pPr>
        <w:spacing w:after="0" w:line="159" w:lineRule="exact"/>
        <w:rPr>
          <w:sz w:val="20"/>
          <w:szCs w:val="20"/>
          <w:color w:val="auto"/>
        </w:rPr>
      </w:pPr>
    </w:p>
    <w:p>
      <w:pPr>
        <w:ind w:left="660" w:hanging="328"/>
        <w:spacing w:after="0"/>
        <w:tabs>
          <w:tab w:leader="none" w:pos="66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980" w:right="520"/>
        <w:spacing w:after="0" w:line="284" w:lineRule="auto"/>
        <w:tabs>
          <w:tab w:leader="none" w:pos="12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first sentence</w:t>
      </w:r>
      <w:r>
        <w:rPr>
          <w:rFonts w:ascii="Times New Roman" w:cs="Times New Roman" w:eastAsia="Times New Roman" w:hAnsi="Times New Roman"/>
          <w:sz w:val="18"/>
          <w:szCs w:val="18"/>
          <w:color w:val="auto"/>
        </w:rPr>
        <w:t xml:space="preserve"> of Section 1(a) of the Employment Agreement, titled “Position and Duties,” is hereby amended and restated in its entirety as follows: “As of May 12, 2024, Executive will serve as the Company’s Chief Commercial Officer.</w:t>
      </w:r>
    </w:p>
    <w:p>
      <w:pPr>
        <w:spacing w:after="0" w:line="160" w:lineRule="exact"/>
        <w:rPr>
          <w:rFonts w:ascii="Times New Roman" w:cs="Times New Roman" w:eastAsia="Times New Roman" w:hAnsi="Times New Roman"/>
          <w:sz w:val="18"/>
          <w:szCs w:val="18"/>
          <w:color w:val="auto"/>
        </w:rPr>
      </w:pPr>
    </w:p>
    <w:p>
      <w:pPr>
        <w:ind w:left="980"/>
        <w:spacing w:after="0" w:line="254" w:lineRule="auto"/>
        <w:tabs>
          <w:tab w:leader="none" w:pos="123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Clause (i) in Section 10(f) of the Employment Agreement, titled “Good Reason,” is hereby DELETED and replaced with “(i) the assignment to Executive of any duties beyond the generally recognized scope of employment of a company Chief Commercial Officer or the reduction of Executive’s duties or the removal of Executive from Executive’s position and responsibilities as Chief Commercial Officer either of which must result in a material diminution of Executive’s authority, duties, or responsibilities with the Company in effect immediately prior to such assignment; provided, however, if the Executive is provided with an alternative executive-type position within the Company or its subsidiaries at the same or better compensation as proved herein, or that a reduction in duties (including no longer being chief executive officer of a public company), position or responsibilities is solely by virtue of the Company being acquired and made part of a larger entity will not constitute “Good Reason”;”.</w:t>
      </w:r>
    </w:p>
    <w:p>
      <w:pPr>
        <w:spacing w:after="0" w:line="189" w:lineRule="exact"/>
        <w:rPr>
          <w:rFonts w:ascii="Times New Roman" w:cs="Times New Roman" w:eastAsia="Times New Roman" w:hAnsi="Times New Roman"/>
          <w:sz w:val="18"/>
          <w:szCs w:val="18"/>
          <w:color w:val="auto"/>
        </w:rPr>
      </w:pPr>
    </w:p>
    <w:p>
      <w:pPr>
        <w:ind w:left="980" w:right="340"/>
        <w:spacing w:after="0" w:line="284" w:lineRule="auto"/>
        <w:tabs>
          <w:tab w:leader="none" w:pos="1225"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w:t>
      </w:r>
      <w:r>
        <w:rPr>
          <w:rFonts w:ascii="Times New Roman" w:cs="Times New Roman" w:eastAsia="Times New Roman" w:hAnsi="Times New Roman"/>
          <w:sz w:val="18"/>
          <w:szCs w:val="18"/>
          <w:i w:val="1"/>
          <w:iCs w:val="1"/>
          <w:color w:val="auto"/>
        </w:rPr>
        <w:t>first sentence</w:t>
      </w:r>
      <w:r>
        <w:rPr>
          <w:rFonts w:ascii="Times New Roman" w:cs="Times New Roman" w:eastAsia="Times New Roman" w:hAnsi="Times New Roman"/>
          <w:sz w:val="18"/>
          <w:szCs w:val="18"/>
          <w:color w:val="auto"/>
        </w:rPr>
        <w:t xml:space="preserve"> of Section 7(a)(i) of the Employment Agreement, titled “Severance Payment,” is hereby amended and restated in its entirety as follows:</w:t>
      </w:r>
    </w:p>
    <w:p>
      <w:pPr>
        <w:spacing w:after="0" w:line="160" w:lineRule="exact"/>
        <w:rPr>
          <w:sz w:val="20"/>
          <w:szCs w:val="20"/>
          <w:color w:val="auto"/>
        </w:rPr>
      </w:pPr>
    </w:p>
    <w:p>
      <w:pPr>
        <w:jc w:val="both"/>
        <w:ind w:left="1620"/>
        <w:spacing w:after="0" w:line="255" w:lineRule="auto"/>
        <w:rPr>
          <w:sz w:val="20"/>
          <w:szCs w:val="20"/>
          <w:color w:val="auto"/>
        </w:rPr>
      </w:pPr>
      <w:r>
        <w:rPr>
          <w:rFonts w:ascii="Times New Roman" w:cs="Times New Roman" w:eastAsia="Times New Roman" w:hAnsi="Times New Roman"/>
          <w:sz w:val="18"/>
          <w:szCs w:val="18"/>
          <w:color w:val="auto"/>
        </w:rPr>
        <w:t xml:space="preserve">Upon an Involuntary Termination, Executive will receive continuing payments of the Executive’s Base Salary (as in effect immediately prior to the Executive’s termination) either (i) for twelve (12) months, but only if the Involuntary Termination occurs within the twelve (12) month period following a Change of Control, or (ii) for three (3) months;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purposes of Section 7(a)(iii), concerning Company-provided COBRA benefits, the period of continuing COBRA benefits shall be up to twelve</w:t>
      </w:r>
    </w:p>
    <w:p>
      <w:pPr>
        <w:spacing w:after="0" w:line="3" w:lineRule="exact"/>
        <w:rPr>
          <w:sz w:val="20"/>
          <w:szCs w:val="20"/>
          <w:color w:val="auto"/>
        </w:rPr>
      </w:pPr>
    </w:p>
    <w:p>
      <w:pPr>
        <w:ind w:left="980" w:right="4920" w:firstLine="648"/>
        <w:spacing w:after="0" w:line="490" w:lineRule="auto"/>
        <w:tabs>
          <w:tab w:leader="none" w:pos="1973" w:val="left"/>
        </w:tabs>
        <w:numPr>
          <w:ilvl w:val="1"/>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months in either case (hereinafter, the “</w:t>
      </w:r>
      <w:r>
        <w:rPr>
          <w:rFonts w:ascii="Times New Roman" w:cs="Times New Roman" w:eastAsia="Times New Roman" w:hAnsi="Times New Roman"/>
          <w:sz w:val="18"/>
          <w:szCs w:val="18"/>
          <w:b w:val="1"/>
          <w:bCs w:val="1"/>
          <w:color w:val="auto"/>
        </w:rPr>
        <w:t>Severance Period</w:t>
      </w:r>
      <w:r>
        <w:rPr>
          <w:rFonts w:ascii="Times New Roman" w:cs="Times New Roman" w:eastAsia="Times New Roman" w:hAnsi="Times New Roman"/>
          <w:sz w:val="18"/>
          <w:szCs w:val="18"/>
          <w:color w:val="auto"/>
        </w:rPr>
        <w:t>”). The remainder of Section 7(a)(i) is unchanged.</w:t>
      </w: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To the extent not expressly amended hereby, the Employment Agreement shall remain in full force and effect.</w:t>
      </w:r>
    </w:p>
    <w:p>
      <w:pPr>
        <w:spacing w:after="0" w:line="225" w:lineRule="exact"/>
        <w:rPr>
          <w:rFonts w:ascii="Times New Roman" w:cs="Times New Roman" w:eastAsia="Times New Roman" w:hAnsi="Times New Roman"/>
          <w:sz w:val="18"/>
          <w:szCs w:val="18"/>
          <w:color w:val="auto"/>
        </w:rPr>
      </w:pPr>
    </w:p>
    <w:p>
      <w:pPr>
        <w:ind w:left="660" w:right="140" w:hanging="328"/>
        <w:spacing w:after="0" w:line="282" w:lineRule="auto"/>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all of which together shall constitute one instrument, and each of which may be executed by less than all of the parties to this Amendment.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will be governed by the laws of the State of California (with the exception of its conflict of laws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IN WITNESS WHEREOF</w:t>
      </w:r>
      <w:r>
        <w:rPr>
          <w:rFonts w:ascii="Times New Roman" w:cs="Times New Roman" w:eastAsia="Times New Roman" w:hAnsi="Times New Roman"/>
          <w:sz w:val="18"/>
          <w:szCs w:val="18"/>
          <w:color w:val="auto"/>
        </w:rPr>
        <w:t>, each of the Parties has executed this Amendment, in the case of the Company by its duly authorized officer,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Amendment Date.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43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Robert Duggan</w:t>
            </w: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/s/ Kevin Danahy</w:t>
            </w:r>
          </w:p>
        </w:tc>
      </w:tr>
      <w:tr>
        <w:trPr>
          <w:trHeight w:val="191"/>
        </w:trPr>
        <w:tc>
          <w:tcPr>
            <w:tcW w:w="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Duggan</w:t>
            </w: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  Kevin Danahy</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Chairman</w:t>
            </w: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Date: May 14, 2024</w:t>
            </w:r>
          </w:p>
        </w:tc>
      </w:tr>
    </w:tbl>
    <w:p>
      <w:pPr>
        <w:ind w:left="580"/>
        <w:spacing w:after="0"/>
        <w:rPr>
          <w:sz w:val="20"/>
          <w:szCs w:val="20"/>
          <w:color w:val="auto"/>
        </w:rPr>
      </w:pPr>
      <w:r>
        <w:rPr>
          <w:rFonts w:ascii="Times New Roman" w:cs="Times New Roman" w:eastAsia="Times New Roman" w:hAnsi="Times New Roman"/>
          <w:sz w:val="18"/>
          <w:szCs w:val="18"/>
          <w:color w:val="auto"/>
        </w:rPr>
        <w:t>Date: May 14, 2024</w:t>
      </w:r>
    </w:p>
    <w:p>
      <w:pPr>
        <w:sectPr>
          <w:pgSz w:w="11900" w:h="16838" w:orient="portrait"/>
          <w:cols w:equalWidth="0" w:num="1">
            <w:col w:w="11220"/>
          </w:cols>
          <w:pgMar w:left="320" w:top="576" w:right="359" w:bottom="1440" w:gutter="0" w:footer="0" w:header="0"/>
        </w:sectPr>
      </w:pPr>
    </w:p>
    <w:bookmarkStart w:id="39" w:name="page40"/>
    <w:bookmarkEnd w:id="39"/>
    <w:p>
      <w:pPr>
        <w:jc w:val="right"/>
        <w:spacing w:after="0"/>
        <w:rPr>
          <w:sz w:val="20"/>
          <w:szCs w:val="20"/>
          <w:color w:val="auto"/>
        </w:rPr>
      </w:pPr>
      <w:r>
        <w:rPr>
          <w:rFonts w:ascii="Times New Roman" w:cs="Times New Roman" w:eastAsia="Times New Roman" w:hAnsi="Times New Roman"/>
          <w:sz w:val="18"/>
          <w:szCs w:val="18"/>
          <w:b w:val="1"/>
          <w:bCs w:val="1"/>
          <w:color w:val="auto"/>
        </w:rPr>
        <w:t>Exhibit 10.5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PULSE BIOSCIENCES,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FIFTH AMENDMENT TO EMPLOYMENT AGREEMENT</w:t>
      </w:r>
    </w:p>
    <w:p>
      <w:pPr>
        <w:spacing w:after="0" w:line="225" w:lineRule="exact"/>
        <w:rPr>
          <w:sz w:val="20"/>
          <w:szCs w:val="20"/>
          <w:color w:val="auto"/>
        </w:rPr>
      </w:pPr>
    </w:p>
    <w:p>
      <w:pPr>
        <w:ind w:right="20" w:firstLine="648"/>
        <w:spacing w:after="0" w:line="286" w:lineRule="auto"/>
        <w:rPr>
          <w:sz w:val="20"/>
          <w:szCs w:val="20"/>
          <w:color w:val="auto"/>
        </w:rPr>
      </w:pPr>
      <w:r>
        <w:rPr>
          <w:rFonts w:ascii="Times New Roman" w:cs="Times New Roman" w:eastAsia="Times New Roman" w:hAnsi="Times New Roman"/>
          <w:sz w:val="18"/>
          <w:szCs w:val="18"/>
          <w:color w:val="auto"/>
        </w:rPr>
        <w:t>This fifth amendment (this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effective as of May 12, 2024, by and between Darrin Uecker (“</w:t>
      </w:r>
      <w:r>
        <w:rPr>
          <w:rFonts w:ascii="Times New Roman" w:cs="Times New Roman" w:eastAsia="Times New Roman" w:hAnsi="Times New Roman"/>
          <w:sz w:val="18"/>
          <w:szCs w:val="18"/>
          <w:b w:val="1"/>
          <w:bCs w:val="1"/>
          <w:color w:val="auto"/>
        </w:rPr>
        <w:t>Executive</w:t>
      </w:r>
      <w:r>
        <w:rPr>
          <w:rFonts w:ascii="Times New Roman" w:cs="Times New Roman" w:eastAsia="Times New Roman" w:hAnsi="Times New Roman"/>
          <w:sz w:val="18"/>
          <w:szCs w:val="18"/>
          <w:color w:val="auto"/>
        </w:rPr>
        <w:t>”) and Pulse Biosciences, Inc.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Executive, the “</w:t>
      </w:r>
      <w:r>
        <w:rPr>
          <w:rFonts w:ascii="Times New Roman" w:cs="Times New Roman" w:eastAsia="Times New Roman" w:hAnsi="Times New Roman"/>
          <w:sz w:val="18"/>
          <w:szCs w:val="18"/>
          <w:b w:val="1"/>
          <w:bCs w:val="1"/>
          <w:color w:val="auto"/>
        </w:rPr>
        <w:t>Parties</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Company and Executive entered into an employment agreement dated September 8, 2015 (as amended, the “</w:t>
      </w:r>
      <w:r>
        <w:rPr>
          <w:rFonts w:ascii="Times New Roman" w:cs="Times New Roman" w:eastAsia="Times New Roman" w:hAnsi="Times New Roman"/>
          <w:sz w:val="18"/>
          <w:szCs w:val="18"/>
          <w:b w:val="1"/>
          <w:bCs w:val="1"/>
          <w:color w:val="auto"/>
        </w:rPr>
        <w:t>Employment Agreement</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WHEREAS</w:t>
      </w:r>
      <w:r>
        <w:rPr>
          <w:rFonts w:ascii="Times New Roman" w:cs="Times New Roman" w:eastAsia="Times New Roman" w:hAnsi="Times New Roman"/>
          <w:sz w:val="18"/>
          <w:szCs w:val="18"/>
          <w:color w:val="auto"/>
        </w:rPr>
        <w:t>, the Parties desire to amend certain provisions of the Employment Agreement related to Executive’s severance benefits;</w:t>
      </w:r>
    </w:p>
    <w:p>
      <w:pPr>
        <w:spacing w:after="0" w:line="225" w:lineRule="exact"/>
        <w:rPr>
          <w:sz w:val="20"/>
          <w:szCs w:val="20"/>
          <w:color w:val="auto"/>
        </w:rPr>
      </w:pPr>
    </w:p>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NOW, THEREFORE</w:t>
      </w:r>
      <w:r>
        <w:rPr>
          <w:rFonts w:ascii="Times New Roman" w:cs="Times New Roman" w:eastAsia="Times New Roman" w:hAnsi="Times New Roman"/>
          <w:sz w:val="18"/>
          <w:szCs w:val="18"/>
          <w:color w:val="auto"/>
        </w:rPr>
        <w:t>, in considerations of the promises, mutual covenants, and above recitals, including Executive’s continued employment,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sufficiency of which is hereby acknowledged, Executive and the Company hereby agree as follows:</w:t>
      </w:r>
    </w:p>
    <w:p>
      <w:pPr>
        <w:spacing w:after="0" w:line="159" w:lineRule="exact"/>
        <w:rPr>
          <w:sz w:val="20"/>
          <w:szCs w:val="20"/>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1220" w:hanging="240"/>
        <w:spacing w:after="0"/>
        <w:tabs>
          <w:tab w:leader="none" w:pos="12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7(a)(i) of the Employment Agreement, titled “Severance Payment,” is hereby amended and restated in its entirety as follows:</w:t>
      </w:r>
    </w:p>
    <w:p>
      <w:pPr>
        <w:spacing w:after="0" w:line="225" w:lineRule="exact"/>
        <w:rPr>
          <w:rFonts w:ascii="Times New Roman" w:cs="Times New Roman" w:eastAsia="Times New Roman" w:hAnsi="Times New Roman"/>
          <w:sz w:val="18"/>
          <w:szCs w:val="18"/>
          <w:color w:val="auto"/>
        </w:rPr>
      </w:pPr>
    </w:p>
    <w:p>
      <w:pPr>
        <w:jc w:val="both"/>
        <w:ind w:left="1620" w:firstLine="8"/>
        <w:spacing w:after="0" w:line="258" w:lineRule="auto"/>
        <w:tabs>
          <w:tab w:leader="none" w:pos="2280" w:val="left"/>
        </w:tabs>
        <w:numPr>
          <w:ilvl w:val="2"/>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Severance Payment</w:t>
      </w:r>
      <w:r>
        <w:rPr>
          <w:rFonts w:ascii="Times New Roman" w:cs="Times New Roman" w:eastAsia="Times New Roman" w:hAnsi="Times New Roman"/>
          <w:sz w:val="18"/>
          <w:szCs w:val="18"/>
          <w:color w:val="auto"/>
        </w:rPr>
        <w:t>. Executive will receive either (i) twelve (12) months of continuing payment of Executive’s Base Salary (as in effect immediately prior to Executive’s termination), but only if the Involuntary Termination occurs within the twelve (12) month period following a Change of Control, or (ii) three (3) months of continuing payment of Executive’s Base Salary (as in effect immediately prior to Executive’s termination). The payment of the continuing Base Salary will be less applicable withholding taxes and other legally required withholdings.</w:t>
      </w:r>
    </w:p>
    <w:p>
      <w:pPr>
        <w:spacing w:after="0" w:line="183"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Full Force and Effect</w:t>
      </w:r>
      <w:r>
        <w:rPr>
          <w:rFonts w:ascii="Times New Roman" w:cs="Times New Roman" w:eastAsia="Times New Roman" w:hAnsi="Times New Roman"/>
          <w:sz w:val="18"/>
          <w:szCs w:val="18"/>
          <w:color w:val="auto"/>
        </w:rPr>
        <w:t>. To the extent not expressly amended hereby, the Employment Agreement as previously amended shall remain in full force and effect.</w:t>
      </w:r>
    </w:p>
    <w:p>
      <w:pPr>
        <w:spacing w:after="0" w:line="161"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Amendment may be executed in counterparts, all of which together shall constitute one instrument, and each of which may be executed by less than all of the parties to this Amendment.</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will be governed by the laws of the State of California (with the exception of its conflict of laws provisions).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242570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40" w:name="page41"/>
    <w:bookmarkEnd w:id="40"/>
    <w:p>
      <w:pPr>
        <w:ind w:firstLine="648"/>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IN WITNESS WHEREOF, </w:t>
      </w:r>
      <w:r>
        <w:rPr>
          <w:rFonts w:ascii="Times New Roman" w:cs="Times New Roman" w:eastAsia="Times New Roman" w:hAnsi="Times New Roman"/>
          <w:sz w:val="18"/>
          <w:szCs w:val="18"/>
          <w:color w:val="auto"/>
        </w:rPr>
        <w:t>each of the Parties has executed this Amendment, in the case of the Company by its duly authorized officer, effective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as of the Amendment Date.</w:t>
      </w:r>
    </w:p>
    <w:p>
      <w:pPr>
        <w:spacing w:after="0" w:line="155" w:lineRule="exact"/>
        <w:rPr>
          <w:sz w:val="20"/>
          <w:szCs w:val="20"/>
          <w:color w:val="auto"/>
        </w:rPr>
      </w:pPr>
    </w:p>
    <w:tbl>
      <w:tblPr>
        <w:tblLayout w:type="fixed"/>
        <w:tblInd w:w="580" w:type="dxa"/>
        <w:tblCellMar>
          <w:top w:w="0" w:type="dxa"/>
          <w:left w:w="0" w:type="dxa"/>
          <w:bottom w:w="0" w:type="dxa"/>
          <w:right w:w="0" w:type="dxa"/>
        </w:tblCellMar>
      </w:tblPr>
      <w:tr>
        <w:trPr>
          <w:trHeight w:val="238"/>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PULSE BIOSCIENCES, INC.</w:t>
            </w: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8"/>
                <w:szCs w:val="18"/>
                <w:b w:val="1"/>
                <w:bCs w:val="1"/>
                <w:color w:val="auto"/>
              </w:rPr>
              <w:t>EXECUTIVE</w:t>
            </w:r>
          </w:p>
        </w:tc>
      </w:tr>
      <w:tr>
        <w:trPr>
          <w:trHeight w:val="432"/>
        </w:trPr>
        <w:tc>
          <w:tcPr>
            <w:tcW w:w="39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 Robert Duggan</w:t>
            </w: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/s/ Darrin Uecker</w:t>
            </w:r>
          </w:p>
        </w:tc>
      </w:tr>
      <w:tr>
        <w:trPr>
          <w:trHeight w:val="191"/>
        </w:trPr>
        <w:tc>
          <w:tcPr>
            <w:tcW w:w="3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w:t>
            </w:r>
          </w:p>
        </w:tc>
        <w:tc>
          <w:tcPr>
            <w:tcW w:w="1780" w:type="dxa"/>
            <w:vAlign w:val="bottom"/>
            <w:tcBorders>
              <w:top w:val="single" w:sz="8" w:color="auto"/>
            </w:tcBorders>
          </w:tcPr>
          <w:p>
            <w:pPr>
              <w:ind w:left="100"/>
              <w:spacing w:after="0" w:line="191" w:lineRule="exact"/>
              <w:rPr>
                <w:sz w:val="20"/>
                <w:szCs w:val="20"/>
                <w:color w:val="auto"/>
              </w:rPr>
            </w:pPr>
            <w:r>
              <w:rPr>
                <w:rFonts w:ascii="Times New Roman" w:cs="Times New Roman" w:eastAsia="Times New Roman" w:hAnsi="Times New Roman"/>
                <w:sz w:val="18"/>
                <w:szCs w:val="18"/>
                <w:color w:val="auto"/>
              </w:rPr>
              <w:t>Robert Duggan</w:t>
            </w:r>
          </w:p>
        </w:tc>
        <w:tc>
          <w:tcPr>
            <w:tcW w:w="1780" w:type="dxa"/>
            <w:vAlign w:val="bottom"/>
          </w:tcPr>
          <w:p>
            <w:pPr>
              <w:spacing w:after="0"/>
              <w:rPr>
                <w:sz w:val="16"/>
                <w:szCs w:val="16"/>
                <w:color w:val="auto"/>
              </w:rPr>
            </w:pPr>
          </w:p>
        </w:tc>
        <w:tc>
          <w:tcPr>
            <w:tcW w:w="1600" w:type="dxa"/>
            <w:vAlign w:val="bottom"/>
          </w:tcPr>
          <w:p>
            <w:pPr>
              <w:spacing w:after="0"/>
              <w:rPr>
                <w:sz w:val="16"/>
                <w:szCs w:val="16"/>
                <w:color w:val="auto"/>
              </w:rPr>
            </w:pPr>
          </w:p>
        </w:tc>
        <w:tc>
          <w:tcPr>
            <w:tcW w:w="2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By:  Darrin Uecker</w:t>
            </w:r>
          </w:p>
        </w:tc>
      </w:tr>
      <w:tr>
        <w:trPr>
          <w:trHeight w:val="234"/>
        </w:trPr>
        <w:tc>
          <w:tcPr>
            <w:tcW w:w="360" w:type="dxa"/>
            <w:vAlign w:val="bottom"/>
          </w:tcPr>
          <w:p>
            <w:pPr>
              <w:spacing w:after="0"/>
              <w:rPr>
                <w:sz w:val="20"/>
                <w:szCs w:val="20"/>
                <w:color w:val="auto"/>
              </w:rPr>
            </w:pPr>
            <w:r>
              <w:rPr>
                <w:rFonts w:ascii="Times New Roman" w:cs="Times New Roman" w:eastAsia="Times New Roman" w:hAnsi="Times New Roman"/>
                <w:sz w:val="18"/>
                <w:szCs w:val="18"/>
                <w:color w:val="auto"/>
              </w:rPr>
              <w:t>Its:</w:t>
            </w:r>
          </w:p>
        </w:tc>
        <w:tc>
          <w:tcPr>
            <w:tcW w:w="3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Executive Chairman</w:t>
            </w:r>
          </w:p>
        </w:tc>
        <w:tc>
          <w:tcPr>
            <w:tcW w:w="3720" w:type="dxa"/>
            <w:vAlign w:val="bottom"/>
            <w:gridSpan w:val="2"/>
          </w:tcPr>
          <w:p>
            <w:pPr>
              <w:ind w:left="1600"/>
              <w:spacing w:after="0"/>
              <w:rPr>
                <w:sz w:val="20"/>
                <w:szCs w:val="20"/>
                <w:color w:val="auto"/>
              </w:rPr>
            </w:pPr>
            <w:r>
              <w:rPr>
                <w:rFonts w:ascii="Times New Roman" w:cs="Times New Roman" w:eastAsia="Times New Roman" w:hAnsi="Times New Roman"/>
                <w:sz w:val="18"/>
                <w:szCs w:val="18"/>
                <w:color w:val="auto"/>
              </w:rPr>
              <w:t>Date: May 12, 2024</w:t>
            </w:r>
          </w:p>
        </w:tc>
      </w:tr>
    </w:tbl>
    <w:p>
      <w:pPr>
        <w:ind w:left="580"/>
        <w:spacing w:after="0"/>
        <w:rPr>
          <w:sz w:val="20"/>
          <w:szCs w:val="20"/>
          <w:color w:val="auto"/>
        </w:rPr>
      </w:pPr>
      <w:r>
        <w:rPr>
          <w:rFonts w:ascii="Times New Roman" w:cs="Times New Roman" w:eastAsia="Times New Roman" w:hAnsi="Times New Roman"/>
          <w:sz w:val="18"/>
          <w:szCs w:val="18"/>
          <w:color w:val="auto"/>
        </w:rPr>
        <w:t>Date: May 12, 2024</w:t>
      </w:r>
    </w:p>
    <w:p>
      <w:pPr>
        <w:sectPr>
          <w:pgSz w:w="11900" w:h="16838" w:orient="portrait"/>
          <w:cols w:equalWidth="0" w:num="1">
            <w:col w:w="11240"/>
          </w:cols>
          <w:pgMar w:left="320" w:top="576" w:right="339" w:bottom="1440" w:gutter="0" w:footer="0" w:header="0"/>
        </w:sectPr>
      </w:pPr>
    </w:p>
    <w:bookmarkStart w:id="41" w:name="page42"/>
    <w:bookmarkEnd w:id="41"/>
    <w:p>
      <w:pPr>
        <w:jc w:val="right"/>
        <w:spacing w:after="0"/>
        <w:rPr>
          <w:sz w:val="20"/>
          <w:szCs w:val="20"/>
          <w:color w:val="auto"/>
        </w:rPr>
      </w:pPr>
      <w:r>
        <w:rPr>
          <w:rFonts w:ascii="Calibri" w:cs="Calibri" w:eastAsia="Calibri" w:hAnsi="Calibri"/>
          <w:sz w:val="18"/>
          <w:szCs w:val="18"/>
          <w:b w:val="1"/>
          <w:bCs w:val="1"/>
          <w:color w:val="auto"/>
        </w:rPr>
        <w:t>Exhibit 99.1</w:t>
      </w:r>
    </w:p>
    <w:p>
      <w:pPr>
        <w:spacing w:after="0" w:line="200" w:lineRule="exact"/>
        <w:rPr>
          <w:sz w:val="20"/>
          <w:szCs w:val="20"/>
          <w:color w:val="auto"/>
        </w:rPr>
      </w:pPr>
    </w:p>
    <w:p>
      <w:pPr>
        <w:spacing w:after="0" w:line="215"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b w:val="1"/>
          <w:bCs w:val="1"/>
          <w:color w:val="auto"/>
        </w:rPr>
        <w:t>Pulse Biosciences Enhances Executve Leadership Team</w:t>
      </w:r>
    </w:p>
    <w:p>
      <w:pPr>
        <w:spacing w:after="0" w:line="212" w:lineRule="exact"/>
        <w:rPr>
          <w:sz w:val="20"/>
          <w:szCs w:val="20"/>
          <w:color w:val="auto"/>
        </w:rPr>
      </w:pPr>
    </w:p>
    <w:p>
      <w:pPr>
        <w:ind w:left="1580"/>
        <w:spacing w:after="0"/>
        <w:rPr>
          <w:sz w:val="20"/>
          <w:szCs w:val="20"/>
          <w:color w:val="auto"/>
        </w:rPr>
      </w:pPr>
      <w:r>
        <w:rPr>
          <w:rFonts w:ascii="Calibri" w:cs="Calibri" w:eastAsia="Calibri" w:hAnsi="Calibri"/>
          <w:sz w:val="18"/>
          <w:szCs w:val="18"/>
          <w:i w:val="1"/>
          <w:iCs w:val="1"/>
          <w:color w:val="auto"/>
        </w:rPr>
        <w:t>Appoints proven atrial fbrillaton medical technology leader Burke T. Barret as President and Chief Executve Ofcer</w:t>
      </w:r>
    </w:p>
    <w:p>
      <w:pPr>
        <w:spacing w:after="0" w:line="212" w:lineRule="exact"/>
        <w:rPr>
          <w:sz w:val="20"/>
          <w:szCs w:val="20"/>
          <w:color w:val="auto"/>
        </w:rPr>
      </w:pPr>
    </w:p>
    <w:p>
      <w:pPr>
        <w:jc w:val="center"/>
        <w:ind w:right="-159"/>
        <w:spacing w:after="0"/>
        <w:rPr>
          <w:sz w:val="20"/>
          <w:szCs w:val="20"/>
          <w:color w:val="auto"/>
        </w:rPr>
      </w:pPr>
      <w:r>
        <w:rPr>
          <w:rFonts w:ascii="Calibri" w:cs="Calibri" w:eastAsia="Calibri" w:hAnsi="Calibri"/>
          <w:sz w:val="18"/>
          <w:szCs w:val="18"/>
          <w:i w:val="1"/>
          <w:iCs w:val="1"/>
          <w:color w:val="auto"/>
        </w:rPr>
        <w:t>Former President and Chief Executve Ofcer Kevin Danahy appointed as Chief Commercial Ofcer</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b w:val="1"/>
          <w:bCs w:val="1"/>
          <w:color w:val="auto"/>
        </w:rPr>
        <w:t xml:space="preserve">HAYWARD, Calif. [Business Wire] </w:t>
      </w:r>
      <w:r>
        <w:rPr>
          <w:rFonts w:ascii="Calibri" w:cs="Calibri" w:eastAsia="Calibri" w:hAnsi="Calibri"/>
          <w:sz w:val="18"/>
          <w:szCs w:val="18"/>
          <w:color w:val="auto"/>
        </w:rPr>
        <w:t>– May 14, 2024 -- Pulse Biosciences, Inc. (Nasdaq: PLSE), a company leveraging its novel and proprietary CellFX®</w:t>
      </w:r>
      <w:r>
        <w:rPr>
          <w:rFonts w:ascii="Calibri" w:cs="Calibri" w:eastAsia="Calibri" w:hAnsi="Calibri"/>
          <w:sz w:val="18"/>
          <w:szCs w:val="18"/>
          <w:b w:val="1"/>
          <w:bCs w:val="1"/>
          <w:color w:val="auto"/>
        </w:rPr>
        <w:t xml:space="preserve"> </w:t>
      </w:r>
      <w:r>
        <w:rPr>
          <w:rFonts w:ascii="Calibri" w:cs="Calibri" w:eastAsia="Calibri" w:hAnsi="Calibri"/>
          <w:sz w:val="18"/>
          <w:szCs w:val="18"/>
          <w:color w:val="auto"/>
        </w:rPr>
        <w:t>Nanosecond Pulsed Field Ablaton™ (nsPFA™) technology (“Pulse”), today announced enhancements to its executve leadership team to support its next pivotal phase of growth.</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color w:val="auto"/>
        </w:rPr>
        <w:t>Proven atrial fbrillaton medical technology leader Burke T. Barret has been appointed President and Chief Executve Ofcer efectve immediately.</w:t>
      </w:r>
    </w:p>
    <w:p>
      <w:pPr>
        <w:spacing w:after="0" w:line="235" w:lineRule="auto"/>
        <w:rPr>
          <w:sz w:val="20"/>
          <w:szCs w:val="20"/>
          <w:color w:val="auto"/>
        </w:rPr>
      </w:pPr>
      <w:r>
        <w:rPr>
          <w:rFonts w:ascii="Calibri" w:cs="Calibri" w:eastAsia="Calibri" w:hAnsi="Calibri"/>
          <w:sz w:val="18"/>
          <w:szCs w:val="18"/>
          <w:color w:val="auto"/>
        </w:rPr>
        <w:t>Concurrently, the Company announced the appointment of Kevin Danahy, former President and Chief Executve Ofcer, as Chief Commercial Ofcer. Mr.</w:t>
      </w:r>
    </w:p>
    <w:p>
      <w:pPr>
        <w:spacing w:after="0" w:line="236" w:lineRule="auto"/>
        <w:rPr>
          <w:sz w:val="20"/>
          <w:szCs w:val="20"/>
          <w:color w:val="auto"/>
        </w:rPr>
      </w:pPr>
      <w:r>
        <w:rPr>
          <w:rFonts w:ascii="Calibri" w:cs="Calibri" w:eastAsia="Calibri" w:hAnsi="Calibri"/>
          <w:sz w:val="18"/>
          <w:szCs w:val="18"/>
          <w:color w:val="auto"/>
        </w:rPr>
        <w:t>Danahy will now focus his full tme leading the pilot launch of the recently FDA cleared CellFX nsPFA Percutaneous Electrode System.</w:t>
      </w:r>
    </w:p>
    <w:p>
      <w:pPr>
        <w:spacing w:after="0" w:line="21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“Burke is a very talented executve, who has demonstrated strong leadership and operatonal acumen throughout his medical device career. With Pulse’s focus on bringing the patent and physician friendly benefts of Nanosecond Pulse Field Ablaton into electrophysiology and cardiac surgery, we are thrilled to have someone with Burke’s industry stature and expertse lead team Pulse,” said Robert W. Duggan, Executve Chairman of Pulse Biosciences. “Together with Burke’s expertse and Kevin leading as Chief Commercial Ofcer, Pulse Biosciences is positoned to unlock the full potental of our proprietarily designed and engineered CellFX nsPFA energy delivery system and its three novel proprietary end-efector devices.”</w:t>
      </w:r>
    </w:p>
    <w:p>
      <w:pPr>
        <w:spacing w:after="0" w:line="220" w:lineRule="exact"/>
        <w:rPr>
          <w:sz w:val="20"/>
          <w:szCs w:val="20"/>
          <w:color w:val="auto"/>
        </w:rPr>
      </w:pPr>
    </w:p>
    <w:p>
      <w:pPr>
        <w:jc w:val="both"/>
        <w:spacing w:after="0" w:line="251" w:lineRule="auto"/>
        <w:rPr>
          <w:sz w:val="20"/>
          <w:szCs w:val="20"/>
          <w:color w:val="auto"/>
        </w:rPr>
      </w:pPr>
      <w:r>
        <w:rPr>
          <w:rFonts w:ascii="Calibri" w:cs="Calibri" w:eastAsia="Calibri" w:hAnsi="Calibri"/>
          <w:sz w:val="17"/>
          <w:szCs w:val="17"/>
          <w:color w:val="auto"/>
        </w:rPr>
        <w:t>Mr. Barret is a hands-on leader and executve with more than 35 years of experience building teams that bring novel, complex medical devices from concept, through design validaton, clinical studies, regulatory approvals, and manufacturing scale-up to commercializaton. During his eighteen years at CardioFocus, Inc., Burke held a number of positons of increasing responsibility and was part of the team that built a pioneering electrophysiology ablaton device and a global commercial company, departng as CEO and President. Previously, he was part of the teams that successfully took two companies public, Biofeld Corp. and Cyberkinetcs Neurotechnology Systems, Inc., and has been an ofcer of two public companies – Cyberonics, Inc., as Vice President of Business and Technology Development, and Cyberkinetcs, as Vice President of Clinical Operatons. Mr. Barret was also an actve member of the FDA’s Circulatory System Medical Devices Advisory Panel for four years. Currently, he sits on the Board of Directors of VDI Technologies. Mr. Barret holds Bachelor’s degrees in Chemistry and Chemical Engineering from Syracuse University and a Masters in Business Administraton from Kennesaw State University.</w:t>
      </w:r>
    </w:p>
    <w:p>
      <w:pPr>
        <w:spacing w:after="0" w:line="208"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“Joining Team Pulse at this important tme for the Company represents a unique and excitng opportunity to make a material diference for the beterment of patents, physicians, and care givers,” added Mr. Barret. “I’ve spent the majority of my career working closely with electrophysiologists and introducing them to novel technologies, and I believe that CellFX nsPFA energy has the potental to advance the standard of care for the treatment of atrial fbrillaton and additonal disease states. The preclinical and inital clinical data provides a solid foundaton to build upon, as we contnue to seek regulatory approvals in the United States and other parts of the world. I look forward to working closely with the talented executve team and Board of Directors as Pulse enters this next phase of growth.”</w:t>
      </w:r>
    </w:p>
    <w:p>
      <w:pPr>
        <w:spacing w:after="0" w:line="221"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“It is an honor to be a key team member in leading Pulse Biosciences into this iconic and historic opportunity. I look forward to working closely with Burke in both learning from his vast experience as well as sharing my knowledge and experience with him as Team Pulse Biosciences launches our novel CellFX nsPFA Percutaneous Electrode System and achieves meaningful progress toward commercial opportunites in cardiac ablaton,” said Kevin Danahy.</w:t>
      </w:r>
    </w:p>
    <w:p>
      <w:pPr>
        <w:spacing w:after="0" w:line="214"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Inducement Grants</w:t>
      </w:r>
    </w:p>
    <w:p>
      <w:pPr>
        <w:spacing w:after="0" w:line="217"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In connecton with his appointment, the Company granted Mr. Barret optons to purchase 1,400,000 shares of the Company’s common stock, in aggregate, at an exercise price equal to $7.45 per share, the closing price of the Company’s common stock on May 10, 2024, the last trading day preceding Mr. Barret’s employment start date and date of grant. These awards were approved by Pulse’s Board of Directors and granted under its 2017 Inducement Equity Incentve Plan, as amended to date, as an inducement material to Mr. Barret entering into employment with Pulse, in accordance with Nasdaq Listng Rule 5635(c)(4). Subject to Mr. Barret being contnuously employed by the Company through each applicable vestng date, half of the opton shares will vest over four years, with 175,000 shares subject to the optons vestng on the frst four anniversaries of Mr. Barret’s employment start date, and half of the optons shares will vest upon the achievement of market capitalizaton milestones for the Company ranging from $1 billion to $4 billion. The Company is providing this informaton in accordance with Nasdaq Listng Rule 5635(c)(4).</w:t>
      </w:r>
    </w:p>
    <w:p>
      <w:pPr>
        <w:spacing w:after="0" w:line="121"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About Pulse Biosciences</w:t>
      </w:r>
      <w:r>
        <w:rPr>
          <w:rFonts w:ascii="Calibri" w:cs="Calibri" w:eastAsia="Calibri" w:hAnsi="Calibri"/>
          <w:sz w:val="29"/>
          <w:szCs w:val="29"/>
          <w:color w:val="auto"/>
          <w:vertAlign w:val="superscript"/>
        </w:rPr>
        <w:t>®</w:t>
      </w:r>
    </w:p>
    <w:p>
      <w:pPr>
        <w:jc w:val="both"/>
        <w:spacing w:after="0" w:line="225" w:lineRule="auto"/>
        <w:rPr>
          <w:sz w:val="20"/>
          <w:szCs w:val="20"/>
          <w:color w:val="auto"/>
        </w:rPr>
      </w:pPr>
      <w:r>
        <w:rPr>
          <w:rFonts w:ascii="Calibri" w:cs="Calibri" w:eastAsia="Calibri" w:hAnsi="Calibri"/>
          <w:sz w:val="18"/>
          <w:szCs w:val="18"/>
          <w:color w:val="auto"/>
        </w:rPr>
        <w:t>Pulse Biosciences is a novel bioelectric medicine company commited to health innovaton that has the potental to improve the quality of life for patents. The Company’s proprietary CellFX® nsPFA™ technology delivers nanosecond pulses of electrical energy to non-thermally clear cells while sparing adjacent noncellular tssue. The Company is actvely pursuing the development of its CellFX nsPFA technology for use in the treatment of atrial fbrillaton and in a select few other markets where it could have a profound positve impact on healthcare for both patents and providers.</w:t>
      </w:r>
    </w:p>
    <w:p>
      <w:pPr>
        <w:spacing w:after="0" w:line="220" w:lineRule="exact"/>
        <w:rPr>
          <w:sz w:val="20"/>
          <w:szCs w:val="20"/>
          <w:color w:val="auto"/>
        </w:rPr>
      </w:pPr>
    </w:p>
    <w:p>
      <w:pPr>
        <w:jc w:val="both"/>
        <w:spacing w:after="0" w:line="235" w:lineRule="auto"/>
        <w:rPr>
          <w:sz w:val="20"/>
          <w:szCs w:val="20"/>
          <w:color w:val="auto"/>
        </w:rPr>
      </w:pPr>
      <w:r>
        <w:rPr>
          <w:rFonts w:ascii="Calibri" w:cs="Calibri" w:eastAsia="Calibri" w:hAnsi="Calibri"/>
          <w:sz w:val="18"/>
          <w:szCs w:val="18"/>
          <w:color w:val="auto"/>
        </w:rPr>
        <w:t>Pulse Biosciences, CellFX, Nano-Pulse Stmulaton, NPS, nsPFA, CellFX nsPFA and the stylized logos are among the trademarks and/or registered trademarks of Pulse Biosciences, Inc. in the United States and other countries.</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Forward-Looking Statements</w:t>
      </w:r>
    </w:p>
    <w:p>
      <w:pPr>
        <w:spacing w:after="0" w:line="1" w:lineRule="exact"/>
        <w:rPr>
          <w:sz w:val="20"/>
          <w:szCs w:val="20"/>
          <w:color w:val="auto"/>
        </w:rPr>
      </w:pPr>
    </w:p>
    <w:p>
      <w:pPr>
        <w:jc w:val="both"/>
        <w:spacing w:after="0" w:line="250" w:lineRule="auto"/>
        <w:rPr>
          <w:sz w:val="20"/>
          <w:szCs w:val="20"/>
          <w:color w:val="auto"/>
        </w:rPr>
      </w:pPr>
      <w:r>
        <w:rPr>
          <w:rFonts w:ascii="Calibri" w:cs="Calibri" w:eastAsia="Calibri" w:hAnsi="Calibri"/>
          <w:sz w:val="17"/>
          <w:szCs w:val="17"/>
          <w:color w:val="auto"/>
        </w:rPr>
        <w:t>All statements in this press release that are not historical are forward-looking statements, including, among other things, statements relatng to the efectveness of the Company’s CellFX nsPFA technology and CellFX System to non-thermally clear cells while sparing adjacent non-cellular tssue, statements concerning the Company’s management team and whether they can unlock the full potental of the Company’s proprietarily designed and engineered CellFX nsPFA energy delivery system and its three novel proprietary end-efector devices, expected product development eforts and plans to sell products commercially and grow the Company, statements concerning the Company’s future fundraising eforts and whether those eforts will be successful and allow the Company to contnue current operatons as planned, statements concerning early clinical successes and whether they are predictve of the safety and efcacy of any medical device, and the Company’s expectatons, whether stated or implied, regarding whether the Company’s CellFX nsPFA technology will become a disruptve and durable treatment opton for treatng any medical conditon, and other future events. These statements are not historical facts but rather are based on Pulse Biosciences’ current expectatons, estmates, and projectons regarding Pulse Biosciences’ business, operatons and other similar or related factors. Words such as “may,” “will,” “could,” “would,” “should,” “antcipate,” “predict,” “potental,” “contnue,” “expects,” “intends,” “plans,” “projects,” “believes,” “estmates,” and other similar or related expressions are used to identfy these forward-looking statements, although not all forward-looking statements contain these words. You should not place undue reliance on forward-looking statements because they involve known and unknown risks,</w:t>
      </w:r>
    </w:p>
    <w:p>
      <w:pPr>
        <w:sectPr>
          <w:pgSz w:w="11900" w:h="16838" w:orient="portrait"/>
          <w:cols w:equalWidth="0" w:num="1">
            <w:col w:w="11240"/>
          </w:cols>
          <w:pgMar w:left="320" w:top="112" w:right="339" w:bottom="0" w:gutter="0" w:footer="0" w:header="0"/>
        </w:sectPr>
      </w:pPr>
    </w:p>
    <w:bookmarkStart w:id="42" w:name="page43"/>
    <w:bookmarkEnd w:id="42"/>
    <w:p>
      <w:pPr>
        <w:jc w:val="both"/>
        <w:spacing w:after="0" w:line="235" w:lineRule="auto"/>
        <w:rPr>
          <w:sz w:val="20"/>
          <w:szCs w:val="20"/>
          <w:color w:val="auto"/>
        </w:rPr>
      </w:pPr>
      <w:r>
        <w:rPr>
          <w:rFonts w:ascii="Calibri" w:cs="Calibri" w:eastAsia="Calibri" w:hAnsi="Calibri"/>
          <w:sz w:val="18"/>
          <w:szCs w:val="18"/>
          <w:color w:val="auto"/>
        </w:rPr>
        <w:t>uncertaintes, and assumptons that are difcult or impossible to predict and, in some cases, beyond Pulse Biosciences’ control. Actual results may difer materially from those in the forward-looking statements as a result of a number of factors, including those described in Pulse Biosciences’ flings with the Securites and Exchange Commission. Pulse Biosciences undertakes no obligaton to revise or update informaton in this release to refect events or circumstances in the future, even if new informaton becomes available.</w:t>
      </w:r>
    </w:p>
    <w:p>
      <w:pPr>
        <w:spacing w:after="0" w:line="215" w:lineRule="exact"/>
        <w:rPr>
          <w:sz w:val="20"/>
          <w:szCs w:val="20"/>
          <w:color w:val="auto"/>
        </w:rPr>
      </w:pPr>
    </w:p>
    <w:p>
      <w:pPr>
        <w:spacing w:after="0"/>
        <w:rPr>
          <w:sz w:val="20"/>
          <w:szCs w:val="20"/>
          <w:color w:val="auto"/>
        </w:rPr>
      </w:pPr>
      <w:r>
        <w:rPr>
          <w:rFonts w:ascii="Calibri" w:cs="Calibri" w:eastAsia="Calibri" w:hAnsi="Calibri"/>
          <w:sz w:val="18"/>
          <w:szCs w:val="18"/>
          <w:b w:val="1"/>
          <w:bCs w:val="1"/>
          <w:color w:val="auto"/>
        </w:rPr>
        <w:t>Investor Contacts:</w:t>
      </w:r>
    </w:p>
    <w:p>
      <w:pPr>
        <w:spacing w:after="0" w:line="235" w:lineRule="auto"/>
        <w:rPr>
          <w:sz w:val="20"/>
          <w:szCs w:val="20"/>
          <w:color w:val="auto"/>
        </w:rPr>
      </w:pPr>
      <w:r>
        <w:rPr>
          <w:rFonts w:ascii="Calibri" w:cs="Calibri" w:eastAsia="Calibri" w:hAnsi="Calibri"/>
          <w:sz w:val="18"/>
          <w:szCs w:val="18"/>
          <w:color w:val="auto"/>
        </w:rPr>
        <w:t>Pulse Biosciences</w:t>
      </w:r>
    </w:p>
    <w:p>
      <w:pPr>
        <w:spacing w:after="0" w:line="236" w:lineRule="auto"/>
        <w:rPr>
          <w:sz w:val="20"/>
          <w:szCs w:val="20"/>
          <w:color w:val="auto"/>
        </w:rPr>
      </w:pPr>
      <w:r>
        <w:rPr>
          <w:rFonts w:ascii="Calibri" w:cs="Calibri" w:eastAsia="Calibri" w:hAnsi="Calibri"/>
          <w:sz w:val="18"/>
          <w:szCs w:val="18"/>
          <w:color w:val="auto"/>
        </w:rPr>
        <w:t>Kevin Danahy, President and CEO</w:t>
      </w:r>
    </w:p>
    <w:p>
      <w:pPr>
        <w:spacing w:after="0" w:line="236" w:lineRule="auto"/>
        <w:rPr>
          <w:sz w:val="20"/>
          <w:szCs w:val="20"/>
          <w:color w:val="auto"/>
        </w:rPr>
      </w:pPr>
      <w:r>
        <w:rPr>
          <w:rFonts w:ascii="Calibri" w:cs="Calibri" w:eastAsia="Calibri" w:hAnsi="Calibri"/>
          <w:sz w:val="18"/>
          <w:szCs w:val="18"/>
          <w:color w:val="auto"/>
        </w:rPr>
        <w:t>510.241.1077</w:t>
      </w:r>
    </w:p>
    <w:p>
      <w:pPr>
        <w:spacing w:after="0" w:line="236" w:lineRule="auto"/>
        <w:rPr>
          <w:sz w:val="20"/>
          <w:szCs w:val="20"/>
          <w:color w:val="auto"/>
        </w:rPr>
      </w:pPr>
      <w:r>
        <w:rPr>
          <w:rFonts w:ascii="Calibri" w:cs="Calibri" w:eastAsia="Calibri" w:hAnsi="Calibri"/>
          <w:sz w:val="18"/>
          <w:szCs w:val="18"/>
          <w:color w:val="auto"/>
        </w:rPr>
        <w:t>IR@pulsebiosciences.com</w:t>
      </w:r>
    </w:p>
    <w:p>
      <w:pPr>
        <w:spacing w:after="0" w:line="213" w:lineRule="exact"/>
        <w:rPr>
          <w:sz w:val="20"/>
          <w:szCs w:val="20"/>
          <w:color w:val="auto"/>
        </w:rPr>
      </w:pPr>
    </w:p>
    <w:p>
      <w:pPr>
        <w:spacing w:after="0"/>
        <w:rPr>
          <w:sz w:val="20"/>
          <w:szCs w:val="20"/>
          <w:color w:val="auto"/>
        </w:rPr>
      </w:pPr>
      <w:r>
        <w:rPr>
          <w:rFonts w:ascii="Calibri" w:cs="Calibri" w:eastAsia="Calibri" w:hAnsi="Calibri"/>
          <w:sz w:val="18"/>
          <w:szCs w:val="18"/>
          <w:color w:val="auto"/>
        </w:rPr>
        <w:t>or</w:t>
      </w:r>
    </w:p>
    <w:p>
      <w:pPr>
        <w:spacing w:after="0" w:line="235" w:lineRule="auto"/>
        <w:rPr>
          <w:sz w:val="20"/>
          <w:szCs w:val="20"/>
          <w:color w:val="auto"/>
        </w:rPr>
      </w:pPr>
      <w:r>
        <w:rPr>
          <w:rFonts w:ascii="Calibri" w:cs="Calibri" w:eastAsia="Calibri" w:hAnsi="Calibri"/>
          <w:sz w:val="18"/>
          <w:szCs w:val="18"/>
          <w:color w:val="auto"/>
        </w:rPr>
        <w:t>Gilmartn Group</w:t>
      </w:r>
    </w:p>
    <w:p>
      <w:pPr>
        <w:spacing w:after="0" w:line="236" w:lineRule="auto"/>
        <w:rPr>
          <w:sz w:val="20"/>
          <w:szCs w:val="20"/>
          <w:color w:val="auto"/>
        </w:rPr>
      </w:pPr>
      <w:r>
        <w:rPr>
          <w:rFonts w:ascii="Calibri" w:cs="Calibri" w:eastAsia="Calibri" w:hAnsi="Calibri"/>
          <w:sz w:val="18"/>
          <w:szCs w:val="18"/>
          <w:color w:val="auto"/>
        </w:rPr>
        <w:t>Philip Trip Taylor</w:t>
      </w:r>
    </w:p>
    <w:p>
      <w:pPr>
        <w:spacing w:after="0" w:line="236" w:lineRule="auto"/>
        <w:rPr>
          <w:sz w:val="20"/>
          <w:szCs w:val="20"/>
          <w:color w:val="auto"/>
        </w:rPr>
      </w:pPr>
      <w:r>
        <w:rPr>
          <w:rFonts w:ascii="Calibri" w:cs="Calibri" w:eastAsia="Calibri" w:hAnsi="Calibri"/>
          <w:sz w:val="18"/>
          <w:szCs w:val="18"/>
          <w:color w:val="auto"/>
        </w:rPr>
        <w:t>415.937.5406</w:t>
      </w:r>
    </w:p>
    <w:p>
      <w:pPr>
        <w:spacing w:after="0" w:line="236" w:lineRule="auto"/>
        <w:rPr>
          <w:sz w:val="20"/>
          <w:szCs w:val="20"/>
          <w:color w:val="auto"/>
        </w:rPr>
      </w:pPr>
      <w:r>
        <w:rPr>
          <w:rFonts w:ascii="Calibri" w:cs="Calibri" w:eastAsia="Calibri" w:hAnsi="Calibri"/>
          <w:sz w:val="18"/>
          <w:szCs w:val="18"/>
          <w:color w:val="auto"/>
        </w:rPr>
        <w:t>philip@gilmartnir.com</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1F32454"/>
    <w:multiLevelType w:val="hybridMultilevel"/>
    <w:lvl w:ilvl="0">
      <w:lvlJc w:val="left"/>
      <w:lvlText w:val="☐"/>
      <w:numFmt w:val="bullet"/>
      <w:start w:val="1"/>
    </w:lvl>
  </w:abstractNum>
  <w:abstractNum w:abstractNumId="1">
    <w:nsid w:val="2CA88611"/>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2">
    <w:nsid w:val="836C40E"/>
    <w:multiLevelType w:val="hybridMultilevel"/>
    <w:lvl w:ilvl="0">
      <w:lvlJc w:val="left"/>
      <w:lvlText w:val="%1."/>
      <w:numFmt w:val="decimal"/>
      <w:start w:val="4"/>
    </w:lvl>
  </w:abstractNum>
  <w:abstractNum w:abstractNumId="3">
    <w:nsid w:val="2901D82"/>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
    <w:nsid w:val="3A95F874"/>
    <w:multiLevelType w:val="hybridMultilevel"/>
    <w:lvl w:ilvl="0">
      <w:lvlJc w:val="left"/>
      <w:lvlText w:val="(%1)"/>
      <w:numFmt w:val="lowerRoman"/>
      <w:start w:val="1"/>
    </w:lvl>
  </w:abstractNum>
  <w:abstractNum w:abstractNumId="5">
    <w:nsid w:val="8138641"/>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3"/>
    </w:lvl>
  </w:abstractNum>
  <w:abstractNum w:abstractNumId="6">
    <w:nsid w:val="1E7FF521"/>
    <w:multiLevelType w:val="hybridMultilevel"/>
    <w:lvl w:ilvl="0">
      <w:lvlJc w:val="left"/>
      <w:lvlText w:val="(%1)"/>
      <w:numFmt w:val="decimal"/>
      <w:start w:val="1"/>
    </w:lvl>
    <w:lvl w:ilvl="1">
      <w:lvlJc w:val="left"/>
      <w:lvlText w:val="%2."/>
      <w:numFmt w:val="decimal"/>
      <w:start w:val="8"/>
    </w:lvl>
    <w:lvl w:ilvl="2">
      <w:lvlJc w:val="left"/>
      <w:lvlText w:val="(%3)"/>
      <w:numFmt w:val="lowerLetter"/>
      <w:start w:val="3"/>
    </w:lvl>
    <w:lvl w:ilvl="3">
      <w:lvlJc w:val="left"/>
      <w:lvlText w:val="(%4)"/>
      <w:numFmt w:val="lowerRoman"/>
      <w:start w:val="4"/>
    </w:lvl>
  </w:abstractNum>
  <w:abstractNum w:abstractNumId="7">
    <w:nsid w:val="7C3DBD3D"/>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8">
    <w:nsid w:val="737B8DDC"/>
    <w:multiLevelType w:val="hybridMultilevel"/>
    <w:lvl w:ilvl="0">
      <w:lvlJc w:val="left"/>
      <w:lvlText w:val="(%1)"/>
      <w:numFmt w:val="decimal"/>
      <w:start w:val="3"/>
    </w:lvl>
    <w:lvl w:ilvl="1">
      <w:lvlJc w:val="left"/>
      <w:lvlText w:val="%2"/>
      <w:numFmt w:val="decimal"/>
      <w:start w:val="1"/>
    </w:lvl>
    <w:lvl w:ilvl="2">
      <w:lvlJc w:val="left"/>
      <w:lvlText w:val="%3"/>
      <w:numFmt w:val="lowerLetter"/>
      <w:start w:val="1"/>
    </w:lvl>
    <w:lvl w:ilvl="3">
      <w:lvlJc w:val="left"/>
      <w:lvlText w:val="%4"/>
      <w:numFmt w:val="lowerRoman"/>
      <w:start w:val="1"/>
    </w:lvl>
  </w:abstractNum>
  <w:abstractNum w:abstractNumId="9">
    <w:nsid w:val="6CEAF087"/>
    <w:multiLevelType w:val="hybridMultilevel"/>
    <w:lvl w:ilvl="0">
      <w:lvlJc w:val="left"/>
      <w:lvlText w:val="%1."/>
      <w:numFmt w:val="decimal"/>
      <w:start w:val="10"/>
    </w:lvl>
    <w:lvl w:ilvl="1">
      <w:lvlJc w:val="left"/>
      <w:lvlText w:val="(%2)"/>
      <w:numFmt w:val="lowerLetter"/>
      <w:start w:val="1"/>
    </w:lvl>
    <w:lvl w:ilvl="2">
      <w:lvlJc w:val="left"/>
      <w:lvlText w:val="(%3)"/>
      <w:numFmt w:val="lowerRoman"/>
      <w:start w:val="1"/>
    </w:lvl>
  </w:abstractNum>
  <w:abstractNum w:abstractNumId="10">
    <w:nsid w:val="22221A70"/>
    <w:multiLevelType w:val="hybridMultilevel"/>
    <w:lvl w:ilvl="0">
      <w:lvlJc w:val="left"/>
      <w:lvlText w:val="(%1)"/>
      <w:numFmt w:val="lowerRoman"/>
      <w:start w:val="3"/>
    </w:lvl>
  </w:abstractNum>
  <w:abstractNum w:abstractNumId="11">
    <w:nsid w:val="4516DDE9"/>
    <w:multiLevelType w:val="hybridMultilevel"/>
    <w:lvl w:ilvl="0">
      <w:lvlJc w:val="left"/>
      <w:lvlText w:val="(%1)"/>
      <w:numFmt w:val="lowerLetter"/>
      <w:start w:val="3"/>
    </w:lvl>
  </w:abstractNum>
  <w:abstractNum w:abstractNumId="12">
    <w:nsid w:val="3006C83E"/>
    <w:multiLevelType w:val="hybridMultilevel"/>
    <w:lvl w:ilvl="0">
      <w:lvlJc w:val="left"/>
      <w:lvlText w:val="%1"/>
      <w:numFmt w:val="decimal"/>
      <w:start w:val="1"/>
    </w:lvl>
    <w:lvl w:ilvl="1">
      <w:lvlJc w:val="left"/>
      <w:lvlText w:val="(%2)"/>
      <w:numFmt w:val="lowerLetter"/>
      <w:start w:val="6"/>
    </w:lvl>
  </w:abstractNum>
  <w:abstractNum w:abstractNumId="13">
    <w:nsid w:val="614FD4A1"/>
    <w:multiLevelType w:val="hybridMultilevel"/>
    <w:lvl w:ilvl="0">
      <w:lvlJc w:val="left"/>
      <w:lvlText w:val="%1."/>
      <w:numFmt w:val="decimal"/>
      <w:start w:val="11"/>
    </w:lvl>
    <w:lvl w:ilvl="1">
      <w:lvlJc w:val="left"/>
      <w:lvlText w:val="%2"/>
      <w:numFmt w:val="lowerLetter"/>
      <w:start w:val="1"/>
    </w:lvl>
  </w:abstractNum>
  <w:abstractNum w:abstractNumId="14">
    <w:nsid w:val="419AC241"/>
    <w:multiLevelType w:val="hybridMultilevel"/>
    <w:lvl w:ilvl="0">
      <w:lvlJc w:val="left"/>
      <w:lvlText w:val="%1."/>
      <w:numFmt w:val="decimal"/>
      <w:start w:val="13"/>
    </w:lvl>
  </w:abstractNum>
  <w:abstractNum w:abstractNumId="15">
    <w:nsid w:val="5577F8E1"/>
    <w:multiLevelType w:val="hybridMultilevel"/>
    <w:lvl w:ilvl="0">
      <w:lvlJc w:val="left"/>
      <w:lvlText w:val="%1."/>
      <w:numFmt w:val="decimal"/>
      <w:start w:val="17"/>
    </w:lvl>
    <w:lvl w:ilvl="1">
      <w:lvlJc w:val="left"/>
      <w:lvlText w:val="(%2)"/>
      <w:numFmt w:val="lowerLetter"/>
      <w:start w:val="1"/>
    </w:lvl>
  </w:abstractNum>
  <w:abstractNum w:abstractNumId="16">
    <w:nsid w:val="440BADFC"/>
    <w:multiLevelType w:val="hybridMultilevel"/>
    <w:lvl w:ilvl="0">
      <w:lvlJc w:val="left"/>
      <w:lvlText w:val="(%1)"/>
      <w:numFmt w:val="lowerLetter"/>
      <w:start w:val="5"/>
    </w:lvl>
  </w:abstractNum>
  <w:abstractNum w:abstractNumId="17">
    <w:nsid w:val="5072367"/>
    <w:multiLevelType w:val="hybridMultilevel"/>
    <w:lvl w:ilvl="0">
      <w:lvlJc w:val="left"/>
      <w:lvlText w:val="(%1)"/>
      <w:numFmt w:val="lowerLetter"/>
      <w:start w:val="6"/>
    </w:lvl>
  </w:abstractNum>
  <w:abstractNum w:abstractNumId="18">
    <w:nsid w:val="3804823E"/>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19">
    <w:nsid w:val="77465F01"/>
    <w:multiLevelType w:val="hybridMultilevel"/>
    <w:lvl w:ilvl="0">
      <w:lvlJc w:val="left"/>
      <w:lvlText w:val="(%1)"/>
      <w:numFmt w:val="lowerLetter"/>
      <w:start w:val="7"/>
    </w:lvl>
  </w:abstractNum>
  <w:abstractNum w:abstractNumId="20">
    <w:nsid w:val="7724C67E"/>
    <w:multiLevelType w:val="hybridMultilevel"/>
    <w:lvl w:ilvl="0">
      <w:lvlJc w:val="left"/>
      <w:lvlText w:val="(%1)"/>
      <w:numFmt w:val="lowerLetter"/>
      <w:start w:val="11"/>
    </w:lvl>
  </w:abstractNum>
  <w:abstractNum w:abstractNumId="21">
    <w:nsid w:val="5C482A97"/>
    <w:multiLevelType w:val="hybridMultilevel"/>
    <w:lvl w:ilvl="0">
      <w:lvlJc w:val="left"/>
      <w:lvlText w:val="(%1)"/>
      <w:numFmt w:val="lowerLetter"/>
      <w:start w:val="14"/>
    </w:lvl>
    <w:lvl w:ilvl="1">
      <w:lvlJc w:val="left"/>
      <w:lvlText w:val="(%2)"/>
      <w:numFmt w:val="lowerRoman"/>
      <w:start w:val="1"/>
    </w:lvl>
  </w:abstractNum>
  <w:abstractNum w:abstractNumId="22">
    <w:nsid w:val="2463B9EA"/>
    <w:multiLevelType w:val="hybridMultilevel"/>
    <w:lvl w:ilvl="0">
      <w:lvlJc w:val="left"/>
      <w:lvlText w:val="(%1)"/>
      <w:numFmt w:val="lowerLetter"/>
      <w:start w:val="27"/>
    </w:lvl>
  </w:abstractNum>
  <w:abstractNum w:abstractNumId="23">
    <w:nsid w:val="5E884ADC"/>
    <w:multiLevelType w:val="hybridMultilevel"/>
    <w:lvl w:ilvl="0">
      <w:lvlJc w:val="left"/>
      <w:lvlText w:val="%1"/>
      <w:numFmt w:val="decimal"/>
      <w:start w:val="1"/>
    </w:lvl>
    <w:lvl w:ilvl="1">
      <w:lvlJc w:val="left"/>
      <w:lvlText w:val="(%2)"/>
      <w:numFmt w:val="lowerLetter"/>
      <w:start w:val="33"/>
    </w:lvl>
  </w:abstractNum>
  <w:abstractNum w:abstractNumId="24">
    <w:nsid w:val="51EAD36B"/>
    <w:multiLevelType w:val="hybridMultilevel"/>
    <w:lvl w:ilvl="0">
      <w:lvlJc w:val="left"/>
      <w:lvlText w:val="%1."/>
      <w:numFmt w:val="decimal"/>
      <w:start w:val="3"/>
    </w:lvl>
    <w:lvl w:ilvl="1">
      <w:lvlJc w:val="left"/>
      <w:lvlText w:val="(%2)"/>
      <w:numFmt w:val="lowerLetter"/>
      <w:start w:val="1"/>
    </w:lvl>
  </w:abstractNum>
  <w:abstractNum w:abstractNumId="25">
    <w:nsid w:val="2D517796"/>
    <w:multiLevelType w:val="hybridMultilevel"/>
    <w:lvl w:ilvl="0">
      <w:lvlJc w:val="left"/>
      <w:lvlText w:val="%1"/>
      <w:numFmt w:val="decimal"/>
      <w:start w:val="1"/>
    </w:lvl>
    <w:lvl w:ilvl="1">
      <w:lvlJc w:val="left"/>
      <w:lvlText w:val="(%2)"/>
      <w:numFmt w:val="lowerLetter"/>
      <w:start w:val="2"/>
    </w:lvl>
    <w:lvl w:ilvl="2">
      <w:lvlJc w:val="left"/>
      <w:lvlText w:val="%3"/>
      <w:numFmt w:val="lowerRoman"/>
      <w:start w:val="1"/>
    </w:lvl>
  </w:abstractNum>
  <w:abstractNum w:abstractNumId="26">
    <w:nsid w:val="580BD78F"/>
    <w:multiLevelType w:val="hybridMultilevel"/>
    <w:lvl w:ilvl="0">
      <w:lvlJc w:val="left"/>
      <w:lvlText w:val="%1."/>
      <w:numFmt w:val="decimal"/>
      <w:start w:val="4"/>
    </w:lvl>
    <w:lvl w:ilvl="1">
      <w:lvlJc w:val="left"/>
      <w:lvlText w:val="(%2)"/>
      <w:numFmt w:val="lowerLetter"/>
      <w:start w:val="1"/>
    </w:lvl>
    <w:lvl w:ilvl="2">
      <w:lvlJc w:val="left"/>
      <w:lvlText w:val="(%3)"/>
      <w:numFmt w:val="lowerRoman"/>
      <w:start w:val="1"/>
    </w:lvl>
  </w:abstractNum>
  <w:abstractNum w:abstractNumId="27">
    <w:nsid w:val="153EA438"/>
    <w:multiLevelType w:val="hybridMultilevel"/>
    <w:lvl w:ilvl="0">
      <w:lvlJc w:val="left"/>
      <w:lvlText w:val="(%1)"/>
      <w:numFmt w:val="lowerLetter"/>
      <w:start w:val="1"/>
    </w:lvl>
  </w:abstractNum>
  <w:abstractNum w:abstractNumId="28">
    <w:nsid w:val="3855585C"/>
    <w:multiLevelType w:val="hybridMultilevel"/>
    <w:lvl w:ilvl="0">
      <w:lvlJc w:val="left"/>
      <w:lvlText w:val="%1."/>
      <w:numFmt w:val="decimal"/>
      <w:start w:val="6"/>
    </w:lvl>
    <w:lvl w:ilvl="1">
      <w:lvlJc w:val="left"/>
      <w:lvlText w:val="(%2)"/>
      <w:numFmt w:val="lowerLetter"/>
      <w:start w:val="1"/>
    </w:lvl>
  </w:abstractNum>
  <w:abstractNum w:abstractNumId="29">
    <w:nsid w:val="70A64E2A"/>
    <w:multiLevelType w:val="hybridMultilevel"/>
    <w:lvl w:ilvl="0">
      <w:lvlJc w:val="left"/>
      <w:lvlText w:val="(%1)"/>
      <w:numFmt w:val="lowerLetter"/>
      <w:start w:val="2"/>
    </w:lvl>
    <w:lvl w:ilvl="1">
      <w:lvlJc w:val="left"/>
      <w:lvlText w:val="(%2)"/>
      <w:numFmt w:val="lowerRoman"/>
      <w:start w:val="1"/>
    </w:lvl>
  </w:abstractNum>
  <w:abstractNum w:abstractNumId="30">
    <w:nsid w:val="6A2342EC"/>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2"/>
    </w:lvl>
  </w:abstractNum>
  <w:abstractNum w:abstractNumId="31">
    <w:nsid w:val="2A487CB0"/>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32">
    <w:nsid w:val="1D4ED43B"/>
    <w:multiLevelType w:val="hybridMultilevel"/>
    <w:lvl w:ilvl="0">
      <w:lvlJc w:val="left"/>
      <w:lvlText w:val="(%1)"/>
      <w:numFmt w:val="lowerLetter"/>
      <w:start w:val="2"/>
    </w:lvl>
  </w:abstractNum>
  <w:abstractNum w:abstractNumId="33">
    <w:nsid w:val="725A06FB"/>
    <w:multiLevelType w:val="hybridMultilevel"/>
    <w:lvl w:ilvl="0">
      <w:lvlJc w:val="left"/>
      <w:lvlText w:val="%1"/>
      <w:numFmt w:val="decimal"/>
      <w:start w:val="1"/>
    </w:lvl>
    <w:lvl w:ilvl="1">
      <w:lvlJc w:val="left"/>
      <w:lvlText w:val="(%2)"/>
      <w:numFmt w:val="lowerLetter"/>
      <w:start w:val="8"/>
    </w:lvl>
    <w:lvl w:ilvl="2">
      <w:lvlJc w:val="left"/>
      <w:lvlText w:val="%3"/>
      <w:numFmt w:val="lowerRoman"/>
      <w:start w:val="1"/>
    </w:lvl>
  </w:abstractNum>
  <w:abstractNum w:abstractNumId="34">
    <w:nsid w:val="2CD89A32"/>
    <w:multiLevelType w:val="hybridMultilevel"/>
    <w:lvl w:ilvl="0">
      <w:lvlJc w:val="left"/>
      <w:lvlText w:val="%1."/>
      <w:numFmt w:val="decimal"/>
      <w:start w:val="8"/>
    </w:lvl>
    <w:lvl w:ilvl="1">
      <w:lvlJc w:val="left"/>
      <w:lvlText w:val="(%2)"/>
      <w:numFmt w:val="lowerLetter"/>
      <w:start w:val="1"/>
    </w:lvl>
    <w:lvl w:ilvl="2">
      <w:lvlJc w:val="left"/>
      <w:lvlText w:val="(%3)"/>
      <w:numFmt w:val="lowerRoman"/>
      <w:start w:val="1"/>
    </w:lvl>
  </w:abstractNum>
  <w:abstractNum w:abstractNumId="35">
    <w:nsid w:val="57E4CCAF"/>
    <w:multiLevelType w:val="hybridMultilevel"/>
    <w:lvl w:ilvl="0">
      <w:lvlJc w:val="left"/>
      <w:lvlText w:val="%1."/>
      <w:numFmt w:val="decimal"/>
      <w:start w:val="10"/>
    </w:lvl>
    <w:lvl w:ilvl="1">
      <w:lvlJc w:val="left"/>
      <w:lvlText w:val="(%2)"/>
      <w:numFmt w:val="lowerLetter"/>
      <w:start w:val="1"/>
    </w:lvl>
  </w:abstractNum>
  <w:abstractNum w:abstractNumId="36">
    <w:nsid w:val="7A6D8D3C"/>
    <w:multiLevelType w:val="hybridMultilevel"/>
    <w:lvl w:ilvl="0">
      <w:lvlJc w:val="left"/>
      <w:lvlText w:val="%1"/>
      <w:numFmt w:val="decimal"/>
      <w:start w:val="1"/>
    </w:lvl>
    <w:lvl w:ilvl="1">
      <w:lvlJc w:val="left"/>
      <w:lvlText w:val="(%2)"/>
      <w:numFmt w:val="lowerLetter"/>
      <w:start w:val="4"/>
    </w:lvl>
  </w:abstractNum>
  <w:abstractNum w:abstractNumId="37">
    <w:nsid w:val="4B588F54"/>
    <w:multiLevelType w:val="hybridMultilevel"/>
    <w:lvl w:ilvl="0">
      <w:lvlJc w:val="left"/>
      <w:lvlText w:val="%1."/>
      <w:numFmt w:val="decimal"/>
      <w:start w:val="11"/>
    </w:lvl>
    <w:lvl w:ilvl="1">
      <w:lvlJc w:val="left"/>
      <w:lvlText w:val="%2"/>
      <w:numFmt w:val="lowerLetter"/>
      <w:start w:val="1"/>
    </w:lvl>
  </w:abstractNum>
  <w:abstractNum w:abstractNumId="38">
    <w:nsid w:val="542289EC"/>
    <w:multiLevelType w:val="hybridMultilevel"/>
    <w:lvl w:ilvl="0">
      <w:lvlJc w:val="left"/>
      <w:lvlText w:val="%1."/>
      <w:numFmt w:val="decimal"/>
      <w:start w:val="12"/>
    </w:lvl>
    <w:lvl w:ilvl="1">
      <w:lvlJc w:val="left"/>
      <w:lvlText w:val="(%2)"/>
      <w:numFmt w:val="lowerLetter"/>
      <w:start w:val="1"/>
    </w:lvl>
  </w:abstractNum>
  <w:abstractNum w:abstractNumId="39">
    <w:nsid w:val="6DE91B18"/>
    <w:multiLevelType w:val="hybridMultilevel"/>
    <w:lvl w:ilvl="0">
      <w:lvlJc w:val="left"/>
      <w:lvlText w:val="%1."/>
      <w:numFmt w:val="decimal"/>
      <w:start w:val="15"/>
    </w:lvl>
    <w:lvl w:ilvl="1">
      <w:lvlJc w:val="left"/>
      <w:lvlText w:val="(%2)"/>
      <w:numFmt w:val="lowerLetter"/>
      <w:start w:val="1"/>
    </w:lvl>
  </w:abstractNum>
  <w:abstractNum w:abstractNumId="40">
    <w:nsid w:val="38437FDB"/>
    <w:multiLevelType w:val="hybridMultilevel"/>
    <w:lvl w:ilvl="0">
      <w:lvlJc w:val="left"/>
      <w:lvlText w:val="%1"/>
      <w:numFmt w:val="decimal"/>
      <w:start w:val="1"/>
    </w:lvl>
    <w:lvl w:ilvl="1">
      <w:lvlJc w:val="left"/>
      <w:lvlText w:val="(%2)"/>
      <w:numFmt w:val="lowerLetter"/>
      <w:start w:val="3"/>
    </w:lvl>
  </w:abstractNum>
  <w:abstractNum w:abstractNumId="41">
    <w:nsid w:val="7644A45C"/>
    <w:multiLevelType w:val="hybridMultilevel"/>
    <w:lvl w:ilvl="0">
      <w:lvlJc w:val="left"/>
      <w:lvlText w:val="%1."/>
      <w:numFmt w:val="decimal"/>
      <w:start w:val="19"/>
    </w:lvl>
    <w:lvl w:ilvl="1">
      <w:lvlJc w:val="left"/>
      <w:lvlText w:val="(%2)"/>
      <w:numFmt w:val="lowerLetter"/>
      <w:start w:val="1"/>
    </w:lvl>
  </w:abstractNum>
  <w:abstractNum w:abstractNumId="42">
    <w:nsid w:val="32FFF902"/>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1"/>
    </w:lvl>
  </w:abstractNum>
  <w:abstractNum w:abstractNumId="43">
    <w:nsid w:val="684A481A"/>
    <w:multiLevelType w:val="hybridMultilevel"/>
    <w:lvl w:ilvl="0">
      <w:lvlJc w:val="left"/>
      <w:lvlText w:val="(%1)"/>
      <w:numFmt w:val="lowerLetter"/>
      <w:start w:val="1"/>
    </w:lvl>
    <w:lvl w:ilvl="1">
      <w:lvlJc w:val="left"/>
      <w:lvlText w:val="%2"/>
      <w:numFmt w:val="decimal"/>
      <w:start w:val="1"/>
    </w:lvl>
    <w:lvl w:ilvl="2">
      <w:lvlJc w:val="left"/>
      <w:lvlText w:val="(%3)"/>
      <w:numFmt w:val="lowerLetter"/>
      <w:start w:val="2"/>
    </w:lvl>
  </w:abstractNum>
  <w:abstractNum w:abstractNumId="44">
    <w:nsid w:val="579478FE"/>
    <w:multiLevelType w:val="hybridMultilevel"/>
    <w:lvl w:ilvl="0">
      <w:lvlJc w:val="left"/>
      <w:lvlText w:val="(%1)"/>
      <w:numFmt w:val="lowerLetter"/>
      <w:start w:val="4"/>
    </w:lvl>
    <w:lvl w:ilvl="1">
      <w:lvlJc w:val="left"/>
      <w:lvlText w:val="(%2)"/>
      <w:numFmt w:val="lowerLetter"/>
      <w:start w:val="3"/>
    </w:lvl>
  </w:abstractNum>
  <w:abstractNum w:abstractNumId="45">
    <w:nsid w:val="749ABB43"/>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46">
    <w:nsid w:val="3DC240FB"/>
    <w:multiLevelType w:val="hybridMultilevel"/>
    <w:lvl w:ilvl="0">
      <w:lvlJc w:val="left"/>
      <w:lvlText w:val="%1."/>
      <w:numFmt w:val="decimal"/>
      <w:start w:val="10"/>
    </w:lvl>
  </w:abstractNum>
  <w:abstractNum w:abstractNumId="47">
    <w:nsid w:val="1BA026FA"/>
    <w:multiLevelType w:val="hybridMultilevel"/>
    <w:lvl w:ilvl="0">
      <w:lvlJc w:val="left"/>
      <w:lvlText w:val="%1."/>
      <w:numFmt w:val="decimal"/>
      <w:start w:val="12"/>
    </w:lvl>
  </w:abstractNum>
  <w:abstractNum w:abstractNumId="48">
    <w:nsid w:val="79A1DEAA"/>
    <w:multiLevelType w:val="hybridMultilevel"/>
    <w:lvl w:ilvl="0">
      <w:lvlJc w:val="left"/>
      <w:lvlText w:val="%1."/>
      <w:numFmt w:val="decimal"/>
      <w:start w:val="24"/>
    </w:lvl>
  </w:abstractNum>
  <w:abstractNum w:abstractNumId="49">
    <w:nsid w:val="75C6C33A"/>
    <w:multiLevelType w:val="hybridMultilevel"/>
    <w:lvl w:ilvl="0">
      <w:lvlJc w:val="left"/>
      <w:lvlText w:val="%1."/>
      <w:numFmt w:val="decimal"/>
      <w:start w:val="1"/>
    </w:lvl>
  </w:abstractNum>
  <w:abstractNum w:abstractNumId="50">
    <w:nsid w:val="12E685FB"/>
    <w:multiLevelType w:val="hybridMultilevel"/>
    <w:lvl w:ilvl="0">
      <w:lvlJc w:val="left"/>
      <w:lvlText w:val="%1."/>
      <w:numFmt w:val="decimal"/>
      <w:start w:val="1"/>
    </w:lvl>
    <w:lvl w:ilvl="1">
      <w:lvlJc w:val="left"/>
      <w:lvlText w:val="(%2)"/>
      <w:numFmt w:val="lowerLetter"/>
      <w:start w:val="1"/>
    </w:lvl>
  </w:abstractNum>
  <w:abstractNum w:abstractNumId="51">
    <w:nsid w:val="70C6A529"/>
    <w:multiLevelType w:val="hybridMultilevel"/>
    <w:lvl w:ilvl="0">
      <w:lvlJc w:val="left"/>
      <w:lvlText w:val="%1"/>
      <w:numFmt w:val="decimal"/>
      <w:start w:val="1"/>
    </w:lvl>
    <w:lvl w:ilvl="1">
      <w:lvlJc w:val="left"/>
      <w:lvlText w:val="(%2)"/>
      <w:numFmt w:val="decimal"/>
      <w:start w:val="12"/>
    </w:lvl>
  </w:abstractNum>
  <w:abstractNum w:abstractNumId="52">
    <w:nsid w:val="520EEDD1"/>
    <w:multiLevelType w:val="hybridMultilevel"/>
    <w:lvl w:ilvl="0">
      <w:lvlJc w:val="left"/>
      <w:lvlText w:val="%1."/>
      <w:numFmt w:val="decimal"/>
      <w:start w:val="2"/>
    </w:lvl>
    <w:lvl w:ilvl="1">
      <w:lvlJc w:val="left"/>
      <w:lvlText w:val="%2"/>
      <w:numFmt w:val="decimal"/>
      <w:start w:val="1"/>
    </w:lvl>
  </w:abstractNum>
  <w:abstractNum w:abstractNumId="53">
    <w:nsid w:val="374A3FE6"/>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2024-05-15T08:11:49Z</dcterms:created>
  <dcterms:modified xsi:type="dcterms:W3CDTF">2024-05-15T08:11:49Z</dcterms:modified>
</cp:coreProperties>
</file>