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880" w:right="1280" w:hanging="3872"/>
        <w:spacing w:after="0" w:line="500" w:lineRule="auto"/>
        <w:tabs>
          <w:tab w:leader="none" w:pos="8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88" w:right="339" w:bottom="353" w:gutter="0" w:footer="0" w:header="0"/>
        </w:sectPr>
      </w:pPr>
    </w:p>
    <w:p>
      <w:pPr>
        <w:spacing w:after="0" w:line="23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420" w:space="580"/>
            <w:col w:w="4240"/>
          </w:cols>
          <w:pgMar w:left="320" w:top="688" w:right="339" w:bottom="353"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88" w:right="339" w:bottom="353"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Pulse Biosciences,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80" w:type="dxa"/>
            <w:vAlign w:val="bottom"/>
          </w:tcPr>
          <w:p>
            <w:pPr>
              <w:spacing w:after="0"/>
              <w:rPr>
                <w:sz w:val="18"/>
                <w:szCs w:val="18"/>
                <w:color w:val="auto"/>
              </w:rPr>
            </w:pPr>
          </w:p>
        </w:tc>
        <w:tc>
          <w:tcPr>
            <w:tcW w:w="360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46-5696597</w:t>
            </w:r>
          </w:p>
        </w:tc>
      </w:t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480" w:type="dxa"/>
            <w:vAlign w:val="bottom"/>
          </w:tcPr>
          <w:p>
            <w:pPr>
              <w:spacing w:after="0"/>
              <w:rPr>
                <w:sz w:val="18"/>
                <w:szCs w:val="18"/>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48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601 Brickell Key Drive</w:t>
            </w:r>
          </w:p>
        </w:tc>
        <w:tc>
          <w:tcPr>
            <w:tcW w:w="24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Miami, FL</w:t>
            </w:r>
          </w:p>
        </w:tc>
        <w:tc>
          <w:tcPr>
            <w:tcW w:w="2480" w:type="dxa"/>
            <w:vAlign w:val="bottom"/>
          </w:tcPr>
          <w:p>
            <w:pPr>
              <w:spacing w:after="0"/>
              <w:rPr>
                <w:sz w:val="18"/>
                <w:szCs w:val="18"/>
                <w:color w:val="auto"/>
              </w:rPr>
            </w:pPr>
          </w:p>
        </w:tc>
        <w:tc>
          <w:tcPr>
            <w:tcW w:w="360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rPr>
              <w:t>33131</w:t>
            </w:r>
          </w:p>
        </w:tc>
      </w:tr>
      <w:tr>
        <w:trPr>
          <w:trHeight w:val="238"/>
        </w:trPr>
        <w:tc>
          <w:tcPr>
            <w:tcW w:w="41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480" w:type="dxa"/>
            <w:vAlign w:val="bottom"/>
          </w:tcPr>
          <w:p>
            <w:pPr>
              <w:spacing w:after="0"/>
              <w:rPr>
                <w:sz w:val="20"/>
                <w:szCs w:val="20"/>
                <w:color w:val="auto"/>
              </w:rPr>
            </w:pPr>
          </w:p>
        </w:tc>
        <w:tc>
          <w:tcPr>
            <w:tcW w:w="36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(510) 906-4600</w:t>
            </w:r>
          </w:p>
        </w:tc>
        <w:tc>
          <w:tcPr>
            <w:tcW w:w="3600" w:type="dxa"/>
            <w:vAlign w:val="bottom"/>
          </w:tcPr>
          <w:p>
            <w:pPr>
              <w:spacing w:after="0"/>
              <w:rPr>
                <w:sz w:val="24"/>
                <w:szCs w:val="24"/>
                <w:color w:val="auto"/>
              </w:rPr>
            </w:pPr>
          </w:p>
        </w:tc>
      </w:tr>
      <w:tr>
        <w:trPr>
          <w:trHeight w:val="238"/>
        </w:trPr>
        <w:tc>
          <w:tcPr>
            <w:tcW w:w="102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r>
      <w:tr>
        <w:trPr>
          <w:trHeight w:val="270"/>
        </w:trPr>
        <w:tc>
          <w:tcPr>
            <w:tcW w:w="3800" w:type="dxa"/>
            <w:vAlign w:val="bottom"/>
          </w:tcPr>
          <w:p>
            <w:pPr>
              <w:spacing w:after="0"/>
              <w:rPr>
                <w:sz w:val="23"/>
                <w:szCs w:val="23"/>
                <w:color w:val="auto"/>
              </w:rPr>
            </w:pPr>
          </w:p>
        </w:tc>
        <w:tc>
          <w:tcPr>
            <w:tcW w:w="2800" w:type="dxa"/>
            <w:vAlign w:val="bottom"/>
            <w:tcBorders>
              <w:bottom w:val="single" w:sz="8" w:color="auto"/>
            </w:tcBorders>
            <w:gridSpan w:val="2"/>
          </w:tcPr>
          <w:p>
            <w:pPr>
              <w:spacing w:after="0"/>
              <w:rPr>
                <w:sz w:val="23"/>
                <w:szCs w:val="23"/>
                <w:color w:val="auto"/>
              </w:rPr>
            </w:pPr>
          </w:p>
        </w:tc>
        <w:tc>
          <w:tcPr>
            <w:tcW w:w="3600" w:type="dxa"/>
            <w:vAlign w:val="bottom"/>
          </w:tcPr>
          <w:p>
            <w:pPr>
              <w:spacing w:after="0"/>
              <w:rPr>
                <w:sz w:val="23"/>
                <w:szCs w:val="23"/>
                <w:color w:val="auto"/>
              </w:rPr>
            </w:pPr>
          </w:p>
        </w:tc>
      </w:tr>
      <w:tr>
        <w:trPr>
          <w:trHeight w:val="264"/>
        </w:trPr>
        <w:tc>
          <w:tcPr>
            <w:tcW w:w="1020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626"/>
        </w:trPr>
        <w:tc>
          <w:tcPr>
            <w:tcW w:w="41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41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PLSE</w:t>
            </w:r>
          </w:p>
        </w:tc>
        <w:tc>
          <w:tcPr>
            <w:tcW w:w="36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98"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August 12, 2024: 61,290,294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5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gridSpan w:val="10"/>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6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220" w:type="dxa"/>
            <w:vAlign w:val="bottom"/>
            <w:gridSpan w:val="4"/>
            <w:vMerge w:val="restart"/>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60" w:type="dxa"/>
            <w:vAlign w:val="bottom"/>
            <w:tcBorders>
              <w:bottom w:val="single" w:sz="8" w:color="0000EE"/>
            </w:tcBorders>
            <w:gridSpan w:val="8"/>
            <w:vMerge w:val="continue"/>
          </w:tcPr>
          <w:p>
            <w:pPr>
              <w:spacing w:after="0"/>
              <w:rPr>
                <w:sz w:val="15"/>
                <w:szCs w:val="15"/>
                <w:color w:val="auto"/>
              </w:rPr>
            </w:pPr>
          </w:p>
        </w:tc>
        <w:tc>
          <w:tcPr>
            <w:tcW w:w="3220" w:type="dxa"/>
            <w:vAlign w:val="bottom"/>
            <w:gridSpan w:val="4"/>
            <w:vMerge w:val="continue"/>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Financial Statements (unaudited):</w:t>
            </w:r>
          </w:p>
        </w:tc>
        <w:tc>
          <w:tcPr>
            <w:tcW w:w="7380" w:type="dxa"/>
            <w:vAlign w:val="bottom"/>
            <w:gridSpan w:val="13"/>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and December 31, 2023</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Six-Month Periods Ended June 30, 2024</w:t>
            </w:r>
          </w:p>
        </w:tc>
        <w:tc>
          <w:tcPr>
            <w:tcW w:w="8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660" w:type="dxa"/>
            <w:vAlign w:val="bottom"/>
            <w:tcBorders>
              <w:top w:val="single" w:sz="8" w:color="0000EE"/>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2023</w:t>
            </w:r>
          </w:p>
        </w:tc>
        <w:tc>
          <w:tcPr>
            <w:tcW w:w="9160" w:type="dxa"/>
            <w:vAlign w:val="bottom"/>
            <w:tcBorders>
              <w:top w:val="single" w:sz="8" w:color="0000EE"/>
            </w:tcBorders>
            <w:gridSpan w:val="20"/>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7"/>
                <w:szCs w:val="7"/>
                <w:color w:val="auto"/>
              </w:rPr>
            </w:pPr>
          </w:p>
        </w:tc>
        <w:tc>
          <w:tcPr>
            <w:tcW w:w="660" w:type="dxa"/>
            <w:vAlign w:val="bottom"/>
            <w:tcBorders>
              <w:top w:val="single" w:sz="8" w:color="0000EE"/>
              <w:bottom w:val="single" w:sz="8" w:color="0000EE"/>
            </w:tcBorders>
            <w:gridSpan w:val="2"/>
            <w:vMerge w:val="continue"/>
          </w:tcPr>
          <w:p>
            <w:pPr>
              <w:spacing w:after="0"/>
              <w:rPr>
                <w:sz w:val="7"/>
                <w:szCs w:val="7"/>
                <w:color w:val="auto"/>
              </w:rPr>
            </w:pPr>
          </w:p>
        </w:tc>
        <w:tc>
          <w:tcPr>
            <w:tcW w:w="9160" w:type="dxa"/>
            <w:vAlign w:val="bottom"/>
            <w:tcBorders>
              <w:top w:val="single" w:sz="8" w:color="0000EE"/>
            </w:tcBorders>
            <w:gridSpan w:val="20"/>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Six-Month Periods Ended June 30, 2024 and 2023</w:t>
            </w:r>
          </w:p>
        </w:tc>
        <w:tc>
          <w:tcPr>
            <w:tcW w:w="2300" w:type="dxa"/>
            <w:vAlign w:val="bottom"/>
            <w:gridSpan w:val="3"/>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Six-Month Periods Ended June 30, 2024 and 2023</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00" w:type="dxa"/>
            <w:vAlign w:val="bottom"/>
            <w:gridSpan w:val="2"/>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3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546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6"/>
        </w:trPr>
        <w:tc>
          <w:tcPr>
            <w:tcW w:w="10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25</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gridSpan w:val="10"/>
          </w:tcPr>
          <w:p>
            <w:pPr>
              <w:jc w:val="center"/>
              <w:ind w:right="3380"/>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2340" w:type="dxa"/>
            <w:vAlign w:val="bottom"/>
            <w:gridSpan w:val="6"/>
          </w:tcPr>
          <w:p>
            <w:pPr>
              <w:spacing w:after="0"/>
              <w:rPr>
                <w:sz w:val="17"/>
                <w:szCs w:val="17"/>
                <w:color w:val="auto"/>
              </w:rPr>
            </w:pPr>
          </w:p>
        </w:tc>
        <w:tc>
          <w:tcPr>
            <w:tcW w:w="2760" w:type="dxa"/>
            <w:vAlign w:val="bottom"/>
            <w:tcBorders>
              <w:top w:val="single" w:sz="8" w:color="0000EE"/>
            </w:tcBorders>
            <w:gridSpan w:val="4"/>
          </w:tcPr>
          <w:p>
            <w:pPr>
              <w:spacing w:after="0"/>
              <w:rPr>
                <w:sz w:val="17"/>
                <w:szCs w:val="17"/>
                <w:color w:val="auto"/>
              </w:rPr>
            </w:pPr>
          </w:p>
        </w:tc>
        <w:tc>
          <w:tcPr>
            <w:tcW w:w="33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Risk Factors</w:t>
            </w:r>
          </w:p>
        </w:tc>
        <w:tc>
          <w:tcPr>
            <w:tcW w:w="8780" w:type="dxa"/>
            <w:vAlign w:val="bottom"/>
            <w:gridSpan w:val="18"/>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196"/>
        </w:trPr>
        <w:tc>
          <w:tcPr>
            <w:tcW w:w="10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Default Upon Senior Securities</w:t>
            </w:r>
          </w:p>
        </w:tc>
        <w:tc>
          <w:tcPr>
            <w:tcW w:w="2080" w:type="dxa"/>
            <w:vAlign w:val="bottom"/>
            <w:tcBorders>
              <w:top w:val="single" w:sz="8" w:color="0000EE"/>
            </w:tcBorders>
            <w:gridSpan w:val="5"/>
          </w:tcPr>
          <w:p>
            <w:pPr>
              <w:spacing w:after="0"/>
              <w:rPr>
                <w:sz w:val="17"/>
                <w:szCs w:val="17"/>
                <w:color w:val="auto"/>
              </w:rPr>
            </w:pPr>
          </w:p>
        </w:tc>
        <w:tc>
          <w:tcPr>
            <w:tcW w:w="548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0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5. Other Information</w:t>
            </w:r>
          </w:p>
        </w:tc>
        <w:tc>
          <w:tcPr>
            <w:tcW w:w="850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196"/>
        </w:trPr>
        <w:tc>
          <w:tcPr>
            <w:tcW w:w="10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6. Exhibits</w:t>
            </w:r>
          </w:p>
        </w:tc>
        <w:tc>
          <w:tcPr>
            <w:tcW w:w="8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9220" w:type="dxa"/>
            <w:vAlign w:val="bottom"/>
            <w:gridSpan w:val="20"/>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49</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nsPFA, nano-PFA, CellFX nsPFA,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59,154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14,794</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 shares; no shares issued and outstanding</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 shares; issued and outstanding – 55,228 shares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55,144 shares at June 30, 2024 and December 31, 2023 respectively</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385,349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381,220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(358,435)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(336,915)</w:t>
            </w:r>
          </w:p>
        </w:tc>
      </w:tr>
      <w:tr>
        <w:trPr>
          <w:trHeight w:val="210"/>
        </w:trPr>
        <w:tc>
          <w:tcPr>
            <w:tcW w:w="800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44,360</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Product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expenses:</w:t>
      </w:r>
    </w:p>
    <w:p>
      <w:pPr>
        <w:spacing w:after="0" w:line="9" w:lineRule="exact"/>
        <w:rPr>
          <w:sz w:val="20"/>
          <w:szCs w:val="20"/>
          <w:color w:val="auto"/>
        </w:rPr>
      </w:pPr>
    </w:p>
    <w:p>
      <w:pPr>
        <w:ind w:left="180"/>
        <w:spacing w:after="0" w:line="273" w:lineRule="auto"/>
        <w:rPr>
          <w:sz w:val="20"/>
          <w:szCs w:val="20"/>
          <w:color w:val="auto"/>
        </w:rPr>
      </w:pPr>
      <w:r>
        <w:rPr>
          <w:rFonts w:ascii="Times New Roman" w:cs="Times New Roman" w:eastAsia="Times New Roman" w:hAnsi="Times New Roman"/>
          <w:sz w:val="17"/>
          <w:szCs w:val="17"/>
          <w:color w:val="auto"/>
        </w:rPr>
        <w:t>Research and development General and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and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30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425"/>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407"/>
        </w:trPr>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6,697</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13,971</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12,526</w:t>
            </w:r>
          </w:p>
        </w:tc>
      </w:tr>
      <w:tr>
        <w:trPr>
          <w:trHeight w:val="234"/>
        </w:trPr>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8,370</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7,263</w:t>
            </w:r>
          </w:p>
        </w:tc>
      </w:tr>
      <w:tr>
        <w:trPr>
          <w:trHeight w:val="210"/>
        </w:trPr>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60" w:type="dxa"/>
            <w:vAlign w:val="bottom"/>
          </w:tcPr>
          <w:p>
            <w:pPr>
              <w:spacing w:after="0"/>
              <w:rPr>
                <w:sz w:val="18"/>
                <w:szCs w:val="18"/>
                <w:color w:val="auto"/>
              </w:rPr>
            </w:pPr>
          </w:p>
        </w:tc>
      </w:tr>
      <w:tr>
        <w:trPr>
          <w:trHeight w:val="228"/>
        </w:trPr>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60" w:type="dxa"/>
            <w:vAlign w:val="bottom"/>
          </w:tcPr>
          <w:p>
            <w:pPr>
              <w:spacing w:after="0"/>
              <w:rPr>
                <w:sz w:val="19"/>
                <w:szCs w:val="19"/>
                <w:color w:val="auto"/>
              </w:rPr>
            </w:pPr>
          </w:p>
        </w:tc>
      </w:tr>
      <w:tr>
        <w:trPr>
          <w:trHeight w:val="414"/>
        </w:trPr>
        <w:tc>
          <w:tcPr>
            <w:tcW w:w="8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-1405255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-1122045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-839470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-556895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-273685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120" w:space="560"/>
            <w:col w:w="856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317</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821</w:t>
            </w:r>
          </w:p>
        </w:tc>
        <w:tc>
          <w:tcPr>
            <w:tcW w:w="3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(11,383)</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(9,910)</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(21,520)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(11,383)</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(9,910)</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(21,520)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(19,711)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(11,383)</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(19,711)</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(0.20)</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loss per common share — basic</w:t>
            </w:r>
          </w:p>
        </w:tc>
        <w:tc>
          <w:tcPr>
            <w:tcW w:w="3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57,180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46,086</w:t>
            </w:r>
          </w:p>
        </w:tc>
        <w:tc>
          <w:tcPr>
            <w:tcW w:w="32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57,152</w:t>
            </w:r>
          </w:p>
        </w:tc>
        <w:tc>
          <w:tcPr>
            <w:tcW w:w="320" w:type="dxa"/>
            <w:vAlign w:val="bottom"/>
          </w:tcPr>
          <w:p>
            <w:pPr>
              <w:spacing w:after="0"/>
              <w:rPr>
                <w:sz w:val="15"/>
                <w:szCs w:val="15"/>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42,420</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(21,520)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(19,711)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Right-of-use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interest on related party note payable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(18,175)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(15,772)</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cost in relation to related party note extinguishment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made on related party note</w:t>
            </w:r>
          </w:p>
        </w:tc>
        <w:tc>
          <w:tcPr>
            <w:tcW w:w="9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costs in relation to future rights offering</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(18,169)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(2,392)</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58,747</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purchases included in accounts payable and accrued expenses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offering deemed pro-rata distribution to shareholders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and accrued interest of related party note settled via issuance of common stock</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65,248</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costs in accounts payable and accrued expenses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0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PULSE BIOSCIENCES, INC.</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20" w:type="dxa"/>
            <w:vAlign w:val="bottom"/>
            <w:gridSpan w:val="10"/>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55,225</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383,284</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(347,052)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36,287</w:t>
            </w: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equity-classified subscription</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as part of rights offering (Note 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47,700</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Rights offering deemed pro-rata</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 to shareholders (Note 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(47,700)</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2,052</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385,349</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(358,435)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26,969</w:t>
            </w:r>
          </w:p>
        </w:tc>
        <w:tc>
          <w:tcPr>
            <w:tcW w:w="0" w:type="dxa"/>
            <w:vAlign w:val="bottom"/>
          </w:tcPr>
          <w:p>
            <w:pPr>
              <w:spacing w:after="0"/>
              <w:rPr>
                <w:sz w:val="1"/>
                <w:szCs w:val="1"/>
                <w:color w:val="auto"/>
              </w:rPr>
            </w:pPr>
          </w:p>
        </w:tc>
      </w:tr>
      <w:tr>
        <w:trPr>
          <w:trHeight w:val="390"/>
        </w:trPr>
        <w:tc>
          <w:tcPr>
            <w:tcW w:w="128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55,144</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381,220</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(336,915)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44,360</w:t>
            </w: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Issuance of shares under employee stock</w:t>
            </w: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equity-classified subscription</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rights as part of rights offering (Note 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47,700</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Rights offering deemed pro-rata</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to shareholders (Note 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(47,700)</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3,811</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4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55,228</w:t>
            </w:r>
          </w:p>
        </w:tc>
        <w:tc>
          <w:tcPr>
            <w:tcW w:w="11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385,349</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(358,435)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260" w:type="dxa"/>
            <w:vAlign w:val="bottom"/>
            <w:tcBorders>
              <w:left w:val="single" w:sz="8" w:color="CCEEFF"/>
            </w:tcBorders>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293,801</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(304,506)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(10,667)</w:t>
            </w: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Issuance of common stock as part of debt</w:t>
            </w: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extinguishment, net of issuance costs of</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w:t>
            </w:r>
          </w:p>
        </w:tc>
        <w:tc>
          <w:tcPr>
            <w:tcW w:w="2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65,236</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65,246</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upon exercise of</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net of issuance costs of $10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14,623</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14,630</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(9,910)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4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54,771</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374,861</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(314,416)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60,500</w:t>
            </w:r>
          </w:p>
        </w:tc>
        <w:tc>
          <w:tcPr>
            <w:tcW w:w="0" w:type="dxa"/>
            <w:vAlign w:val="bottom"/>
          </w:tcPr>
          <w:p>
            <w:pPr>
              <w:spacing w:after="0"/>
              <w:rPr>
                <w:sz w:val="1"/>
                <w:szCs w:val="1"/>
                <w:color w:val="auto"/>
              </w:rPr>
            </w:pPr>
          </w:p>
        </w:tc>
      </w:tr>
      <w:tr>
        <w:trPr>
          <w:trHeight w:val="390"/>
        </w:trPr>
        <w:tc>
          <w:tcPr>
            <w:tcW w:w="128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gridSpan w:val="3"/>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2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37,235</w:t>
            </w:r>
          </w:p>
        </w:tc>
        <w:tc>
          <w:tcPr>
            <w:tcW w:w="1140" w:type="dxa"/>
            <w:vAlign w:val="bottom"/>
            <w:tcBorders>
              <w:left w:val="single" w:sz="8" w:color="CCEEFF"/>
            </w:tcBorders>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292,420</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(294,705)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178"/>
        </w:trPr>
        <w:tc>
          <w:tcPr>
            <w:tcW w:w="3320" w:type="dxa"/>
            <w:vAlign w:val="bottom"/>
            <w:tcBorders>
              <w:top w:val="single" w:sz="8" w:color="CCEEFF"/>
            </w:tcBorders>
            <w:gridSpan w:val="2"/>
          </w:tcPr>
          <w:p>
            <w:pPr>
              <w:ind w:left="180"/>
              <w:spacing w:after="0" w:line="178" w:lineRule="exact"/>
              <w:rPr>
                <w:sz w:val="20"/>
                <w:szCs w:val="20"/>
                <w:color w:val="auto"/>
              </w:rPr>
            </w:pPr>
            <w:r>
              <w:rPr>
                <w:rFonts w:ascii="Times New Roman" w:cs="Times New Roman" w:eastAsia="Times New Roman" w:hAnsi="Times New Roman"/>
                <w:sz w:val="18"/>
                <w:szCs w:val="18"/>
                <w:color w:val="auto"/>
              </w:rPr>
              <w:t>Issuance of common stock as part of debt</w:t>
            </w: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extinguishment, net of issuance costs of</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w:t>
            </w:r>
          </w:p>
        </w:tc>
        <w:tc>
          <w:tcPr>
            <w:tcW w:w="2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65,233</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65,243</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upon exercise of</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net of issuance costs of $10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14,820</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14,827</w:t>
            </w:r>
          </w:p>
        </w:tc>
        <w:tc>
          <w:tcPr>
            <w:tcW w:w="0" w:type="dxa"/>
            <w:vAlign w:val="bottom"/>
          </w:tcPr>
          <w:p>
            <w:pPr>
              <w:spacing w:after="0"/>
              <w:rPr>
                <w:sz w:val="1"/>
                <w:szCs w:val="1"/>
                <w:color w:val="auto"/>
              </w:rPr>
            </w:pPr>
          </w:p>
        </w:tc>
      </w:tr>
      <w:tr>
        <w:trPr>
          <w:trHeight w:val="198"/>
        </w:trPr>
        <w:tc>
          <w:tcPr>
            <w:tcW w:w="3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shares under employee stock</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000" w:type="dxa"/>
            <w:vAlign w:val="bottom"/>
          </w:tcPr>
          <w:p>
            <w:pPr>
              <w:spacing w:after="0"/>
              <w:rPr>
                <w:sz w:val="20"/>
                <w:szCs w:val="20"/>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198"/>
        </w:trPr>
        <w:tc>
          <w:tcPr>
            <w:tcW w:w="3320" w:type="dxa"/>
            <w:vAlign w:val="bottom"/>
            <w:tcBorders>
              <w:right w:val="single" w:sz="8" w:color="CCEEFF"/>
            </w:tcBorders>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108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left w:val="single" w:sz="8" w:color="CCEEFF"/>
            </w:tcBorders>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2,039</w:t>
            </w:r>
          </w:p>
        </w:tc>
        <w:tc>
          <w:tcPr>
            <w:tcW w:w="10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3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(19,711)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4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6" w:name="page7"/>
    <w:bookmarkEnd w:id="6"/>
    <w:p>
      <w:pPr>
        <w:spacing w:after="0"/>
        <w:tabs>
          <w:tab w:leader="none" w:pos="3900" w:val="left"/>
          <w:tab w:leader="none" w:pos="4640" w:val="left"/>
          <w:tab w:leader="none" w:pos="5560" w:val="left"/>
          <w:tab w:leader="none" w:pos="5960" w:val="left"/>
          <w:tab w:leader="none" w:pos="6480" w:val="left"/>
          <w:tab w:leader="none" w:pos="7280" w:val="left"/>
          <w:tab w:leader="none" w:pos="8280" w:val="left"/>
          <w:tab w:leader="none" w:pos="8680" w:val="left"/>
          <w:tab w:leader="none" w:pos="9140" w:val="left"/>
          <w:tab w:leader="none" w:pos="10000" w:val="left"/>
          <w:tab w:leader="none" w:pos="10620" w:val="left"/>
        </w:tabs>
        <w:rPr>
          <w:sz w:val="20"/>
          <w:szCs w:val="20"/>
          <w:color w:val="auto"/>
        </w:rPr>
      </w:pPr>
      <w:r>
        <w:rPr>
          <w:rFonts w:ascii="Times New Roman" w:cs="Times New Roman" w:eastAsia="Times New Roman" w:hAnsi="Times New Roman"/>
          <w:sz w:val="18"/>
          <w:szCs w:val="18"/>
          <w:color w:val="auto"/>
        </w:rPr>
        <w:t>Balance, June 30, 2023</w:t>
      </w:r>
      <w:r>
        <w:rPr>
          <w:sz w:val="20"/>
          <w:szCs w:val="20"/>
          <w:color w:val="auto"/>
        </w:rPr>
        <w:tab/>
      </w:r>
      <w:r>
        <w:rPr>
          <w:rFonts w:ascii="Times New Roman" w:cs="Times New Roman" w:eastAsia="Times New Roman" w:hAnsi="Times New Roman"/>
          <w:sz w:val="18"/>
          <w:szCs w:val="18"/>
          <w:color w:val="auto"/>
        </w:rPr>
        <w:t>54,771</w:t>
        <w:tab/>
        <w:t>$</w:t>
      </w:r>
      <w:r>
        <w:rPr>
          <w:sz w:val="20"/>
          <w:szCs w:val="20"/>
          <w:color w:val="auto"/>
        </w:rPr>
        <w:tab/>
      </w:r>
      <w:r>
        <w:rPr>
          <w:rFonts w:ascii="Times New Roman" w:cs="Times New Roman" w:eastAsia="Times New Roman" w:hAnsi="Times New Roman"/>
          <w:sz w:val="18"/>
          <w:szCs w:val="18"/>
          <w:color w:val="auto"/>
        </w:rPr>
        <w:t>55</w:t>
        <w:tab/>
        <w:t>$</w:t>
      </w:r>
      <w:r>
        <w:rPr>
          <w:sz w:val="20"/>
          <w:szCs w:val="20"/>
          <w:color w:val="auto"/>
        </w:rPr>
        <w:tab/>
      </w:r>
      <w:r>
        <w:rPr>
          <w:rFonts w:ascii="Times New Roman" w:cs="Times New Roman" w:eastAsia="Times New Roman" w:hAnsi="Times New Roman"/>
          <w:sz w:val="18"/>
          <w:szCs w:val="18"/>
          <w:color w:val="auto"/>
        </w:rPr>
        <w:t>374,861</w:t>
        <w:tab/>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(314,416)</w:t>
        <w:tab/>
        <w:t>$</w:t>
      </w:r>
      <w:r>
        <w:rPr>
          <w:sz w:val="20"/>
          <w:szCs w:val="20"/>
          <w:color w:val="auto"/>
        </w:rPr>
        <w:tab/>
      </w:r>
      <w:r>
        <w:rPr>
          <w:rFonts w:ascii="Times New Roman" w:cs="Times New Roman" w:eastAsia="Times New Roman" w:hAnsi="Times New Roman"/>
          <w:sz w:val="18"/>
          <w:szCs w:val="18"/>
          <w:color w:val="auto"/>
        </w:rPr>
        <w:t>60,500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wp:posOffset>
            </wp:positionV>
            <wp:extent cx="498919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195" cy="2540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Pulse Biosciences, Inc. is a novel bioelectric medicine company committed to health innovation using its patented Nano-pulse Stimulation ("NPS") technology, a revolutionary energy modality that delivers nanosecond-duration pulses of electrical energy, each less than a millionth of a second long, to non-thermally clear targeted cells while sparing adjacent noncellular materials. NPS technology, also referred to as Nanosecond Pulsed-Field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2022 to focus its primary efforts on the use of nsPFA energy and the CellFX platform in the treatment of atrial fibrillation ("AF") and in a select few other markets where it could have a profound positive impact on healthcare for both patients and providers, such as soft tissue ablation.</w:t>
      </w:r>
    </w:p>
    <w:p>
      <w:pPr>
        <w:spacing w:after="0" w:line="200" w:lineRule="exact"/>
        <w:rPr>
          <w:sz w:val="20"/>
          <w:szCs w:val="20"/>
          <w:color w:val="auto"/>
        </w:rPr>
      </w:pPr>
    </w:p>
    <w:p>
      <w:pPr>
        <w:spacing w:after="0" w:line="2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was incorporated in Nevada on May 19, 2014. On June 18, 2018, the Company reincorporated from the State of Nevada to the State of Delaware. The Company is located in Miami, Florida, and continues to maintain its offices in Hayward, California. The Company maintains a website at www.pulsebiosciences.com where general information about the Company is available.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activities are subject to significant risks and uncertainties, including the need for additional capital. The Company does not currently have any material cash flows from operations. It has had minimal revenue and currently generates no revenue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basis consistent with the Company’s December 31, 2023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2023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2023. The results of operations for the three-month and six-month periods ended June 30, 2024, are not necessarily indicative of the results to be expected for the entire year or any future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the valuation and recognition of stock-based compensation, the valuation of equity-classified subscription rights, inventory valuation, warranty obligations,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10-K for the year ended December 31, 2023. The Company continually evaluates the accounting policies and estimates used in preparing the consolidated financial statements. During both the year ended December 31, 2023, and the six-month period ended June 30, 2024, the Company issued stock options to certain employees which contain market conditions related to overall market capitalization. Additionally, the Company has issued stock options to certain employees which contain performance conditions related to certain financial measures and achievements of strategic and operational milestones.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stock-based compensation programs include stock options and an employee stock purchase program.</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not recognize compensation expense until it is probable that the performance-based vesting condition will be achieved. The analysis to determine such probability involves estimates and judgements from management and the estimate of expense may be revised periodically.</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also issued certain stock options with market-based vesting conditions. These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in the option-pricing model represent management’s best estimates. If factors change and different assumptions are used, the Company's stock-based compensation expense could be materially different in the future.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6 for a detailed discussion of the Company’s stock plans and stock-based compensation expense.</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a standard warranty on eligible products which provides the customer assurances that the products comply with the agreed-upon specifications. The standard warranty does not provide any services in addition to those assurances. The Company accrued a warranty reserve for products sold based upon the best estimate of the nature, frequency, and costs of future claims. These estimates are inherently uncertain given the short history of sales, and changes to the historical or projected warranty experience may cause material changes to the warranty reserve in the future. In June 2023, the Company reduced the accrued warranty liability to zero. Based upon the Company's shift in focus, there are a limited number of consoles currently covered under the standard warranty. All inventory has been fully written off, therefore the only incremental costs to fulfill a warranty claim in 2024 would be shipping costs or the costs to replace the CellFX nsPFA electrode, which would be immaterial in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Warranty accrual activity consisted of the following for the three-month and six-month periods ended June 30,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5980" w:type="dxa"/>
            <w:vAlign w:val="bottom"/>
          </w:tcPr>
          <w:p>
            <w:pPr>
              <w:spacing w:after="0"/>
              <w:rPr>
                <w:sz w:val="20"/>
                <w:szCs w:val="20"/>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Accruals for warranties issued during the period</w:t>
            </w:r>
          </w:p>
        </w:tc>
        <w:tc>
          <w:tcPr>
            <w:tcW w:w="8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Adjustment for inventory at cost and excessive and obsolete inventory</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5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8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Based on the Accounting Standards Codification ("ASC") 260-10-55, </w:t>
      </w:r>
      <w:r>
        <w:rPr>
          <w:rFonts w:ascii="Times New Roman" w:cs="Times New Roman" w:eastAsia="Times New Roman" w:hAnsi="Times New Roman"/>
          <w:sz w:val="18"/>
          <w:szCs w:val="18"/>
          <w:i w:val="1"/>
          <w:iCs w:val="1"/>
          <w:color w:val="auto"/>
        </w:rPr>
        <w:t>Earnings Per Share - Implementation Guidance and Illustrations</w:t>
      </w:r>
      <w:r>
        <w:rPr>
          <w:rFonts w:ascii="Times New Roman" w:cs="Times New Roman" w:eastAsia="Times New Roman" w:hAnsi="Times New Roman"/>
          <w:sz w:val="18"/>
          <w:szCs w:val="18"/>
          <w:color w:val="auto"/>
        </w:rPr>
        <w:t>, the Company determined that the 2024 Rights Offering (Note 6), contained a bonus element. A rights offering is deemed to have a bonus element when the exercise price at issuance is less than fair value of the Company's stock. The Company has retroactively adjusted earnings per share and weighted average number of shares outstanding for the bonus element for all periods presented.</w:t>
      </w:r>
    </w:p>
    <w:p>
      <w:pPr>
        <w:spacing w:after="0" w:line="18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is the same for all periods presented because all warrants, stock options and restricted stock units outstanding are anti-dilutive.</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outstanding stock options, and warrants were excluded from the computation of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22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80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11,596,762</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6,888,015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11,596,762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6,888,015</w:t>
            </w:r>
          </w:p>
        </w:tc>
      </w:tr>
      <w:tr>
        <w:trPr>
          <w:trHeight w:val="20"/>
        </w:trPr>
        <w:tc>
          <w:tcPr>
            <w:tcW w:w="80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an amendment of the FASB Accounting Standards Codification. The amendments in this ASU are related to the removal of various references to FASB Concept Statements from the codification to make clear distinctions between authoritative and non-authoritative literature in the codification. This ASU is effective for fiscal years beginning after December 15, 2024, with early adoption permitted. The Company does not believe this standard will have an impact on its consolidated financial statements and related disclosures.</w:t>
      </w:r>
    </w:p>
    <w:p>
      <w:pPr>
        <w:spacing w:after="0" w:line="18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there were no additional material changes to the information provided regarding recent accounting pronouncements in Note 2, “Summary of Significant Accounting Policies” in the Company’s Form 10-K for the fiscal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which are directly observable for the asset or liability or indirectly observable through corroboration with observable market data. The Company did not classify any of its investments within Level 2 of the fair value hierarchy.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instruments measured on a recurring basis as of June 30, 2024 and December 31, 2023, respectively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23,608</w:t>
            </w:r>
          </w:p>
        </w:tc>
      </w:tr>
      <w:tr>
        <w:trPr>
          <w:trHeight w:val="20"/>
        </w:trPr>
        <w:tc>
          <w:tcPr>
            <w:tcW w:w="3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23,608</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23,608</w:t>
            </w:r>
          </w:p>
        </w:tc>
      </w:tr>
      <w:tr>
        <w:trPr>
          <w:trHeight w:val="20"/>
        </w:trPr>
        <w:tc>
          <w:tcPr>
            <w:tcW w:w="3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41,184</w:t>
            </w:r>
          </w:p>
        </w:tc>
      </w:tr>
      <w:tr>
        <w:trPr>
          <w:trHeight w:val="20"/>
        </w:trPr>
        <w:tc>
          <w:tcPr>
            <w:tcW w:w="314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41,184</w:t>
            </w:r>
          </w:p>
        </w:tc>
      </w:tr>
      <w:tr>
        <w:trPr>
          <w:trHeight w:val="20"/>
        </w:trPr>
        <w:tc>
          <w:tcPr>
            <w:tcW w:w="3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have any financial liabilities measured on a recurring basis as of June 30, 2024 or December 31, 2023.</w:t>
      </w:r>
    </w:p>
    <w:p>
      <w:pPr>
        <w:spacing w:after="0" w:line="248" w:lineRule="exact"/>
        <w:rPr>
          <w:sz w:val="20"/>
          <w:szCs w:val="20"/>
          <w:color w:val="auto"/>
        </w:rPr>
      </w:pPr>
    </w:p>
    <w:p>
      <w:pPr>
        <w:ind w:left="500" w:right="8460" w:hanging="492"/>
        <w:spacing w:after="0" w:line="532" w:lineRule="auto"/>
        <w:tabs>
          <w:tab w:leader="none" w:pos="19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 Property and Equipment, Net</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Depreciation expense was $0.1 million for each of the three-month periods ended June 30, 2024 and 2023, and $0.3 million for each of the six-month periods ended June 30, 2024 and 2023,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patents and licenses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(6,099)</w:t>
            </w:r>
          </w:p>
        </w:tc>
      </w:tr>
      <w:tr>
        <w:trPr>
          <w:trHeight w:val="250"/>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schedule of the amortization of intangible assets for the remainder of 2024 and the succeeding two fiscal years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6 months)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r>
      <w:tr>
        <w:trPr>
          <w:trHeight w:val="209"/>
        </w:trPr>
        <w:tc>
          <w:tcPr>
            <w:tcW w:w="9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Accrued Expenses</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jc w:val="right"/>
        <w:ind w:right="244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fees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191"/>
        </w:trPr>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2,678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3,199</w:t>
            </w:r>
          </w:p>
        </w:tc>
        <w:tc>
          <w:tcPr>
            <w:tcW w:w="2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2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2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r>
        <w:trPr>
          <w:trHeight w:val="209"/>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3,179</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0" w:type="dxa"/>
            <w:vAlign w:val="bottom"/>
          </w:tcPr>
          <w:p>
            <w:pPr>
              <w:spacing w:after="0"/>
              <w:rPr>
                <w:sz w:val="18"/>
                <w:szCs w:val="18"/>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 2014, the Company acquired three companies (the “Acquisitions”) for aggregate consideration of $5.5 million.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recorded goodwill of $2.8 million in connection with the Acquisitions as the consideration paid exceeded the fair value of the net tangible assets and the intangible assets acquired.</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 amended by Accounting Standards Update 2017-04), the Company reviews goodwill for impairment at least annually or whenever any events or circumstances indicate that it is more likely than not that the fair value of a reporting unit is less than its carrying amount. As of June 30, 2024, there were no indicators of impairment and it was determined that no impairment of goodwill existed.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and Stock-Based Compensation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229"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On March 28, 2024, the Company announced that its Board of Directors ("Board") unanimously approved plans to initiate a rights offering, whereby the Company would distribute non-transferable subscription rights at no charge to all holders of the Company's common stock, par value $0.001 per share (the "Common Stock"), as of the close of business on a record date to be determined. On May 20, 2024, the Company announced that the Board had set May 31, 2024 as the record date (the "Record Date"). All holders of Common Stock as of the Record Date received non-transferable subscription rights to purchase up to an aggregate of six million units (the “2024 Units”) with an aggregate offering value of up to $60 million (the "2024 Rights Offering") at a price per 2024 Unit equal to the lesser of: (i) $10 (the “Initial Price”) and (ii) the volume weighted average price of the Common Stock for the ten trading day period through and including the expiration date, June 26, 2024 (the "Expiration Date"), of the Rights Offering (the “Alternate Price”). Each subscription right entitled the holder to purchase 0.10864186 2024 Units for each share of Common Stock owned as of the Record Date. Each 2024 Unit consisted of one share of Common Stock and two warrants, each being a warrant to purchase one-half of one share of Common Stock. The subscription rights were to expire and have no value if they were not exercised prior to the Expiration Date. The Company determined that the equity-classified subscription rights represents a pro-rata distribution issued to existing stockholders as of the Record Date, which is based on a purchase price of $10 per 2024 Unit as compared to (1) the price of $11.55 per one share of Common Stock on the Record Date, plus (2) the value of the warrants on the Record Date. The Company determined the fair value of the equity-classified subscription rights as of the Record Date, which involved the use of a Monte Carlo simulation to value the underlying warrants. The Monte Carlo simulation was based on certain significant unobservable inputs, such as a risk-free interest rate, stock price volatility, dividend yield, and expected term of the rights offering. The fair value of the equity-classified subscription rights was $47.7 million and was recorded in equity on the balance sheet as part of additional paid-in capital. The deemed pro-rata distribution to shareholders of $47.7 million was reflected as an offsetting reduction in additional paid-in capital. The Company is in an accumulated deficit position and has elected a policy of recognizing the deemed pro-rata distribution to shareholders as a reduction to additional paid-in capital rather than a further increase to its accumulated deficit. See Note 12 for further discussion of the 2024 Rights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Securities Purchase Agreement</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On April 30, 2023, the Company entered into a Securities Purchase Agreement with Robert W. Duggan, the Company’s majority stockholder and Executive Chairman, pursuant to which the Company agreed to issue and sell to Mr. Duggan 10,022,937 shares of the Company’s common stock, par value $0.001 per share, in a Private Placement, at a price per share of $6.51. The parties completed the Private Placement on May 9, 2023, after satisfying all pre-closing conditions, and the Company issued the full number of shares to Mr. Duggan. The shares were paid for through the cancellation of the principal sum of $65.0 million borrowed by the Company pursuant to the 2022 Loan Agreement (See Note 8), together with all accrued and unpaid interest outstanding owed at the time of closing.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Rights Offering</w:t>
      </w:r>
    </w:p>
    <w:p>
      <w:pPr>
        <w:spacing w:after="0" w:line="22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On June 9, 2022, the Company completed a rights offering (the “2022 Rights Offering") resulting in the sale of 7,317,072 units (the “2022 Units”), at a price of $2.05 per 2022 Unit, with each 2022 Unit consisting of one share of the Company’s common stock, par value $0.001 per share, and one warrant (the “2022 Rights Offering Warrants”) to purchase one share of common stock at a price of $2.05 per share. The common stock and warrants comprising the 2022 Units separated upon the closing of the 2022 Rights Offering and were issued individually.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See the Common Stock Warrants section below for further details. Robert W. Duggan, the Company’s majority stockholder and Executive Chairman, purchased approximately 56% of the shares offered through the 2022 Rights Offering.</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2022 Rights Offering, the Company issued 2022 Rights Offering Warrants to purchase a total of 7,317,072 shares of its common stock at an exercise price of $2.05. The 2022 Rights Offering Warrants were subject to redemption by the Company for $0.01 per underlying share of common stock, on not less than 30 days written notice, if the volume weighted average price of the Company’s common stock equals or exceeds 200% of the exercise price for the warrants, subject to adjustment, per share, for 20 consecutive trading days, provided that the Company may not redeem the warrants prior to the date that is three months after the issuance date. On May 10, 2023, the Company issued a press release announcing that on May 9, 2023 the terms for warrant redemption had been met. Pursuant to the redemption, the Company redeemed 66,175 warrants on the redemption date, June 16, 2023. Prior to the redemption date, warrants to purchase 7,250,897 shares were exercised, generating approximately $14.9 million of total gross proceeds to the Company. As of June 30, 2024, there were no 2022 Rights Offering Warrants outstanding.</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 and 2017 Inducement Equity Incentive Plan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previously adopted, and the Company’s stockholders approved, the Company’s 2017 Equity Incentive Plan (the “2017 Plan”).</w:t>
      </w:r>
    </w:p>
    <w:p>
      <w:pPr>
        <w:spacing w:after="0" w:line="225"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The 2017 Plan has a 10-year term, and provides for the grant of stock options, stock appreciation rights, restricted stock, RSUs,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at both January 1, 2024 and 2023, the number of shares of common stock available under the 2017 Plan increased by 1,200,000, respectively, pursuant to the evergreen provision of the 2017 Plan. Under the evergreen provision of the 2017 Plan, the share increase is determined based on the least of (i) 1,200,000 shares,</w:t>
      </w:r>
    </w:p>
    <w:p>
      <w:pPr>
        <w:spacing w:after="0" w:line="6" w:lineRule="exact"/>
        <w:rPr>
          <w:sz w:val="20"/>
          <w:szCs w:val="20"/>
          <w:color w:val="auto"/>
        </w:rPr>
      </w:pPr>
    </w:p>
    <w:p>
      <w:pPr>
        <w:jc w:val="both"/>
        <w:ind w:left="20" w:firstLine="8"/>
        <w:spacing w:after="0" w:line="260" w:lineRule="auto"/>
        <w:tabs>
          <w:tab w:leader="none" w:pos="2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of the Company’s common stock outstanding at December 31 of the immediately preceding year, or (iii) such number of shares as determined by the Board. Additionally, in December 2023, the number of shares of common stock available under the 2017 Plan increased by 1,375,000 shares as a result</w:t>
      </w:r>
    </w:p>
    <w:p>
      <w:pPr>
        <w:sectPr>
          <w:pgSz w:w="11900" w:h="16838" w:orient="portrait"/>
          <w:cols w:equalWidth="0" w:num="1">
            <w:col w:w="11260"/>
          </w:cols>
          <w:pgMar w:left="300" w:top="121" w:right="339" w:bottom="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a stockholder vote held at a special meeting of stockholders. As of June 30, 2024, 707,407 shares of common stock remained available for issuance under the 2017 Plan.</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individuals returning to employment with the Company following a bona-fide period of non-employment. In May 2021, the Board approved an amendment to the Inducement Plan to reserve an additional 1,000,000 shares of the Company’s common stock for issuance pursuant to the Inducement Plan. And, in March 2024, the Board approved a second amendment to the Inducement Plan to reserve an additional 2,000,000 shares of the Company’s common stock for issuance pursuant to the Inducement Plan. As of June 30, 2024, 1,849,126 shares of common stock remained available for issuance under the Inducement Plan.</w:t>
      </w:r>
    </w:p>
    <w:p>
      <w:pPr>
        <w:spacing w:after="0" w:line="1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2015 Plan, 2017 Plan, and Inducement Plan for the six-months ended June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39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4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9,466,036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4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2,155,143</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8.29</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4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4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(9,542)</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15.19</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23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(8,875)</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14.07</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Balances — June 30, 2024</w:t>
            </w:r>
          </w:p>
        </w:tc>
        <w:tc>
          <w:tcPr>
            <w:tcW w:w="238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11,596,762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0"/>
        </w:trPr>
        <w:tc>
          <w:tcPr>
            <w:tcW w:w="3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June 30, 2024</w:t>
            </w:r>
          </w:p>
        </w:tc>
        <w:tc>
          <w:tcPr>
            <w:tcW w:w="4080" w:type="dxa"/>
            <w:vAlign w:val="bottom"/>
            <w:gridSpan w:val="3"/>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4,135,067</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13.43</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5.07</w:t>
            </w:r>
          </w:p>
        </w:tc>
      </w:tr>
      <w:tr>
        <w:trPr>
          <w:trHeight w:val="413"/>
        </w:trPr>
        <w:tc>
          <w:tcPr>
            <w:tcW w:w="394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Time-based Options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the time-based stock option activity under the 2015 Plan, 2017 Plan and Inducement Plan for the six-months ended June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6,141,906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1,316,143</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8.66</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(6,542)</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(7,875)</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15.49</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June 30,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7,441,632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June 30,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3,696,439</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14.11</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4.81</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the time-based options granted during the six-month period ended June 30, 2024 was $8.8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Performance-based Options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stock options awarded by the Company contain performance conditions related to certain financial measures and achievements of strategic and operational milestones. Once a specific performance condition is fulfilled, the associated options will fully vest and become exercisable.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summary of the performance-based option activity under the 2017 Plan and Inducement Plan for the six-months ended June 30,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1,224,130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8.44</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June 30,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1,255,130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June 30,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438,628</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7.63</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7.26</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performance-based options granted during the six-month period ended June 30, 2024 was $0.3 million.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Market-based Options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Certain stock options awarded by the Company contain market conditions related to achievement of certain market capitalization targets. The options will vest and become exercisable once the specific market capitalization targets are fulfilled.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market-based option activity under the 2017 Plan for the six-months ended June 30,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4920" w:type="dxa"/>
            <w:vAlign w:val="bottom"/>
            <w:gridSpan w:val="7"/>
          </w:tcPr>
          <w:p>
            <w:pPr>
              <w:ind w:left="13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r>
      <w:tr>
        <w:trPr>
          <w:trHeight w:val="187"/>
        </w:trPr>
        <w:tc>
          <w:tcPr>
            <w:tcW w:w="632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life (in</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800,000</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expired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Balances — June 30, 2024</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0"/>
        </w:trPr>
        <w:tc>
          <w:tcPr>
            <w:tcW w:w="6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 June 30, 2024</w:t>
            </w:r>
          </w:p>
        </w:tc>
        <w:tc>
          <w:tcPr>
            <w:tcW w:w="17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the market-based options granted during the six-month period ended June 30, 2024 was $4.6 million.</w:t>
      </w:r>
    </w:p>
    <w:p>
      <w:pPr>
        <w:sectPr>
          <w:pgSz w:w="11900" w:h="16838" w:orient="portrait"/>
          <w:cols w:equalWidth="0" w:num="1">
            <w:col w:w="11240"/>
          </w:cols>
          <w:pgMar w:left="320" w:top="121" w:right="339" w:bottom="86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66"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- 94%</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13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1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3.7 - 5.8</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4.4 - 5.9</w:t>
            </w:r>
          </w:p>
        </w:tc>
        <w:tc>
          <w:tcPr>
            <w:tcW w:w="132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3.7 - 5.8</w:t>
            </w:r>
          </w:p>
        </w:tc>
        <w:tc>
          <w:tcPr>
            <w:tcW w:w="13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4.4 - 5.9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90%</w:t>
            </w:r>
          </w:p>
        </w:tc>
        <w:tc>
          <w:tcPr>
            <w:tcW w:w="13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6"/>
              </w:rPr>
              <w:t>90%</w:t>
            </w:r>
          </w:p>
        </w:tc>
        <w:tc>
          <w:tcPr>
            <w:tcW w:w="13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90%</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4.4%</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5"/>
              </w:rPr>
              <w:t>3.4%</w:t>
            </w:r>
          </w:p>
        </w:tc>
        <w:tc>
          <w:tcPr>
            <w:tcW w:w="13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4.2 - 4.4%</w:t>
            </w: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previously adopted, and the Company's stockholders approved, the Company’s 2017 Employee Stock Purchase Plan (the “2017 ESPP”).</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In 2024, the Company reserved an additional 450,000 shares under the 2017 ESPP pursuant to the evergreen provision. In 2023, the Board waived the evergreen provision and no additional shares were reserved under the 2017 ESPP. During the six months ended June 30, 2024, the Company issued 77,959 shares of common stock under the 2017 ESPP. As of June 30, 2024, 485,359 shares of common stock remained available for issuance under the 2017 ESPP.</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500" w:type="dxa"/>
            <w:vAlign w:val="bottom"/>
            <w:gridSpan w:val="2"/>
            <w:shd w:val="clear" w:color="auto" w:fill="CCEEFF"/>
          </w:tcPr>
          <w:p>
            <w:pPr>
              <w:jc w:val="center"/>
              <w:ind w:left="2410"/>
              <w:spacing w:after="0"/>
              <w:rPr>
                <w:sz w:val="20"/>
                <w:szCs w:val="20"/>
                <w:color w:val="auto"/>
              </w:rPr>
            </w:pPr>
            <w:r>
              <w:rPr>
                <w:rFonts w:ascii="Times New Roman" w:cs="Times New Roman" w:eastAsia="Times New Roman" w:hAnsi="Times New Roman"/>
                <w:sz w:val="18"/>
                <w:szCs w:val="18"/>
                <w:color w:val="auto"/>
                <w:w w:val="99"/>
              </w:rPr>
              <w:t>0.5 - 1.0</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0.5 - 1.0</w:t>
            </w:r>
          </w:p>
        </w:tc>
        <w:tc>
          <w:tcPr>
            <w:tcW w:w="132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0.5 - 1.0</w:t>
            </w:r>
          </w:p>
        </w:tc>
        <w:tc>
          <w:tcPr>
            <w:tcW w:w="134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0.5 - 1.0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500" w:type="dxa"/>
            <w:vAlign w:val="bottom"/>
            <w:gridSpan w:val="2"/>
          </w:tcPr>
          <w:p>
            <w:pPr>
              <w:jc w:val="center"/>
              <w:ind w:left="2410"/>
              <w:spacing w:after="0"/>
              <w:rPr>
                <w:sz w:val="20"/>
                <w:szCs w:val="20"/>
                <w:color w:val="auto"/>
              </w:rPr>
            </w:pPr>
            <w:r>
              <w:rPr>
                <w:rFonts w:ascii="Times New Roman" w:cs="Times New Roman" w:eastAsia="Times New Roman" w:hAnsi="Times New Roman"/>
                <w:sz w:val="18"/>
                <w:szCs w:val="18"/>
                <w:color w:val="auto"/>
                <w:w w:val="96"/>
              </w:rPr>
              <w:t>98%</w:t>
            </w:r>
          </w:p>
        </w:tc>
        <w:tc>
          <w:tcPr>
            <w:tcW w:w="138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6"/>
              </w:rPr>
              <w:t>83%</w:t>
            </w:r>
          </w:p>
        </w:tc>
        <w:tc>
          <w:tcPr>
            <w:tcW w:w="13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98%</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500" w:type="dxa"/>
            <w:vAlign w:val="bottom"/>
            <w:gridSpan w:val="2"/>
            <w:shd w:val="clear" w:color="auto" w:fill="CCEEFF"/>
          </w:tcPr>
          <w:p>
            <w:pPr>
              <w:jc w:val="center"/>
              <w:ind w:left="2430"/>
              <w:spacing w:after="0"/>
              <w:rPr>
                <w:sz w:val="20"/>
                <w:szCs w:val="20"/>
                <w:color w:val="auto"/>
              </w:rPr>
            </w:pPr>
            <w:r>
              <w:rPr>
                <w:rFonts w:ascii="Times New Roman" w:cs="Times New Roman" w:eastAsia="Times New Roman" w:hAnsi="Times New Roman"/>
                <w:sz w:val="18"/>
                <w:szCs w:val="18"/>
                <w:color w:val="auto"/>
                <w:w w:val="99"/>
              </w:rPr>
              <w:t>4.9% - 5.3%</w:t>
            </w:r>
          </w:p>
        </w:tc>
        <w:tc>
          <w:tcPr>
            <w:tcW w:w="138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7"/>
              </w:rPr>
              <w:t>5.1% - 5.2%</w:t>
            </w:r>
          </w:p>
        </w:tc>
        <w:tc>
          <w:tcPr>
            <w:tcW w:w="132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4.9% - 5.3%</w:t>
            </w:r>
          </w:p>
        </w:tc>
        <w:tc>
          <w:tcPr>
            <w:tcW w:w="13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5.1% - 5.2%</w:t>
            </w:r>
          </w:p>
        </w:tc>
        <w:tc>
          <w:tcPr>
            <w:tcW w:w="100" w:type="dxa"/>
            <w:vAlign w:val="bottom"/>
            <w:shd w:val="clear" w:color="auto" w:fill="CCEEFF"/>
          </w:tcPr>
          <w:p>
            <w:pPr>
              <w:spacing w:after="0"/>
              <w:rPr>
                <w:sz w:val="18"/>
                <w:szCs w:val="18"/>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380" w:type="dxa"/>
            <w:vAlign w:val="bottom"/>
          </w:tcPr>
          <w:p>
            <w:pPr>
              <w:spacing w:after="0"/>
              <w:rPr>
                <w:sz w:val="20"/>
                <w:szCs w:val="20"/>
                <w:color w:val="auto"/>
              </w:rPr>
            </w:pPr>
          </w:p>
        </w:tc>
        <w:tc>
          <w:tcPr>
            <w:tcW w:w="11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14"/>
        </w:trPr>
        <w:tc>
          <w:tcPr>
            <w:tcW w:w="3600" w:type="dxa"/>
            <w:vAlign w:val="bottom"/>
          </w:tcPr>
          <w:p>
            <w:pPr>
              <w:spacing w:after="0"/>
              <w:rPr>
                <w:sz w:val="24"/>
                <w:szCs w:val="24"/>
                <w:color w:val="auto"/>
              </w:rPr>
            </w:pPr>
          </w:p>
        </w:tc>
        <w:tc>
          <w:tcPr>
            <w:tcW w:w="2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2024, not all of the performance conditions of the performance options are probable to be achieved. Compensation expense has only been recognized for those conditions that are assumed to be probable.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stock-based compensation expense by award type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Time-based options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options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Market-based options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Research Grants and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Sponsored Research Agreement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may sponsor research activities (“SRAs”) performed by ODURF. ODURF is compensated by the Company for its conduct of each study in accordance with the budget and payment terms set forth in the applicable task order. Task orders are typically performed over a 12-month period and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During the three-month and six-month periods ended June 30, 2024 and 2023, the Company did not incur any costs relating to any SRAs. As of June 30, 2024, the Company does not have any active SRAs with ODURF.</w:t>
      </w:r>
    </w:p>
    <w:p>
      <w:pPr>
        <w:spacing w:after="0" w:line="212" w:lineRule="exact"/>
        <w:rPr>
          <w:sz w:val="20"/>
          <w:szCs w:val="20"/>
          <w:color w:val="auto"/>
        </w:rPr>
      </w:pPr>
    </w:p>
    <w:p>
      <w:pPr>
        <w:ind w:left="500" w:right="8500" w:hanging="492"/>
        <w:spacing w:after="0" w:line="532" w:lineRule="auto"/>
        <w:tabs>
          <w:tab w:leader="none" w:pos="194"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2022 Loan Agreement</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Executive Chairman, entered into a Loan Agreement (“2022 Loan Agreement”) in connection with Mr. Duggan lending the principal sum of $65.0 million to the Company. The 2022 Loan Agreement bore interest at a rate per annum equal to 5.0%, payable quarterly commencing on January 1, 2023, with the principal sum payable on March 20, 2024. On March 17, 2023, the Company and Mr. Duggan amended certain terms of the 2022 Loan Agreement. There were no changes to the interest rate, but the principal sum repayment date was changed to September 30, 2024. During the year ended December 31, 2023, the Company made cash payments of $1.7 million for accrued interest on the loan, and recorded an additional $1.1 million of interest expense in relation to the 2022 Loan Agreement.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January 2017, the Company entered into a five-year lease (the “Existing Lease”) for approximately 15,700 square feet for its corporate headquarters located in Hayward, California. The lease commenced in July 2017.</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October 2029 to be coterminous with Expansion Premises 1 and Expansion Premises 2.</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(in thousands):</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6,818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1,146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8,643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cash paid for operating lease liabilities (in thousands):</w:t>
            </w: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432"/>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 (in thousands):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(remaining 6 months)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as of June 30, 2024, were as follows:</w:t>
            </w: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Rent expense, including common area maintenance charges, was approximately $0.6 million and $0.5 million for the three-month periods ended June 30, 2024 and 2023, respectively, and was approximately $1.2 million and $1.0 million for the six-month periods ended June 30, 2024 and 2023,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operations, or cash flows and that a liability is not probable at this time.</w:t>
      </w:r>
    </w:p>
    <w:p>
      <w:pPr>
        <w:sectPr>
          <w:pgSz w:w="11900" w:h="16838" w:orient="portrait"/>
          <w:cols w:equalWidth="0" w:num="1">
            <w:col w:w="11240"/>
          </w:cols>
          <w:pgMar w:left="320" w:top="121" w:right="33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the business as one reportable and operating segment. The Company’s Chief Executive Officer acts as the chief operating decision maker (“CODM”) of the Company. The CODM reviews the results of the Company on a consolidated basis. All of the Company’s long-lived assets are based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May 2022, the Company determined not to renew its annual director and officer liability insurance policy due to disproportionately high premiums quoted by insurance companies. Instead, on May 31, 2022, the Company and Robert W. Duggan, majority stockholder and Executive Chairman, entered into a letter agreement (the “Letter Agreement”) pursuant to which Mr. Duggan agreed with the Company to personally provide indemnity coverage for a one-year period, and he agreed to deposit cash and/or marketable securities into a third-party escrow, as security for these obligations, if requested by the Company. On May 31, 2023, the last day of the one-year period, the Company paid Mr. Duggan a fee of $1.0 million in consideration of the obligations set forth in the Letter Agreement. As of June 30, 2024, there were no additional amounts owed to Mr. Duggan under the Letter Agreement.</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September 20, 2022, the Company and Robert W. Duggan, the Company's majority stockholder and Executive Chairman, entered into the 2022 Loan Agreement in connection with Mr. Duggan lending the principal sum of $65.0 million to the Company. On April 30, 2023, 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Upon closing of the Private Placement and satisfaction of the outstanding debt, the 2022 Loan Agreement terminated, without early termination fees or penalties being owed by the Company. No additional amounts are owed to Mr. Duggan under the 2022 Loan Agreement. See Note 8 for further details.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 Charges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2023, the Company eliminated seven positions and incurred a discrete restructuring related charge of $0.1 million which was fully recorded in February 2023 and the related expenses are included within total cost and expenses on the condensed consolidated statement of operations for the six months ended June 30, 2023. This charge represents the total amount incurred in connection with the activity.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July 3, 2024, the Company announced the closing of its 2024 Rights Offering.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5,999,999 shares of common stock and warrants to acquire up to an additional approximately six million shares of common stock were issued in the offering. The Company received aggregate gross proceeds from the 2024 Rights Offering of $60 million. If exercised, additional gross proceeds of up to $66 million may be received through the exercise of warrants issued in the 2024 Rights Offering. Each warrant will be exercisable for $11.00 per whole share, which equals 110% of the subscription price for the Units. Warrants are exercisable immediately and will expire on the fifth anniversary of the closing of the 2024 Rights Offering. Half of the warrants issued in the rights offering are redeemable by the Company if the Company’s stock trading price exceeds $16.50 for twenty consecutive trading days and the other half of the warrants issued in the rights offering are redeemable by the Company if its stock trading price exceeds $22.00 for twenty consecutive trading days. The shares issued included approximately five million shares in aggregate to Mr. Duggan and affiliates of his, which brings Mr. Duggan’s current beneficial ownership in the Company to approximately 73%.</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CellFX System, a novel nsPFA delivery platform, and commercialized the initial application of its nsPFA technology to treat benign lesions of the skin. In parallel, we have designed a variety of applicators, or disposables,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primary efforts on the use of nsPFA energy and the CellFX platform in the treatment of atrial fibrillation and in a select few other markets where it could have a profound positive impact on healthcare for both patients and providers, such as soft tissue ablation.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Percutaneous Electrode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commercial-ready product for soft tissue ablation in a surgical setting, the CellFX nsPFA Percutaneous Electrode System, consists of a percutaneous needle electrode for use with our proprietary CellFX nsPFA Console. The novel electrode is designed to harness and deliver the key advantages of nsPFA energy, enabling precise nonthermal removal of cellular tissue without inducing thermal necrosis.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early 2023, we have made progress in our percutaneous electrode program. After years of preclinical development and testing, in June 2023, we initiated a first-in-human study using our novel and proprietary nsPFA-enabled disposable, our percutaneous electrode. This study, which is still ongoing, is being conducted by Professor Stefano Spiezia at the Ospedale del Mare in Naples, Italy, to help us better understand and confirm the mechanism of action and tissue response of nsPFA energy in internal organs such as the thyroid. To date, we have treated over twenty study subjects. All of the initial patients in the study tolerated the procedure well with no reported serious side effects. Ultrasound images post-procedure have shown that the treated portions of the benign thyroid nodules have mostly been resorbed with no sign of scarring or fibrosis, which can be a side effect of other ablation modalities. Based on these positive initial results, in November 2023, we amended the thyroid study protocol in Italy to expand enrollment to gather additional clinical experience and further optimize treatment parameters. We expect to complete this study in 2025.</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CellFX nsPFA Percutaneous Electrode System in the United States. In March 2024, we received FDA 510(k) clearance for our CellFX nsPFA Percutaneous Electrode System for use in the ablation of soft tissue in percutaneous and intraoperative surgical procedures. More recently, in July 2024, we received FDA 510(k) clearance for a second size of the percutaneous electrode needle, which we believe will provide our customers with an increased treatment option for their patients.</w:t>
      </w:r>
    </w:p>
    <w:p>
      <w:pPr>
        <w:spacing w:after="0" w:line="183"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Having secured 510(k) clearance to market and sell the CellFX nsPFA Percutaneous Electrode System in the United States with different sizes of percutaneous electrode needles, we have engaged with experts in the field of soft tissue ablation to gather information that will help shape our future commercial endeavors. To date, we have placed our CellFX System with five sites in the United States and these sites have been performing initial patient treatments and evaluating the CellFX System under short-term evaluation agreements. We expect to pursue more clinical evidenced-based milestones throughout 2024 and into 2025 in connection with evaluating the early pilot commercialization of our percutaneous electrodes, and we expect to commence</w:t>
      </w:r>
    </w:p>
    <w:p>
      <w:pPr>
        <w:sectPr>
          <w:pgSz w:w="11900" w:h="16838" w:orient="portrait"/>
          <w:cols w:equalWidth="0" w:num="1">
            <w:col w:w="11240"/>
          </w:cols>
          <w:pgMar w:left="320" w:top="121" w:right="339" w:bottom="0" w:gutter="0" w:footer="0" w:header="0"/>
        </w:sectPr>
      </w:pPr>
    </w:p>
    <w:bookmarkStart w:id="20" w:name="page21"/>
    <w:bookmarkEnd w:id="20"/>
    <w:p>
      <w:pPr>
        <w:ind w:right="580"/>
        <w:spacing w:after="0" w:line="282" w:lineRule="auto"/>
        <w:rPr>
          <w:sz w:val="20"/>
          <w:szCs w:val="20"/>
          <w:color w:val="auto"/>
        </w:rPr>
      </w:pPr>
      <w:r>
        <w:rPr>
          <w:rFonts w:ascii="Times New Roman" w:cs="Times New Roman" w:eastAsia="Times New Roman" w:hAnsi="Times New Roman"/>
          <w:sz w:val="18"/>
          <w:szCs w:val="18"/>
          <w:color w:val="auto"/>
        </w:rPr>
        <w:t>a pivotal clinical trial in 2025 to support a specific labeling indication to commercialize the Percutaneous Electrode System in the United States as a treatment for benign thyroid nodules.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Our Cardiac Surgical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(“AF”)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w:t>
      </w:r>
    </w:p>
    <w:p>
      <w:pPr>
        <w:spacing w:after="0" w:line="183" w:lineRule="exact"/>
        <w:rPr>
          <w:sz w:val="20"/>
          <w:szCs w:val="20"/>
          <w:color w:val="auto"/>
        </w:rPr>
      </w:pPr>
    </w:p>
    <w:p>
      <w:pPr>
        <w:ind w:right="160" w:firstLine="486"/>
        <w:spacing w:after="0" w:line="277" w:lineRule="auto"/>
        <w:rPr>
          <w:sz w:val="20"/>
          <w:szCs w:val="20"/>
          <w:color w:val="auto"/>
        </w:rPr>
      </w:pPr>
      <w:r>
        <w:rPr>
          <w:rFonts w:ascii="Times New Roman" w:cs="Times New Roman" w:eastAsia="Times New Roman" w:hAnsi="Times New Roman"/>
          <w:sz w:val="17"/>
          <w:szCs w:val="17"/>
          <w:color w:val="auto"/>
        </w:rPr>
        <w:t>The results of preclinical and clinical testing of both our nsPFA cardiac products, our surgical ablation clamp and our endocardial ablation catheter, have exceeded our expectations and initial data have been presented at physician or industry conferences. While these devices serve different physicians, the application of the energy to safely and effectively ablate cardiac tissue and the treatment of AF are the same, and we believe there will be important synergies realized through their contemporaneous development. The Company’s cardiac surgical ablation clamp and cardiac endocardial ablation catheter both use nsPFA to generate our proprietary pulses of electrical energy. We discuss each of these products under development in more detail below.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Cardiac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AF.</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our nsPFA technology can provide important advantages over today’s thermal modalities in creating these ablation lines. For example, surgeons using the System should be able to deliver faster ablations through thicker tissue than thermal modalities because of the nonthermal mechanism of action that nsPFA employs, which is not affected by heatsinks such as the blood in the heart. In preclinical studies, our nsPFA Cardiac Clamp has consistently achieved transmural ablations in less than two seconds, independent of tissue type or thickness. Moreover, thermal modalities may cause char formation on electrode surfaces which can cause gaps in the ablation lines that might lead to treatment failure. This should not be an issue with nsPFA ablation given its nonthermal nature. We believe these advantages will be important to cardiac surgeons, so we are working with leaders in the field to develop this technology quickly.</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is our initial clinical design. We now plan to pursue a PMA application for FDA approval to market the cardiac clamp, which will require pivotal clinical data to support the application. With PMA approval, we expect that we would commercialize the nsPFA Cardiac Surgical System in the United States specifically as a treatment for AF. If granted by the FDA, a specific treatment indication would permit direct marketing of the treatment benefits provided by the device. We expect to begin our pivotal clinical trial for AF in 2025. In parallel, we submitted an ethics committee application including a clinical protocol to treat up to 30 patients in the Netherlands. This study should provide information on first-in-human effectiveness and safety with our cardiac surgical ablation clamp.</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CellFX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August 2024, we announced the first treatment of patients with AF in our first-in-human clinical study in the Netherlands.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CellFX nsPFA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Cardiac Catheter</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our cardiac endocardial catheter ablation device will have many of the same advantages that the cardiac surgical ablation clamp appears to have with respect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Current clinical products employing PFA in AF treatment differ from CellFX nsPFA technology in that the pulse widths are longer, typically in the 10’s to 100’s of microseconds. We believe CellFX nsPFA technology, which delivers pulses of electrical energy that are each less than a millionth of a second long, can offer similar safety advantages as PFA and may provide improved efficacy advantages based on the circumferential design of our catheter and because it appears CellFX nsPFA technology can create deeper ablations.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Similar to the cardiac ablation clamp, our proprietary catheter has been in development for several years and we have been working with leaders in the electrophysiology field to test the catheter in preclinical studies. After seeing encouraging preclinical results, in December 2023, we initiated a clinical study in Prague, Czech Republic, to test our CellFX nsPFA 360° Cardiac Catheter in patients with AF and early acute data and remapping data from this study have been promising. We have therefore expanded the initial clinical protocol to enroll up to 60 patients, from 30, and to include participation by two additional sites. We believe the catheter will need to go through the PMA process for FDA approval to market and sell our cardiac endocardial catheter in the United States. We expect to commence a U.S. IDE pivotal clinical study sometime in 2025.</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The CellFX Console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CellFX Console is a tunable, software-enabled, console-based platform, designed to accommodate the clinical workflow preferred by physicians. The CellFX System is configured to accept a variety of end-effectors or electrodes across a range of clinical applications. In February 2021, we received 510(k) clearance from the FDA for the CellFX System for dermatologic procedures requiring ablation and resurfacing of the skin. In January 2021, we received Conformité Européene (“CE”) marking approval for the CellFX System, which allows for marketing of the system in the European Union (“EU”). Shortly after these regulatory clearances, we began commercializing the CellFX System in dermatology for the treatment of benign skin lesions. However, in September 2022, we announced a shift in our focus from dermatology to cardiology and the treatment of AF. We have ceased all commercial sales and marketing operations in dermatology. At the present time, we continue to support our remaining commercial users and remain open to a potential commercial partnership. The CellFX System is being used for our current efforts in the treatment of AF and as part of the CellFX nsPFA Percutaneous Electrode System.</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Our Business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Over the past few years, Robert Duggan, our majority stockholder and Executive Director, has made significant investments in our Company to fund its operations. In June 2022, we completed a common stock rights offering to our existing stockholders, which raised $15 million in aggregate. Mr. Duggan</w:t>
      </w:r>
    </w:p>
    <w:p>
      <w:pPr>
        <w:sectPr>
          <w:pgSz w:w="11900" w:h="16838" w:orient="portrait"/>
          <w:cols w:equalWidth="0" w:num="1">
            <w:col w:w="11240"/>
          </w:cols>
          <w:pgMar w:left="320" w:top="121" w:right="339" w:bottom="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purchased approximately 56% of the shares offered through this offering. Then, in September 2022, we entered into a loan agreement with Mr. Duggan pursuant to which he lent us $65 million to fund our product development operations. In April 2023, this loan agreement was terminated upon Mr. Duggan and us entering into a Securities Purchase Agreement whereby the shares were paid for through the cancellation of both the principal sum of $65.0 million and all accrued and unpaid interest owed at the time under the 2022 loan agreement, which totaled approximately $0.2 million. In June 2024, we completed a rights offering of units (each unit comprising a share of our common stock and two warrants, each to purchase a one-half share of our common stock) to our existing stockholders, which raised $60 million in aggregate. Mr. Duggan purchased approximately 88% of the shares offered through this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in order to maintain the Company as a going concern.</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economic instability caused by the armed conflicts in Ukraine and Israel and high interest rates, together with other market factors, could have an adverse impact on potential sources of future financing.</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substantial operating losses and have used cash in our operating activities since inception. To fund our business, we may utilize some combination of public or private equity offerings, debt financings, or potential new collaborations in the future. There can be no assurance, however, that any additional financing or any revenue-generating collaboration will be available when needed or that we will be able to obtain financing or enter into a collaboration on terms acceptable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On an ongoing basis, we evaluate our critical accounting policies and estimates. Our critical accounting policies and estimates are described in our Annual Report on Form 10-K for the year ended December 31,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requisite service period. We have granted stock options with time-based, performance-based, and market-based vesting conditions.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stock options with performance-based vesting conditions, we do not recognize compensation expense until it is probable that the performance-based vesting condition will be achieved. The analysis to determine such probability involves estimates and judgements from management. The estimate of expense may be revised periodically based on the probability of achieving the required performance targets.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vesting conditions for stock options with market-based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we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represent management’s best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“Recent Accounting Pronouncements” in Note 2 of Notes to Condensed Consolidated Financial Statements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Geographical Information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and manage our business as one reportable and operating segment. Our CODM reviews financial information on an aggregate basis for purposes of allocating resources and evaluating financial performance. All of our long-lived assets are based in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three-month periods ended June 30,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operations as discussed herein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7,230</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4,496</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11,726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(11,726)</w:t>
            </w:r>
          </w:p>
        </w:tc>
        <w:tc>
          <w:tcPr>
            <w:tcW w:w="3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(11,383)</w:t>
            </w:r>
          </w:p>
        </w:tc>
        <w:tc>
          <w:tcPr>
            <w:tcW w:w="3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(11,383)</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revenues for the three-month periods ended June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$0.5 million to $7.2 million for the three-month period ended June 30, 2024, compared to $6.7 million during the same period in 2023 primarily due to increases of $0.5 million in stock-based compensation, $0.4 million in compensation and other employee-related expenses, partially offset by a decrease of $0.4 million in paid services.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$1.0 million to $4.5 million for the three-month period ended June 30, 2024, compared to $3.5 million during the same period in 2023 primarily due to increases of $0.4 million in stock-based compensation, $0.4 million in compensation and other employee-related expenses, and $0.1 million in paid services and general administrative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income, net, was flat for the three-month period ended June 30, 2024, compared to the same period in 2023. Interest income decreased by $0.3 million, driven by decreased returns on lower cash balances. Additionally, interest expense decreased by $0.3 million, driven by the extinguishment of the 2022 Loan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six-month periods ended June 30, 2024 and 2023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operations as discussed herein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13,971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8,370</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22,341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(22,341)</w:t>
            </w:r>
          </w:p>
        </w:tc>
        <w:tc>
          <w:tcPr>
            <w:tcW w:w="3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821</w:t>
            </w:r>
          </w:p>
        </w:tc>
        <w:tc>
          <w:tcPr>
            <w:tcW w:w="3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(21,520)</w:t>
            </w:r>
          </w:p>
        </w:tc>
        <w:tc>
          <w:tcPr>
            <w:tcW w:w="3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(21,520)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(19,711)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revenues for the six-month periods ended June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$1.5 million to $14.0 million for the six-month period ended June 30, 2024, compared to $12.5 million during the same period in 2023 primarily due to increases of $1.2 million in stock-based compensation and $0.7 million in compensation and other employee-related expenses. These increases were partially offset by decreases of $0.2 million in paid services and $0.2 million in supplies.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$1.1 million to $8.4 million for the six-month period ended June 30, 2024, compared to $7.3 million during the same period in 2023 primarily due to increases of $0.6 million in stock-based compensation, $0.3 million in compensation and other employee-related expenses, and $0.2 million in facilities and IT cost allocations driven by our shift in focus.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income decreased by $0.4 million to $0.8 million for the six-month period ended June 30, 2024, compared to $1.2 million during the same period in 2023 driven by decreased returns on lower cash balances. Additionally, interest expense decreased by $1.1 million to zero for the six-month period ended June 30, 2024, compared to $1.1 million during the same period in 2023 driven by the extinguishment of the 2022 Loan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9, 2022, we completed the 2022 Rights Offering resulting in the sale of 7,317,072 Units, at a price of $2.05 per Unit, with each Unit consisting of one share of the Company’s common stock, par value $0.001 per share, and one warrant to purchase one share of common stock at $2.05 per share.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Prior to the redemption date, warrants to purchase 7,250,897 shares were exercised, generating approximately $14.9 million of total gross proceeds to the Company. As of September 30, 2023, there were no 2022 Rights Offering Warrants outstanding. Robert W. Duggan, the Company’s majority stockholder and Executive Chairman, purchased approximately 56% of the shares offered through the 2022 Rights Offering.</w:t>
      </w:r>
    </w:p>
    <w:p>
      <w:pPr>
        <w:spacing w:after="0" w:line="192"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7"/>
          <w:szCs w:val="17"/>
          <w:color w:val="auto"/>
        </w:rPr>
        <w:t>In September 2022, we entered into the 2022 Loan Agreement with Robert W. Duggan, our majority stockholder and Executive 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bore interest at a rate per annum equal to 5.0%, payable quarterly, commencing on January 1, 2023. On March 17, 2023, the Company and Mr. Duggan amended certain terms of the Loan Agreement. There were no changes to the interest rate, the principal sum repayment date was changed to September 30, 2024. However, on April 30, 2023, 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cash flows as discussed herein are presented below:</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83"/>
        </w:trPr>
        <w:tc>
          <w:tcPr>
            <w:tcW w:w="80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r>
      <w:tr>
        <w:trPr>
          <w:trHeight w:val="20"/>
        </w:trPr>
        <w:tc>
          <w:tcPr>
            <w:tcW w:w="110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(18,175)</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(15,772)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(18,169)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(2,392)</w:t>
            </w:r>
          </w:p>
        </w:tc>
      </w:tr>
      <w:tr>
        <w:trPr>
          <w:trHeight w:val="20"/>
        </w:trPr>
        <w:tc>
          <w:tcPr>
            <w:tcW w:w="1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we have generated limited revenue and used cash in our operating activities. As a result, we have incurred significant operating losses in each year since our inception and we may continue to incur additional losses for the next several years. As of June 30, 2024, we had cash and cash equivalents of $26.2 million. In July 2024, we closed a rights offering and raised an additional approximately $60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instability in economic activity caused by the armed conflicts in Ukraine and Israel and high interest rates, together with other market factors, could have an adverse impact on potential sources of future financing.</w:t>
      </w:r>
    </w:p>
    <w:p>
      <w:pPr>
        <w:sectPr>
          <w:pgSz w:w="11900" w:h="16838" w:orient="portrait"/>
          <w:cols w:equalWidth="0" w:num="1">
            <w:col w:w="11240"/>
          </w:cols>
          <w:pgMar w:left="320" w:top="121" w:right="339" w:bottom="501"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01"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used cash in the amount of $18.2 million in operating activities. The difference between cash used in operating activities and net loss consisted primarily of stock-based compensation, depreciation and amortization, as well as decreases in accounts payable and accrued expenses.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we used cash in the amount of $15.8 million in operating activities. The difference between cash used in operating activities and net loss consisted primarily of stock-based compensation, depreciation and amortization, as well as increases in accounts payable, accrued expenses, and accrued interest on related party note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investing activities consist primarily of investment purchases, sales and maturities and capital expenditures.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 immaterial amount of cash was used in investing activities which was driven by the purchase of property and equipment.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six months ended June 30, 2023, $0.1 million of cash used in investing activities was driven by the purchase of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 immaterial amount of cash was provided from financing activities which was driven by $0.3 million of proceeds from issuance of common stock under employee stock purchase plan, offset by $0.3 million of issuance costs in relation to the 2024 Rights Offering.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cash provided by financing activities was $13.4 million, primarily due to $14.8 million of proceeds from the exercise of warrants, $0.3 million of proceeds from issuance of common stock under employee stock purchase plan and $0.1 million of proceeds from the exercise of stock options. These were partially offset by $1.7 million of payments made in relation to the 2022 Loan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to the contractual obligations disclosed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June 30, 2024, we did not have any transactions, obligations or relationships that constitute off-balance sheet arrangements.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Events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2023.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who is our principal executive officer and principal financial officer,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has concluded that, as of June 30, 2024,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13a-15(d) and 15d-15(d) of the Exchange Act, as amended, that occurred during the quarter ended June 30, 2024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 or cash flows and that a liability is not probable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additional funding to finance our operations and complete the development and any commercialization of our products. If we do not receive substantial capital when needed, we may be forced to restrict our operations or delay, reduce or eliminate our product development programs.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in which we will incur significant financial losses as an organization.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with very limited experience commercializing products. We have incurred significant losses since our inception. We anticipate that we will continue to incur losses for at least the next several years and may never generate profits from operations or maintain profitability.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which may result in further dilution to our investors, or incur additional indebtedness. The servicing of future debt may impair our liquidity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and Commercialization of our Medical Products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clinical product candidates, including our product candidates for the treatment of atrial fibrillation ("AF"), our CellFX nsPFA Cardiac Clamp and our CellFX nsPFA 360° Cardiac Catheter and our soft tissue ablation product specifically indicated for treatment of benign thyroid nodules, will obtain regulatory approval or that the results of clinical studies will be favorable.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development and commercialization is a complex, time-consuming and expensive process. Our industry is fraught with risk and a high rate of failure.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limited sales and marketing experience and no experience commercializing our CellFX nsPFA Percutaneous Electrode System. We can give no assurances that our devices will be adopted by surgeons or other physicians to treat any medical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 including the possibility of significant delays to any product launch.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any number of possible unforeseen events in connection with our clinical trials, potential marketing approval or commercialization of our product candidates could be delayed or prevented.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efficacy to the satisfaction of applicable regulatory bodies, such as the U.S. Food and Drug Administration or the European Medicines Agency, we may incur additional costs or experience delays in completing, or ultimately be unable to complete, the development and commercialization of our medical devices.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and timelines may affect the scope and timeline of our trials and the potential market for our product candidates.</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Market</w:t>
      </w:r>
    </w:p>
    <w:p>
      <w:pPr>
        <w:spacing w:after="0" w:line="22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products before or more successfully than we do.</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against well-established incumbent technologies offering products in cardiology, oncology, and dermatology, as well as in minimally invasive procedures. All of these companies currently have greater financial, technical, research, and/or other resources than we do and have larger and more established manufacturing capabilities and marketing, sales, and support functions.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business development opportunities to expand or enhance our pipeline of potential products, including through potential acquisitions of and/or collaborations with other entities or the acquisition of products unrelated to NPS technology, which may not achieve intended results or could increase the number of our outstanding shares or amount of outstanding debt or result in a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is subject to substantial regulatory and legislative uncertainty, including as to pricing, reimbursement practices or other healthcare initiatives which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costly legal claims, in particular related to product liability and intellectual property infringement.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U.S. and foreign anti-corruption, anti-money laundering, export control, sanctions, and other trade laws and regulations. We can face serious consequences for violations.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 Cybersecurity and Data Privacy</w:t>
      </w:r>
    </w:p>
    <w:p>
      <w:pPr>
        <w:spacing w:after="0" w:line="229"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patents to protect our technology. We may be unable to protect our intellectual property rights and we may be liable for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stringent and changing obligations related to data privacy and security could lead to regulatory investigations and actions, litigation, fines and penalties, disruptions to our business operations, reputational harm, loss of revenue and profits, and other adverse business impacts.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Corporate Governance and Employee Relations</w:t>
      </w:r>
    </w:p>
    <w:p>
      <w:pPr>
        <w:spacing w:after="0" w:line="229" w:lineRule="exact"/>
        <w:rPr>
          <w:sz w:val="20"/>
          <w:szCs w:val="20"/>
          <w:color w:val="auto"/>
        </w:rPr>
      </w:pPr>
    </w:p>
    <w:p>
      <w:pPr>
        <w:ind w:left="660" w:right="3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Chief Executive Officer, our Chief Technology Officer, our Chief Strategy Officer, and other key executives and to attract, retain and motivate qualified personnel.</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Chairman owns more than a majority of the voting power of the outstanding shares of our common stock and, as a result, investors may have limited ability to affect either the corporate governance of the Company or the taking of certain major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9" w:lineRule="exact"/>
        <w:rPr>
          <w:sz w:val="20"/>
          <w:szCs w:val="20"/>
          <w:color w:val="auto"/>
        </w:rPr>
      </w:pPr>
    </w:p>
    <w:p>
      <w:pPr>
        <w:ind w:left="660" w:right="4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shares of common stock in the public market, or the perception that these sales could occur, could cause the price of the shares to decline significantly, even if our business is doing well.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shares of common stock may be volatile and fluctuate substantially, which could result in substantial losses for our stockholders.</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of our outstanding shares are owned by our executive Chairman, Robert Duggan, and his affiliates, which can reduce liquidity of our stock. Historically, our trading volume on Nasdaq has been 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Industry and Financial Condition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a limited operating history and no significant revenue stream, it is difficult to evaluate the future of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and we may never become profitable.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or elsewhere.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 that our internal and external sources of liquidity will be sufficient for our cash requirements.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and we expect to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order to continue to execute our business plan. If we are unable to raise sufficient additional funds, we may need to scale back our future operations. Also, the ongoing armed conflicts in Ukraine, Israel and elsewhere, which have negatively impacted the global macroeconomic environment and capital markets, may make it more difficult for us to raise additional funds.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w:t>
      </w:r>
    </w:p>
    <w:p>
      <w:pPr>
        <w:sectPr>
          <w:pgSz w:w="11900" w:h="16838" w:orient="portrait"/>
          <w:cols w:equalWidth="0" w:num="1">
            <w:col w:w="11240"/>
          </w:cols>
          <w:pgMar w:left="320" w:top="121" w:right="339" w:bottom="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consequence of our corporate realignment, we experienced employee turnover in 2022 higher than industry norms, and in February 2023 we continued to reduce headcount by eliminating another seven positions at the Company. 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and future profitability are entirely dependent upon one family of products, the CellFX System, and one platform technology, Nano-pulse Stimulation.</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entirely from the CellFX System, which consists of a console, connectors and end-effectors, and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2021 to 2022, aesthetic and medical dermatologists were slow to adopt our products and even today they have used our products in only a small percentage of their eligible patients. Even if we are able to develop a safe and effective treatment for AF using our proprietary NPS technology, we can give no assurance that cardiologists would adopt NPS technology into their medical practices faster than dermatologists have.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market the CellFX nsPFA Percutaneous Electrode System primarily to Otolaryngologists, Endocrine Surgeons, and Interventional Radiologists (“surgeons”) who may be slow or fail to adopt our products or who may use our products in only a small percentage of their eligible patients for a variety of reasons, including but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reimbursement or cost to the patient;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conviction regarding evidence supporting cost benefits or cost effectiveness of our products over existing alternatives;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clinical data showing longer-term patient benefits;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introduction of new technologies competitive to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risks generally associated with the use of new products and procedures.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of alternative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relationships with suppliers, group purchasing organizations, or end-user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interruptions;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product market acceptance;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regulatory approvals or the imposition of new requirements to maintain such approvals or to receive new approvals;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safety alerts.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future performance. The Company’s business results may vary significantly from such guidance or that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62"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 and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or clearances for our product candidates from regulatory authorities internationally or in the United States, such as the U.S. FDA;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and product candidates, including the degree to which procedures using our products are covered and receive adequate reimbursement from third-party payors, and potential future drugs or devices that compete with our products;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 as well as building out our supply chain, which may vary depending on the quantity of production and which will vary significantly depending upon the terms of our agreements with manufacturers;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and any product candidates, if approved or cleared, which may vary significantly over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patent, employment, securities class action, stockholder derivative, general commercial, and other lawsuits;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professionals, customers, and third-party payers;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with greater efficacy or better safety profiles;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higher discounts, or incentives to gain a competitive advantage;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patents and regulatory approvals for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conducting new product research and development, manufacturing therapies, conducting clinical trials, obtaining regulatory approval for products, and marketing approved products;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AF is the use of thermal ablation modalities, primarily the use of radiofrequency ablation but has recently seen increased use of a different type of PFA called micro-PFA.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for our sales, marketing, manufacturing, and/or distribution activities, and these third parties may not perform satisfactorily.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recently commenced revenue-producing operations; however, we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including our Chief Executive Officer, Burke Barrett, our Chief Commercial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8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very limited experience selling the CellFX System.</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December 31, 2023, we had no U.S. or international sales force. We have only just recently begun to hire employees to help market and sell our CellFX nsPFA Percutaneous Electrode System. We therefore have limited experience marketing and selling the CellFX System and our revenues and cash flows have been volatile and difficult to predict.</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intend to hire and train a very limited number of sales representatives and clinical specialists with backgrounds and experience in the relevant markets, especially those familiar with energy-based therapies and who have existing relationships with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 Furthermore, the use of our product will often require or benefit from direct support from us.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commercialization efforts depend on the efforts of our management and sales team, our third-party manufacturers and suppliers, physicians and medical clinics, and general economic conditions, among other factors, including the following: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sales efforts in the United States and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surgeons and other physicians and patients about the benefits, administration and use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physicians and patients of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therapies;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compliance with all regulatory requirements applicable to our products.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few in number, we expect our direct sales representatives to develop long-lasting relationships with the surgeons they serve. Our future success will depend largely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 to become profitable. In addition, our future sales will largely depend on our ability to increase our marketing efforts and adequately address our customers’ needs. If we are unable to adequately address our customers’ needs, it could negatively impact sales and market acceptance of our products, and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technology in life sciences could make the products we are developing obsolete.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ectPr>
          <w:pgSz w:w="11900" w:h="16838" w:orient="portrait"/>
          <w:cols w:equalWidth="0" w:num="1">
            <w:col w:w="11240"/>
          </w:cols>
          <w:pgMar w:left="320" w:top="121" w:right="339" w:bottom="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procedures,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educate and train surgeons and their staff on the proper use of the CellFX System; if our customers do not adopt our technology into their medical practices, or adopt our technology slower than expected, our business could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most surgeons may have adequate knowledge on how to use our novel CellFX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our strategy includes educating key opinion leaders in the industry. If these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 and our business could suffer.</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purchase components for our products under development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Product-Related Risks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CellFX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5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risk of failure of clinical development is high. For example, the vast majority of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data has been a result of animal testing outside of cardiac animal models, and we have only completed a limited number of feasibility studies in humans, most of which have examined the use of our CellFX System in dermatologic conditions, even though we have been conducting a clinical study of our percutaneous electrode in Italy, a clinical study for our cardiac clamp in the Netherlands and a clinical study of our cardiac catheter in the Czech Republic.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8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caused by the CellFX System, a number of potentially significant negative consequences could result, including:</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such product;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restrict distribution of our product and impose burdensome implementation requirements on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could suffer.</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CellFX System or of any future particular planned product, if approved.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and very limited clinical experience treating AF with our CellFX nsPFA 360° Cardiac Catheter; our past successes in dermatology may not translate into similar results in cardiology. In particular, the safety and efficacy data we have generated using NPS technology and the CellFX System to treat benign lesions in the skin and the preliminary feasibility results we have seen in benign thyroid nodules might not be replicated in other areas of medicine, including the use of CellFX nsPFA technology and the CellFX System to treat AF or other cardiac disease.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marketable products to treat AF, tumors and nodules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necessary regulatory clearance for our product, or if clearances or approvals for future devices and indications are delayed or not issued, the commercial prospects for our CellFX System and other NPS technologies would be harmed.</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design, development and manufacture;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and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marketing, promotion and advertising, sales and distribution;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and serious injuries and recalls and correction and removals.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repair, replace, refund, or recall our marketed devices, or government seizure of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devices, new intended uses or modifications to existing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have already been granted;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would be harmed.</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mechanism of action of NPS technology platform has not been fully determined or validated.</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exact mechanism(s) of action(s) of our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Issues with our firmware and software may negatively affect the function of our devices.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ectPr>
          <w:pgSz w:w="11900" w:h="16838" w:orient="portrait"/>
          <w:cols w:equalWidth="0" w:num="1">
            <w:col w:w="11240"/>
          </w:cols>
          <w:pgMar w:left="320" w:top="121" w:right="339" w:bottom="393"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Data Privacy, &amp; Litigation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7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on our intellectual property rights;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harm our business.</w:t>
      </w:r>
    </w:p>
    <w:p>
      <w:pPr>
        <w:sectPr>
          <w:pgSz w:w="11900" w:h="16838" w:orient="portrait"/>
          <w:cols w:equalWidth="0" w:num="1">
            <w:col w:w="11240"/>
          </w:cols>
          <w:pgMar w:left="320" w:top="121" w:right="339" w:bottom="609"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8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has caused us to modify our information technology practices including that our employees may work remotely which increases the risk of data breaches. Additionally, the prevalent use of mobile devices that access our sensitive data increases the risk of data breaches.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w:t>
      </w:r>
    </w:p>
    <w:p>
      <w:pPr>
        <w:sectPr>
          <w:pgSz w:w="11900" w:h="16838" w:orient="portrait"/>
          <w:cols w:equalWidth="0" w:num="1">
            <w:col w:w="11240"/>
          </w:cols>
          <w:pgMar w:left="320" w:top="121" w:right="339" w:bottom="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however, this insurance may not be sufficient to cover the financial, legal, business or reputational losses that may result from an interruption or breach of our systems.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our product or any future products that we may develop.</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or any planned products that we may develop;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 or cancellation of studies;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enforcement actions;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future products that we may develop.</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8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indeterminate amount of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and clinical testing, and possibly post-market surveillance;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changes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never being granted the regulatory approval or clearance we seek.</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experience any of these occurrences, our operations may suffer and we might experience harm to our competitive standing, which could adversely affect our financial condition.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 substantially changes the way healthcare is financed by both governmental and private insurers, and significantly impacts our industry. The Affordance Care Act contains a number of provisions that impact our business and operations, some of which in ways we cannot currently predict, including those governing enrollments in federal healthcare programs and reimbursement changes.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 our product development depends upon maintaining strong working relationships with physicians.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ectPr>
          <w:pgSz w:w="11900" w:h="16838" w:orient="portrait"/>
          <w:cols w:equalWidth="0" w:num="1">
            <w:col w:w="11240"/>
          </w:cols>
          <w:pgMar w:left="320" w:top="121" w:right="339" w:bottom="60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87" w:lineRule="exact"/>
        <w:rPr>
          <w:sz w:val="20"/>
          <w:szCs w:val="20"/>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Also, any material change to any of the laws or regulations applicable to our business could harm our business, financial condition and results of operations.</w:t>
      </w:r>
    </w:p>
    <w:p>
      <w:pPr>
        <w:sectPr>
          <w:pgSz w:w="11900" w:h="16838" w:orient="portrait"/>
          <w:cols w:equalWidth="0" w:num="1">
            <w:col w:w="11240"/>
          </w:cols>
          <w:pgMar w:left="320" w:top="121" w:right="339" w:bottom="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a technology or device to be reasonably safe or effective for any intended use or indication;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interpret data from preclinical and clinical testing differently than we do;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our manufacturing facility or processes do not comply with quality system regulations;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conclude that our products do not meet quality standards for durability, long-term reliability, biocompatibility, electromagnetic compatibility, or electrical safety;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or clearance policies or adopt new regulations in a manner that is adverse to us.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ongoing requirements and inspections that could lead to the restriction, suspension or revocation of our clearance.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9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ectPr>
          <w:pgSz w:w="11900" w:h="16838" w:orient="portrait"/>
          <w:cols w:equalWidth="0" w:num="1">
            <w:col w:w="11240"/>
          </w:cols>
          <w:pgMar w:left="320" w:top="121" w:right="339" w:bottom="111" w:gutter="0" w:footer="0" w:header="0"/>
        </w:sectPr>
      </w:pPr>
    </w:p>
    <w:p>
      <w:pPr>
        <w:spacing w:after="0" w:line="185"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any failure to comply with applicable laws could subject us to significant liabilities and harm our business.</w:t>
      </w:r>
    </w:p>
    <w:p>
      <w:pPr>
        <w:sectPr>
          <w:pgSz w:w="11900" w:h="16838" w:orient="portrait"/>
          <w:cols w:equalWidth="0" w:num="1">
            <w:col w:w="11240"/>
          </w:cols>
          <w:pgMar w:left="320" w:top="121" w:right="339" w:bottom="111" w:gutter="0" w:footer="0" w:header="0"/>
          <w:type w:val="continuous"/>
        </w:sectPr>
      </w:pPr>
    </w:p>
    <w:bookmarkStart w:id="50" w:name="page51"/>
    <w:bookmarkEnd w:id="50"/>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actual or perceived violations of applicable anti-corruption law or our own internal policies designed to ensure ethical business practices.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anti-bribery, anti-corruption, and anti-money laundering laws, including the U.S. Foreign Corrupt Practices Act of 1977, or FCPA, and similar anti-bribery laws in non-U.S. jurisdictions, as well as export control laws, customs laws, sanctions laws and other laws governing our operations. As we grow our international presence and global operations, we will be increasingly exposed to trade and economic sanctions and other restrictions imposed by the United States, the European Union, and other governments and organizations.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Anti-corruption laws, such as the FCPA and the U.K. Anti-Bribery Act, generally prohibit us and our employees and intermediaries from bribing, being bribed or making other prohibited payments to government officials or other persons to obtain or retain business or gain some other business advantage. The FCPA also imposes accounting standards and requirements on publicly traded U.S. corporations and their foreign affiliates, which are intended to prevent the diversion of corporate funds to the payment of bribes and other improper payments. Numerous other laws restrict, and in some cases prohibit, U.S. companies from directly or indirectly selling goods, technology or services to people or entities in certain countries. In addition, these laws require that we exercise care in structuring our sales and marketing practices and effecting product registrations in foreign countries. Compliance with these regulations is costly.</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 Although we have implemented company policies requiring our employees and consultants to comply with the FCPA and similar laws, such policies may not be effective at preventing all potential FCPA or other violations. There can be No assurance that none of our employees and agents, or those companies to which we outsource certain portions of our business operations, will not take actions that violate our policies or applicable laws, for which we may be ultimately held responsible. Our development of infrastructure designed to identify anti-corruption matters and monitor compliance is at an early stage.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planned products or those of our competitors;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bodies, such as the FDA, that affect our business or have the effect of delaying or rejecting approval or clearance of our planned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CellFX System or to our planned end-effectors;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alleged security breaches;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 including the negative impact of armed conflicts, health epidemics and climate change on the global economy and markets;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ectPr>
          <w:pgSz w:w="11900" w:h="16838" w:orient="portrait"/>
          <w:cols w:equalWidth="0" w:num="1">
            <w:col w:w="11240"/>
          </w:cols>
          <w:pgMar w:left="320" w:top="121" w:right="339" w:bottom="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or purchases of shares of our common stock may adversely affect the market for our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majority percentage of our outstanding stock is held by Robert W. Duggan, Executive Chairman of our Board, who beneficially owns approximately 69% of our common stock outstanding as of the date of this Quarterly Report. As a result, Mr. Duggan has control over corporate actions requiring stockholder approval, including the following actions:</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Four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7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Robert W. Duggan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ectPr>
          <w:pgSz w:w="11900" w:h="16838" w:orient="portrait"/>
          <w:cols w:equalWidth="0" w:num="1">
            <w:col w:w="11240"/>
          </w:cols>
          <w:pgMar w:left="320" w:top="121" w:right="339" w:bottom="0" w:gutter="0" w:footer="0" w:header="0"/>
        </w:sectPr>
      </w:pPr>
    </w:p>
    <w:bookmarkStart w:id="54" w:name="page55"/>
    <w:bookmarkEnd w:id="54"/>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Robert W. Duggan is our Executive Chairman, and he beneficially owns approximately 69%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we cannot be certain if the applicable reduced disclosure requirements will make our common stock less attractive to investors.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8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plans to pay dividends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0"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ectPr>
          <w:pgSz w:w="11900" w:h="16838" w:orient="portrait"/>
          <w:cols w:equalWidth="0" w:num="1">
            <w:col w:w="11240"/>
          </w:cols>
          <w:pgMar w:left="320" w:top="121" w:right="339" w:bottom="0" w:gutter="0" w:footer="0" w:header="0"/>
        </w:sectPr>
      </w:pPr>
    </w:p>
    <w:bookmarkStart w:id="56" w:name="page57"/>
    <w:bookmarkEnd w:id="56"/>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board of directors the ability to amend our bylaws by majority vote;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9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84"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interpretations, estimates or judgments we use to prepare our financial statements prove to be incorrect, investors and others may lose confidence in our financial data, which could cause our stock price to decline.</w:t>
      </w:r>
    </w:p>
    <w:p>
      <w:pPr>
        <w:spacing w:after="0" w:line="159"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such as accounting for the issuance of warrants as equity. Warrants classified as liabilities result in non-cash fair value measurement adjustments that are recorded in other income (expense).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w:t>
      </w:r>
    </w:p>
    <w:p>
      <w:pPr>
        <w:sectPr>
          <w:pgSz w:w="11900" w:h="16838" w:orient="portrait"/>
          <w:cols w:equalWidth="0" w:num="1">
            <w:col w:w="11240"/>
          </w:cols>
          <w:pgMar w:left="320" w:top="121" w:right="339" w:bottom="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three-month period ended June 30, 2024, we completed no unregistered sale of our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three-month period ended June 30, 2024, none of our directors or officers (as defined in Rule 16a-1(f) under the Exchange Act) adopted or terminated a “Rule 10b5-1 trading arrangement” or a “non-Rule 10b5-1 trading arrangement” as such terms are defined under Item 408 of Regulation S-K.</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98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2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9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pursuant to Section 906 of the Sarbanes-Oxley Act of 2002 (18 U.S.C. Section 1350).</w:t>
            </w:r>
          </w:p>
        </w:tc>
        <w:tc>
          <w:tcPr>
            <w:tcW w:w="520" w:type="dxa"/>
            <w:vAlign w:val="bottom"/>
          </w:tcPr>
          <w:p>
            <w:pPr>
              <w:spacing w:after="0"/>
              <w:rPr>
                <w:sz w:val="17"/>
                <w:szCs w:val="17"/>
                <w:color w:val="auto"/>
              </w:rPr>
            </w:pPr>
          </w:p>
        </w:tc>
      </w:t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ind w:firstLine="8"/>
        <w:spacing w:after="0" w:line="261" w:lineRule="auto"/>
        <w:tabs>
          <w:tab w:leader="none" w:pos="1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10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2024</w:t>
            </w:r>
          </w:p>
        </w:tc>
        <w:tc>
          <w:tcPr>
            <w:tcW w:w="710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Burke T. Barrett</w:t>
            </w:r>
          </w:p>
        </w:tc>
      </w:tr>
      <w:tr>
        <w:trPr>
          <w:trHeight w:val="187"/>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1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Burke T. Barrett</w:t>
            </w:r>
          </w:p>
        </w:tc>
      </w:tr>
      <w:tr>
        <w:trPr>
          <w:trHeight w:val="218"/>
        </w:trPr>
        <w:tc>
          <w:tcPr>
            <w:tcW w:w="3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236"/>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and Principal Financial Officer)</w:t>
            </w:r>
          </w:p>
        </w:tc>
      </w:tr>
      <w:tr>
        <w:trPr>
          <w:trHeight w:val="432"/>
        </w:trPr>
        <w:tc>
          <w:tcPr>
            <w:tcW w:w="3580" w:type="dxa"/>
            <w:vAlign w:val="bottom"/>
          </w:tcPr>
          <w:p>
            <w:pPr>
              <w:spacing w:after="0"/>
              <w:rPr>
                <w:sz w:val="24"/>
                <w:szCs w:val="24"/>
                <w:color w:val="auto"/>
              </w:rPr>
            </w:pPr>
          </w:p>
        </w:tc>
        <w:tc>
          <w:tcPr>
            <w:tcW w:w="29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49</w:t>
            </w:r>
          </w:p>
        </w:tc>
        <w:tc>
          <w:tcPr>
            <w:tcW w:w="4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Burke Barrett,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Pulse Biosciences,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2024</w:t>
            </w: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Burke T. Barrett</w:t>
            </w:r>
          </w:p>
        </w:tc>
      </w:tr>
      <w:tr>
        <w:trPr>
          <w:trHeight w:val="191"/>
        </w:trPr>
        <w:tc>
          <w:tcPr>
            <w:tcW w:w="3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Burke T. Barrett</w:t>
            </w:r>
          </w:p>
        </w:tc>
      </w:tr>
      <w:tr>
        <w:trPr>
          <w:trHeight w:val="216"/>
        </w:trPr>
        <w:tc>
          <w:tcPr>
            <w:tcW w:w="3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tc>
      </w:tr>
    </w:tbl>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Pulse Biosciences, Inc. (the “Company”) on Form 10-Q for the period ended June 30, 2024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840" w:hanging="382"/>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60" w:hanging="502"/>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2024</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Burke T. Barrett</w:t>
            </w:r>
          </w:p>
        </w:tc>
      </w:tr>
      <w:tr>
        <w:trPr>
          <w:trHeight w:val="191"/>
        </w:trPr>
        <w:tc>
          <w:tcPr>
            <w:tcW w:w="604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Burke T. Barrett</w:t>
            </w:r>
          </w:p>
        </w:tc>
      </w:tr>
      <w:tr>
        <w:trPr>
          <w:trHeight w:val="216"/>
        </w:trPr>
        <w:tc>
          <w:tcPr>
            <w:tcW w:w="60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04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4"/>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1."/>
      <w:numFmt w:val="decimal"/>
      <w:start w:val="8"/>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2024-08-19T15:51:02Z</dcterms:created>
  <dcterms:modified xsi:type="dcterms:W3CDTF">2024-08-19T15:51:02Z</dcterms:modified>
</cp:coreProperties>
</file>