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0"/>
          <w:szCs w:val="40"/>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5"/>
          <w:szCs w:val="25"/>
          <w:b w:val="1"/>
          <w:bCs w:val="1"/>
          <w:u w:val="single" w:color="auto"/>
          <w:color w:val="auto"/>
        </w:rPr>
        <w:t>April 8, 2026</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Pulse Biosciences,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160" w:type="dxa"/>
            <w:vAlign w:val="bottom"/>
            <w:gridSpan w:val="2"/>
          </w:tcPr>
          <w:p>
            <w:pPr>
              <w:ind w:left="2140"/>
              <w:spacing w:after="0"/>
              <w:rPr>
                <w:sz w:val="20"/>
                <w:szCs w:val="20"/>
                <w:color w:val="auto"/>
              </w:rPr>
            </w:pPr>
            <w:r>
              <w:rPr>
                <w:rFonts w:ascii="Times New Roman" w:cs="Times New Roman" w:eastAsia="Times New Roman" w:hAnsi="Times New Roman"/>
                <w:sz w:val="22"/>
                <w:szCs w:val="22"/>
                <w:b w:val="1"/>
                <w:bCs w:val="1"/>
                <w:color w:val="auto"/>
              </w:rPr>
              <w:t>001-37744</w:t>
            </w:r>
          </w:p>
        </w:tc>
        <w:tc>
          <w:tcPr>
            <w:tcW w:w="2120" w:type="dxa"/>
            <w:vAlign w:val="bottom"/>
          </w:tcPr>
          <w:p>
            <w:pPr>
              <w:spacing w:after="0"/>
              <w:rPr>
                <w:sz w:val="22"/>
                <w:szCs w:val="22"/>
                <w:color w:val="auto"/>
              </w:rPr>
            </w:pPr>
          </w:p>
        </w:tc>
        <w:tc>
          <w:tcPr>
            <w:tcW w:w="1700" w:type="dxa"/>
            <w:vAlign w:val="bottom"/>
          </w:tcPr>
          <w:p>
            <w:pPr>
              <w:jc w:val="center"/>
              <w:ind w:left="244"/>
              <w:spacing w:after="0"/>
              <w:rPr>
                <w:sz w:val="20"/>
                <w:szCs w:val="20"/>
                <w:color w:val="auto"/>
              </w:rPr>
            </w:pPr>
            <w:r>
              <w:rPr>
                <w:rFonts w:ascii="Times New Roman" w:cs="Times New Roman" w:eastAsia="Times New Roman" w:hAnsi="Times New Roman"/>
                <w:sz w:val="22"/>
                <w:szCs w:val="22"/>
                <w:b w:val="1"/>
                <w:bCs w:val="1"/>
                <w:color w:val="auto"/>
                <w:w w:val="97"/>
              </w:rPr>
              <w:t>46-5696597</w:t>
            </w:r>
          </w:p>
        </w:tc>
      </w:tr>
      <w:tr>
        <w:trPr>
          <w:trHeight w:val="21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94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of Incorporation)</w:t>
            </w:r>
          </w:p>
        </w:tc>
        <w:tc>
          <w:tcPr>
            <w:tcW w:w="194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8"/>
        </w:trPr>
        <w:tc>
          <w:tcPr>
            <w:tcW w:w="2140" w:type="dxa"/>
            <w:vAlign w:val="bottom"/>
          </w:tcPr>
          <w:p>
            <w:pPr>
              <w:spacing w:after="0"/>
              <w:rPr>
                <w:sz w:val="24"/>
                <w:szCs w:val="24"/>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7"/>
              </w:rPr>
              <w:t>601 Brickell Key Drive, Suite 1080</w:t>
            </w:r>
          </w:p>
        </w:tc>
        <w:tc>
          <w:tcPr>
            <w:tcW w:w="1700" w:type="dxa"/>
            <w:vAlign w:val="bottom"/>
          </w:tcPr>
          <w:p>
            <w:pPr>
              <w:spacing w:after="0"/>
              <w:rPr>
                <w:sz w:val="24"/>
                <w:szCs w:val="24"/>
                <w:color w:val="auto"/>
              </w:rPr>
            </w:pPr>
          </w:p>
        </w:tc>
      </w:tr>
      <w:tr>
        <w:trPr>
          <w:trHeight w:val="256"/>
        </w:trPr>
        <w:tc>
          <w:tcPr>
            <w:tcW w:w="2140" w:type="dxa"/>
            <w:vAlign w:val="bottom"/>
          </w:tcPr>
          <w:p>
            <w:pPr>
              <w:spacing w:after="0"/>
              <w:rPr>
                <w:sz w:val="22"/>
                <w:szCs w:val="22"/>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Miami, Florida 33131</w:t>
            </w:r>
          </w:p>
        </w:tc>
        <w:tc>
          <w:tcPr>
            <w:tcW w:w="1700" w:type="dxa"/>
            <w:vAlign w:val="bottom"/>
          </w:tcPr>
          <w:p>
            <w:pPr>
              <w:spacing w:after="0"/>
              <w:rPr>
                <w:sz w:val="22"/>
                <w:szCs w:val="22"/>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19"/>
        </w:trPr>
        <w:tc>
          <w:tcPr>
            <w:tcW w:w="2140" w:type="dxa"/>
            <w:vAlign w:val="bottom"/>
          </w:tcPr>
          <w:p>
            <w:pPr>
              <w:spacing w:after="0"/>
              <w:rPr>
                <w:sz w:val="24"/>
                <w:szCs w:val="24"/>
                <w:color w:val="auto"/>
              </w:rPr>
            </w:pPr>
          </w:p>
        </w:tc>
        <w:tc>
          <w:tcPr>
            <w:tcW w:w="3160" w:type="dxa"/>
            <w:vAlign w:val="bottom"/>
            <w:gridSpan w:val="2"/>
          </w:tcPr>
          <w:p>
            <w:pPr>
              <w:jc w:val="center"/>
              <w:ind w:left="1839"/>
              <w:spacing w:after="0"/>
              <w:rPr>
                <w:sz w:val="20"/>
                <w:szCs w:val="20"/>
                <w:color w:val="auto"/>
              </w:rPr>
            </w:pPr>
            <w:r>
              <w:rPr>
                <w:rFonts w:ascii="Times New Roman" w:cs="Times New Roman" w:eastAsia="Times New Roman" w:hAnsi="Times New Roman"/>
                <w:sz w:val="22"/>
                <w:szCs w:val="22"/>
                <w:b w:val="1"/>
                <w:bCs w:val="1"/>
                <w:color w:val="auto"/>
                <w:w w:val="97"/>
              </w:rPr>
              <w:t>510-906-4600</w:t>
            </w: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00" w:type="dxa"/>
            <w:vAlign w:val="bottom"/>
          </w:tcPr>
          <w:p>
            <w:pPr>
              <w:spacing w:after="0"/>
              <w:rPr>
                <w:sz w:val="20"/>
                <w:szCs w:val="20"/>
                <w:color w:val="auto"/>
              </w:rPr>
            </w:pPr>
          </w:p>
        </w:tc>
      </w:tr>
      <w:tr>
        <w:trPr>
          <w:trHeight w:val="441"/>
        </w:trPr>
        <w:tc>
          <w:tcPr>
            <w:tcW w:w="2140" w:type="dxa"/>
            <w:vAlign w:val="bottom"/>
          </w:tcPr>
          <w:p>
            <w:pPr>
              <w:spacing w:after="0"/>
              <w:rPr>
                <w:sz w:val="24"/>
                <w:szCs w:val="24"/>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282"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5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PLSE</w:t>
            </w:r>
          </w:p>
        </w:tc>
        <w:tc>
          <w:tcPr>
            <w:tcW w:w="4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Operating Officer Appointment</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Pulse Biosciences, Inc. (the “Company”) has appointed Liane R. Teplitsky as its Chief Operating Officer, effective as of April 8, 2026 (the “Start Date”).</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Ms. Teplitsky most recently served as Chief Executive Officer of Artedrone, where she led the strategy and development of an autonomous robotic technology for stroke treatment. Previously, Ms. Teplitsky held senior marketing and commercial leadership roles at Abbott Laboratories and St. Jude Medical, contributing to the development, clinical validation, and global commercialization of cardiovascular and electrophysiology (EP) therapies. She also served as President of Robotics, Technology and Data Solutions at Zimmer Biomet, where she led global strategy and commercialization for robotics and digital health technologies. Ms. Teplitsky holds a Master of Science in Biomedical Engineering from Duke University and Bachelor of Science degrees in Electrical Engineering and Physiology from the University of Saskatchewan. Ms. Teplitsky currently serves as Chairman of the Board of Carvolix (Paris-EUR) and will remain in this role as she joins Pulse Biosciences.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are no reportable family relationships or related party transactions (as defined in Item 404(a) of Regulation S-K) involving the Company and Ms. Teplitsky. Ms. Teplitsky was not selected to serve as the Company’s Chief Operating Officer pursuant to any arrangement or understanding with any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and Other Compensatory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Ms. Teplitsky’s appointment as Chief Operating Officer, the Company and Ms. Teplitsky entered into an Employment Agreement, dated April 8, 2026 (the “Employment Agreement”), pursuant to which Ms. Teplitsky will serve as the Company’s Chief Operating Officer. The material terms and conditions of the Employment Agreement are summarized below.</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Ms. Teplitsky’s Employment Agreement has no specific term and constitutes at-will employment. Her current annual base salary is $525,000 and she is eligible for an annual target bonus equal to 70% of her annual base salary, subject to achievement of performance objectives set by the Company. Ms. Teplitsky is also eligible to participate in employee benefit plans maintained from time to time by the Company of general applicability to other senior executives.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her appointment, the Company awarded Ms. Teplitsky a stock option (the “Start Date Option”) to purchase up to 700,000 shares of the Company’s common stock, with an exercise price of $19.06 per share, the closing price of the Company’s common stock on April 8, 2026, Ms. Teplitsky’s employment start date and date of grant. The award was made pursuant to the terms and conditions of the Company’s Amended and Restated 2017 Inducement Equity Incentive Plan (the “Plan”). The Start Date Option has a ten-year term and will vest as follows: Subject to certain accelerated vesting provisions as described in the Employment Agreement, (A) up to 2/7 of the Start Date Option (equal to 200,000 option shares) will vest as follows: 1/14 will vest (equal to 50,000 option shares) on the first Anniversary of the Start Date and thereafter 1/14 (equal to 50,000 option shares per year) will vest in equal amounts on an annual basis over the three year period starting with the first anniversary of the Start Date, and (B) up to the remaining 5/7 of the option shares subject to the Start Date Option (equal to 500,000 options shares) will vest based upon the achievement of the following performance objectives:</w:t>
      </w:r>
    </w:p>
    <w:p>
      <w:pPr>
        <w:spacing w:after="0" w:line="188" w:lineRule="exact"/>
        <w:rPr>
          <w:sz w:val="20"/>
          <w:szCs w:val="20"/>
          <w:color w:val="auto"/>
        </w:rPr>
      </w:pPr>
    </w:p>
    <w:p>
      <w:pPr>
        <w:jc w:val="both"/>
        <w:ind w:left="1600" w:hanging="323"/>
        <w:spacing w:after="0" w:line="257" w:lineRule="auto"/>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2/10.5 of which (equal to 133,333 option shares) would vest when the Company has had a market capitalization of not less than two billion ($2.0B) for 270 consecutive calendar days and the Company has generated not less than $100 million of GAAP product revenue over twelve months;</w:t>
      </w:r>
    </w:p>
    <w:p>
      <w:pPr>
        <w:spacing w:after="0" w:line="1" w:lineRule="exact"/>
        <w:rPr>
          <w:rFonts w:ascii="Times New Roman" w:cs="Times New Roman" w:eastAsia="Times New Roman" w:hAnsi="Times New Roman"/>
          <w:sz w:val="18"/>
          <w:szCs w:val="18"/>
          <w:color w:val="auto"/>
        </w:rPr>
      </w:pPr>
    </w:p>
    <w:p>
      <w:pPr>
        <w:ind w:left="1620" w:right="240" w:hanging="316"/>
        <w:spacing w:after="0" w:line="250" w:lineRule="auto"/>
        <w:tabs>
          <w:tab w:leader="none" w:pos="1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1/3 of which (equal to 233,334 option shares) would vest when the Company has had a market capitalization of not less than three billion ($3.0B) for 270 consecutive calendar days and the Company has generated not less than $200 million of GAAP product revenue over twelve months; and</w:t>
      </w:r>
    </w:p>
    <w:p>
      <w:pPr>
        <w:spacing w:after="0" w:line="1" w:lineRule="exact"/>
        <w:rPr>
          <w:rFonts w:ascii="Times New Roman" w:cs="Times New Roman" w:eastAsia="Times New Roman" w:hAnsi="Times New Roman"/>
          <w:sz w:val="18"/>
          <w:szCs w:val="18"/>
          <w:color w:val="auto"/>
        </w:rPr>
      </w:pPr>
    </w:p>
    <w:p>
      <w:pPr>
        <w:jc w:val="both"/>
        <w:ind w:left="1620" w:hanging="316"/>
        <w:spacing w:after="0" w:line="255" w:lineRule="auto"/>
        <w:tabs>
          <w:tab w:leader="none" w:pos="1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2/10.5 of which (equal to 133,333 option shares) would vest when the Company has had a market capitalization of not less than five billion ($5.0B) for 270 consecutive calendar days and the Company has generated not less than $330 million of GAAP product revenue over twelve months.</w:t>
      </w:r>
    </w:p>
    <w:p>
      <w:pPr>
        <w:spacing w:after="0" w:line="1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Company awarded Ms. Teplitsky 200,000 restricted stock units under the Plan (the “Start Date RSUs”). Subject to certain accelerated vesting provisions as described in the Employment Agreement, the Start Date RSUs will vest based upon the achievement of the following performance objectives:</w:t>
      </w:r>
    </w:p>
    <w:p>
      <w:pPr>
        <w:spacing w:after="0" w:line="176" w:lineRule="exact"/>
        <w:rPr>
          <w:sz w:val="20"/>
          <w:szCs w:val="20"/>
          <w:color w:val="auto"/>
        </w:rPr>
      </w:pPr>
    </w:p>
    <w:p>
      <w:pPr>
        <w:ind w:left="1600" w:hanging="323"/>
        <w:spacing w:after="0" w:line="261" w:lineRule="auto"/>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Start Date RSUs (equal to 50,000 restricted stock units) would vest when the Company has generated not less than $100 million of GAAP product revenue over twelve months;</w:t>
      </w:r>
    </w:p>
    <w:p>
      <w:pPr>
        <w:ind w:left="1620" w:right="140" w:hanging="316"/>
        <w:spacing w:after="0" w:line="250" w:lineRule="auto"/>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of the Start Date RSUs (equal to 100,000 restricted stock units) would vest when the Company has generated not less than $200 million of GAAP product revenue over twelve months; and</w:t>
      </w:r>
    </w:p>
    <w:p>
      <w:pPr>
        <w:ind w:left="1620" w:right="220" w:hanging="316"/>
        <w:spacing w:after="0" w:line="260" w:lineRule="auto"/>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Start Date RSUs (equal to 50,000 restricted stock units) would vest when the Company has generated not less than $300 million of GAAP product revenue over twelve months.</w:t>
      </w:r>
    </w:p>
    <w:p>
      <w:pPr>
        <w:spacing w:after="0" w:line="1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Ms. Teplitsky has also entered into the Company’s standard inventions assignment, confidentiality and non-competition agreement and its standard indemnification agreement for officers and directors.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forgoing description of the Employment Agreement is not complete and is subject to, and qualified in its entirety by, reference to the Employment Agreement, a copy of which is filed with this Current Report on Form 8-K as Exhibit 10.1, and the terms of which are incorporated by reference herein.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April 9, 2026, the Company issued a press release announcing the appointment of Ms. Teplitsky as Chief Operating Officer. A copy of the Company's press release is attached as Exhibit 99.1.</w:t>
      </w:r>
    </w:p>
    <w:p>
      <w:pPr>
        <w:sectPr>
          <w:pgSz w:w="11900" w:h="16838" w:orient="portrait"/>
          <w:cols w:equalWidth="0" w:num="1">
            <w:col w:w="11240"/>
          </w:cols>
          <w:pgMar w:left="320" w:top="576" w:right="339" w:bottom="0" w:gutter="0" w:footer="0" w:header="0"/>
        </w:sectPr>
      </w:pPr>
    </w:p>
    <w:bookmarkStart w:id="2" w:name="page3"/>
    <w:bookmarkEnd w:id="2"/>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Employment Agreement, dated April 8, 2026 by and between, Liane R. Teplitsky and Pulse Biosciences,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Press Release of Pulse Biosciences, Inc., dated April 9,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60" w:space="280"/>
            <w:col w:w="10100"/>
          </w:cols>
          <w:pgMar w:left="320" w:top="121"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64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2026</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Paul A. LaViolette</w:t>
            </w:r>
          </w:p>
        </w:tc>
      </w:tr>
      <w:tr>
        <w:trPr>
          <w:trHeight w:val="191"/>
        </w:trPr>
        <w:tc>
          <w:tcPr>
            <w:tcW w:w="32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A. LaViolette</w:t>
            </w:r>
          </w:p>
        </w:tc>
      </w:tr>
      <w:tr>
        <w:trPr>
          <w:trHeight w:val="214"/>
        </w:trPr>
        <w:tc>
          <w:tcPr>
            <w:tcW w:w="3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ind w:firstLine="612"/>
        <w:spacing w:after="0" w:line="286"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and entered into by and between </w:t>
      </w:r>
      <w:r>
        <w:rPr>
          <w:rFonts w:ascii="Times New Roman" w:cs="Times New Roman" w:eastAsia="Times New Roman" w:hAnsi="Times New Roman"/>
          <w:sz w:val="18"/>
          <w:szCs w:val="18"/>
          <w:b w:val="1"/>
          <w:bCs w:val="1"/>
          <w:color w:val="auto"/>
        </w:rPr>
        <w:t>Liane R. Teplitsky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Pulse Biosciences,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of April 8, 2026.</w:t>
      </w:r>
    </w:p>
    <w:p>
      <w:pPr>
        <w:spacing w:after="0" w:line="159" w:lineRule="exact"/>
        <w:rPr>
          <w:sz w:val="20"/>
          <w:szCs w:val="20"/>
          <w:color w:val="auto"/>
        </w:rPr>
      </w:pPr>
    </w:p>
    <w:p>
      <w:pPr>
        <w:ind w:left="880" w:hanging="319"/>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and Scope of Employment.</w:t>
      </w:r>
    </w:p>
    <w:p>
      <w:pPr>
        <w:spacing w:after="0" w:line="221" w:lineRule="exact"/>
        <w:rPr>
          <w:rFonts w:ascii="Times New Roman" w:cs="Times New Roman" w:eastAsia="Times New Roman" w:hAnsi="Times New Roman"/>
          <w:sz w:val="18"/>
          <w:szCs w:val="18"/>
          <w:color w:val="auto"/>
        </w:rPr>
      </w:pPr>
    </w:p>
    <w:p>
      <w:pPr>
        <w:ind w:left="1540" w:right="200" w:hanging="317"/>
        <w:spacing w:after="0" w:line="256"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As of April 8, 2026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xml:space="preserve">”), Executive will serve as the Company’s </w:t>
      </w:r>
      <w:r>
        <w:rPr>
          <w:rFonts w:ascii="Times New Roman" w:cs="Times New Roman" w:eastAsia="Times New Roman" w:hAnsi="Times New Roman"/>
          <w:sz w:val="18"/>
          <w:szCs w:val="18"/>
          <w:b w:val="1"/>
          <w:bCs w:val="1"/>
          <w:color w:val="auto"/>
        </w:rPr>
        <w:t>Chief Operating Officer</w:t>
      </w:r>
      <w:r>
        <w:rPr>
          <w:rFonts w:ascii="Times New Roman" w:cs="Times New Roman" w:eastAsia="Times New Roman" w:hAnsi="Times New Roman"/>
          <w:sz w:val="18"/>
          <w:szCs w:val="18"/>
          <w:color w:val="auto"/>
        </w:rPr>
        <w:t>, reporting to both of the Company’s Co-Chairmen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Executive will render such business and professional services in the performance of Executive’s duties, consistent with Executive’s position within the Company. Executive also will serve the Company in such other or alternative positions consistent with Executive’s position within the Company as may reasonably be assigned to Executive by the Company’s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Board, which positions may include director and additional or other officer positions of the Company and subsidiaries of the Company. The period of Executive’s rendering of employment services under this Agreement is referred to herein as the “</w:t>
      </w:r>
      <w:r>
        <w:rPr>
          <w:rFonts w:ascii="Times New Roman" w:cs="Times New Roman" w:eastAsia="Times New Roman" w:hAnsi="Times New Roman"/>
          <w:sz w:val="18"/>
          <w:szCs w:val="18"/>
          <w:b w:val="1"/>
          <w:bCs w:val="1"/>
          <w:color w:val="auto"/>
        </w:rPr>
        <w:t>Employment Term</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540" w:right="60" w:hanging="331"/>
        <w:spacing w:after="0" w:line="261"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Board.</w:t>
      </w:r>
    </w:p>
    <w:p>
      <w:pPr>
        <w:spacing w:after="0" w:line="179" w:lineRule="exact"/>
        <w:rPr>
          <w:rFonts w:ascii="Times New Roman" w:cs="Times New Roman" w:eastAsia="Times New Roman" w:hAnsi="Times New Roman"/>
          <w:sz w:val="18"/>
          <w:szCs w:val="18"/>
          <w:color w:val="auto"/>
        </w:rPr>
      </w:pPr>
    </w:p>
    <w:p>
      <w:pPr>
        <w:ind w:left="1540" w:right="20" w:hanging="317"/>
        <w:spacing w:after="0" w:line="261"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Resignation</w:t>
      </w:r>
      <w:r>
        <w:rPr>
          <w:rFonts w:ascii="Times New Roman" w:cs="Times New Roman" w:eastAsia="Times New Roman" w:hAnsi="Times New Roman"/>
          <w:sz w:val="18"/>
          <w:szCs w:val="18"/>
          <w:color w:val="auto"/>
        </w:rPr>
        <w:t>. At the end of the Employment Term, including upon any termination of employment for any reason, such ending or termination will be deemed to be an automatic resignation from all director and officer positions of the Company and any of its subsidiaries, unless the continuation of such appointments is specifically approved by a resolution of the Board of the respective corporation or its shareholders.</w:t>
      </w:r>
    </w:p>
    <w:p>
      <w:pPr>
        <w:spacing w:after="0" w:line="179" w:lineRule="exact"/>
        <w:rPr>
          <w:rFonts w:ascii="Times New Roman" w:cs="Times New Roman" w:eastAsia="Times New Roman" w:hAnsi="Times New Roman"/>
          <w:sz w:val="18"/>
          <w:szCs w:val="18"/>
          <w:color w:val="auto"/>
        </w:rPr>
      </w:pPr>
    </w:p>
    <w:p>
      <w:pPr>
        <w:ind w:left="880" w:right="40" w:hanging="319"/>
        <w:spacing w:after="0" w:line="258"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spacing w:after="0" w:line="183" w:lineRule="exact"/>
        <w:rPr>
          <w:rFonts w:ascii="Times New Roman" w:cs="Times New Roman" w:eastAsia="Times New Roman" w:hAnsi="Times New Roman"/>
          <w:sz w:val="18"/>
          <w:szCs w:val="18"/>
          <w:color w:val="auto"/>
        </w:rPr>
      </w:pPr>
    </w:p>
    <w:p>
      <w:pPr>
        <w:ind w:left="880" w:hanging="319"/>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1540" w:right="20" w:hanging="317"/>
        <w:spacing w:after="0" w:line="262"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During the Employment Term, the Company will pay Executive an annual salary of </w:t>
      </w:r>
      <w:r>
        <w:rPr>
          <w:rFonts w:ascii="Times New Roman" w:cs="Times New Roman" w:eastAsia="Times New Roman" w:hAnsi="Times New Roman"/>
          <w:sz w:val="18"/>
          <w:szCs w:val="18"/>
          <w:b w:val="1"/>
          <w:bCs w:val="1"/>
          <w:color w:val="auto"/>
        </w:rPr>
        <w:t>$525,000.00</w:t>
      </w:r>
      <w:r>
        <w:rPr>
          <w:rFonts w:ascii="Times New Roman" w:cs="Times New Roman" w:eastAsia="Times New Roman" w:hAnsi="Times New Roman"/>
          <w:sz w:val="18"/>
          <w:szCs w:val="18"/>
          <w:color w:val="auto"/>
        </w:rPr>
        <w:t xml:space="preserve"> as compensation for Executive’s services (the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The Base Salary will be paid periodically (but not less frequently than semi-monthly) in accordance with the Company’s normal payroll practices and be subject to the usual required withholdings. Executive’s salary will be subject to review and adjustments will be made based upon the Company’s normal performance review practices.</w:t>
      </w:r>
    </w:p>
    <w:p>
      <w:pPr>
        <w:spacing w:after="0" w:line="176" w:lineRule="exact"/>
        <w:rPr>
          <w:rFonts w:ascii="Times New Roman" w:cs="Times New Roman" w:eastAsia="Times New Roman" w:hAnsi="Times New Roman"/>
          <w:sz w:val="18"/>
          <w:szCs w:val="18"/>
          <w:color w:val="auto"/>
        </w:rPr>
      </w:pPr>
    </w:p>
    <w:p>
      <w:pPr>
        <w:ind w:left="1540" w:right="60" w:hanging="331"/>
        <w:spacing w:after="0" w:line="255"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Executive will be eligible to receive an annual bonus of up to 7</w:t>
      </w:r>
      <w:r>
        <w:rPr>
          <w:rFonts w:ascii="Times New Roman" w:cs="Times New Roman" w:eastAsia="Times New Roman" w:hAnsi="Times New Roman"/>
          <w:sz w:val="18"/>
          <w:szCs w:val="18"/>
          <w:b w:val="1"/>
          <w:bCs w:val="1"/>
          <w:color w:val="auto"/>
        </w:rPr>
        <w:t>0%</w:t>
      </w:r>
      <w:r>
        <w:rPr>
          <w:rFonts w:ascii="Times New Roman" w:cs="Times New Roman" w:eastAsia="Times New Roman" w:hAnsi="Times New Roman"/>
          <w:sz w:val="18"/>
          <w:szCs w:val="18"/>
          <w:color w:val="auto"/>
        </w:rPr>
        <w:t xml:space="preserve"> of Executive’s base salary (the “</w:t>
      </w:r>
      <w:r>
        <w:rPr>
          <w:rFonts w:ascii="Times New Roman" w:cs="Times New Roman" w:eastAsia="Times New Roman" w:hAnsi="Times New Roman"/>
          <w:sz w:val="18"/>
          <w:szCs w:val="18"/>
          <w:b w:val="1"/>
          <w:bCs w:val="1"/>
          <w:color w:val="auto"/>
        </w:rPr>
        <w:t>Target Bonus</w:t>
      </w:r>
      <w:r>
        <w:rPr>
          <w:rFonts w:ascii="Times New Roman" w:cs="Times New Roman" w:eastAsia="Times New Roman" w:hAnsi="Times New Roman"/>
          <w:sz w:val="18"/>
          <w:szCs w:val="18"/>
          <w:color w:val="auto"/>
        </w:rPr>
        <w:t>”), less applicable withholdings, upon the attainment of annual designated corporate goals and milestones, in each case set and measured in the good faith discretion of the Board at a time consistent with the other executives of the Company. Notwithstanding anything to the contrary, Executive’s initial annual bonus, if awarded by the Board, shall not be prorated for the year of hire. Executive’s eligibility, and the terms and conditions, for the Target Bonus will be documented and issued to Executive if and when approved by the Board. If awarded, the Target Bonus will be paid prior to the later of (i) the fifteenth (15th) day of the third (3rd) month following the close of the Company’s fiscal year in which the Target Bonus is earned or (ii) March 15 following the calendar year in which the Target Bonus is earned, provided that the Employment Term extends through the date of payment.</w:t>
      </w:r>
    </w:p>
    <w:p>
      <w:pPr>
        <w:spacing w:after="0" w:line="188" w:lineRule="exact"/>
        <w:rPr>
          <w:rFonts w:ascii="Times New Roman" w:cs="Times New Roman" w:eastAsia="Times New Roman" w:hAnsi="Times New Roman"/>
          <w:sz w:val="18"/>
          <w:szCs w:val="18"/>
          <w:color w:val="auto"/>
        </w:rPr>
      </w:pPr>
    </w:p>
    <w:p>
      <w:pPr>
        <w:ind w:left="1540" w:right="20" w:hanging="317"/>
        <w:spacing w:after="0" w:line="253"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Start Date Option; Start Date RSUs</w:t>
      </w:r>
      <w:r>
        <w:rPr>
          <w:rFonts w:ascii="Times New Roman" w:cs="Times New Roman" w:eastAsia="Times New Roman" w:hAnsi="Times New Roman"/>
          <w:sz w:val="18"/>
          <w:szCs w:val="18"/>
          <w:color w:val="auto"/>
        </w:rPr>
        <w:t>. Subject to the approval of the Board, Executive will be granted an option under either the 2017 Inducement Equity Incentive Plan or the 2017 Equity Incentive Plan, as amended (in either case,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xml:space="preserve">”), to acquire </w:t>
      </w:r>
      <w:r>
        <w:rPr>
          <w:rFonts w:ascii="Times New Roman" w:cs="Times New Roman" w:eastAsia="Times New Roman" w:hAnsi="Times New Roman"/>
          <w:sz w:val="18"/>
          <w:szCs w:val="18"/>
          <w:b w:val="1"/>
          <w:bCs w:val="1"/>
          <w:color w:val="auto"/>
        </w:rPr>
        <w:t>700,000</w:t>
      </w:r>
      <w:r>
        <w:rPr>
          <w:rFonts w:ascii="Times New Roman" w:cs="Times New Roman" w:eastAsia="Times New Roman" w:hAnsi="Times New Roman"/>
          <w:sz w:val="18"/>
          <w:szCs w:val="18"/>
          <w:color w:val="auto"/>
        </w:rPr>
        <w:t xml:space="preserve"> shares of common stock of the Company (the “</w:t>
      </w:r>
      <w:r>
        <w:rPr>
          <w:rFonts w:ascii="Times New Roman" w:cs="Times New Roman" w:eastAsia="Times New Roman" w:hAnsi="Times New Roman"/>
          <w:sz w:val="18"/>
          <w:szCs w:val="18"/>
          <w:b w:val="1"/>
          <w:bCs w:val="1"/>
          <w:color w:val="auto"/>
        </w:rPr>
        <w:t>Start Date Option</w:t>
      </w:r>
      <w:r>
        <w:rPr>
          <w:rFonts w:ascii="Times New Roman" w:cs="Times New Roman" w:eastAsia="Times New Roman" w:hAnsi="Times New Roman"/>
          <w:sz w:val="18"/>
          <w:szCs w:val="18"/>
          <w:color w:val="auto"/>
        </w:rPr>
        <w:t>”). The Start Date Option will have an exercise price per share equal to the closing price of a share of the Company’s common stock at the date of grant. Subject to certain accelerated vesting provisions as described herein, the option shares subject to the Start Date Option will vest as follows: (A) Time Based Vesting: up to 2/7 of the Start Date Option (equal to 200,000 option shares) will vest as follows: 1/14 will vest (equal to 50,000 option shares) on the first Anniversary of the Start Date and thereafter 1/14 (equal to 50,000 option shares per year) will vest in equal amounts on an annual basis over the three year period starting with the first anniversary of the Start Date, and (B) Performance Based Vesting: up to the remaining 5/7 of the option shares subject to the Start Date Option (equal to 500,000 options shares) will vest based upon the achievement of the following performance objectives:</w:t>
      </w:r>
    </w:p>
    <w:p>
      <w:pPr>
        <w:spacing w:after="0" w:line="194" w:lineRule="exact"/>
        <w:rPr>
          <w:rFonts w:ascii="Times New Roman" w:cs="Times New Roman" w:eastAsia="Times New Roman" w:hAnsi="Times New Roman"/>
          <w:sz w:val="18"/>
          <w:szCs w:val="18"/>
          <w:color w:val="auto"/>
        </w:rPr>
      </w:pPr>
    </w:p>
    <w:p>
      <w:pPr>
        <w:ind w:left="2280" w:right="300" w:hanging="315"/>
        <w:spacing w:after="0" w:line="257" w:lineRule="auto"/>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2/10.5 of which (equal to 133,333 option shares) would vest when the Company has had a market capitalization of not less than two billion ($2.0B) for 270 consecutive calendar days and the Company has generated not less than $100 million of GAAP product revenue over twelve months;</w:t>
      </w:r>
    </w:p>
    <w:p>
      <w:pPr>
        <w:spacing w:after="0" w:line="1" w:lineRule="exact"/>
        <w:rPr>
          <w:rFonts w:ascii="Times New Roman" w:cs="Times New Roman" w:eastAsia="Times New Roman" w:hAnsi="Times New Roman"/>
          <w:sz w:val="18"/>
          <w:szCs w:val="18"/>
          <w:color w:val="auto"/>
        </w:rPr>
      </w:pPr>
    </w:p>
    <w:p>
      <w:pPr>
        <w:ind w:left="2280" w:right="40" w:hanging="315"/>
        <w:spacing w:after="0" w:line="250" w:lineRule="auto"/>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1/3 of which (equal to 233,334 option shares) would vest when the Company has had a market capitalization of not less than three billion ($3.0B) for 270 consecutive calendar days and the Company has generated not less than $200 million of GAAP product revenue over twelve months; and</w:t>
      </w:r>
    </w:p>
    <w:p>
      <w:pPr>
        <w:spacing w:after="0" w:line="1" w:lineRule="exact"/>
        <w:rPr>
          <w:rFonts w:ascii="Times New Roman" w:cs="Times New Roman" w:eastAsia="Times New Roman" w:hAnsi="Times New Roman"/>
          <w:sz w:val="18"/>
          <w:szCs w:val="18"/>
          <w:color w:val="auto"/>
        </w:rPr>
      </w:pPr>
    </w:p>
    <w:p>
      <w:pPr>
        <w:ind w:left="2280" w:right="300" w:hanging="315"/>
        <w:spacing w:after="0" w:line="255" w:lineRule="auto"/>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2/10.5 of which (equal to 133,333 option shares) would vest when the Company has had a market capitalization of not less than five billion ($5.0B) for 270 consecutive calendar days and the Company has generated not less than $330 million of GAAP product revenue over twelve months.</w:t>
      </w:r>
    </w:p>
    <w:p>
      <w:pPr>
        <w:spacing w:after="0" w:line="182" w:lineRule="exact"/>
        <w:rPr>
          <w:sz w:val="20"/>
          <w:szCs w:val="20"/>
          <w:color w:val="auto"/>
        </w:rPr>
      </w:pPr>
    </w:p>
    <w:p>
      <w:pPr>
        <w:ind w:left="1020" w:right="180"/>
        <w:spacing w:after="0" w:line="268" w:lineRule="auto"/>
        <w:rPr>
          <w:sz w:val="20"/>
          <w:szCs w:val="20"/>
          <w:color w:val="auto"/>
        </w:rPr>
      </w:pPr>
      <w:r>
        <w:rPr>
          <w:rFonts w:ascii="Times New Roman" w:cs="Times New Roman" w:eastAsia="Times New Roman" w:hAnsi="Times New Roman"/>
          <w:sz w:val="18"/>
          <w:szCs w:val="18"/>
          <w:color w:val="auto"/>
        </w:rPr>
        <w:t>In addition, subject to the approval of the Board, Executive will be granted 200,000 restricted stock units under the Plan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Subject to certain accelerated vesting provisions as described herein, the Start Date RSUs will vest based upon the achievement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performance objectives:</w:t>
      </w:r>
    </w:p>
    <w:p>
      <w:pPr>
        <w:sectPr>
          <w:pgSz w:w="11900" w:h="16838" w:orient="portrait"/>
          <w:cols w:equalWidth="0" w:num="1">
            <w:col w:w="11240"/>
          </w:cols>
          <w:pgMar w:left="320" w:top="121" w:right="339" w:bottom="0" w:gutter="0" w:footer="0" w:header="0"/>
        </w:sectPr>
      </w:pPr>
    </w:p>
    <w:bookmarkStart w:id="5" w:name="page6"/>
    <w:bookmarkEnd w:id="5"/>
    <w:p>
      <w:pPr>
        <w:ind w:left="1819" w:right="220" w:hanging="320"/>
        <w:spacing w:after="0" w:line="261" w:lineRule="auto"/>
        <w:tabs>
          <w:tab w:leader="none" w:pos="18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Start Date RSUs (equal to 50,000 restricted stock units) would vest when the Company has generated not less than $100 million of GAAP product revenue over twelve months;</w:t>
      </w:r>
    </w:p>
    <w:p>
      <w:pPr>
        <w:ind w:left="1819" w:right="140" w:hanging="320"/>
        <w:spacing w:after="0" w:line="250" w:lineRule="auto"/>
        <w:tabs>
          <w:tab w:leader="none" w:pos="18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of the Start Date RSUs (equal to 100,000 restricted stock units) would vest when the Company has generated not less than $200 million of GAAP product revenue over twelve months; and</w:t>
      </w:r>
    </w:p>
    <w:p>
      <w:pPr>
        <w:ind w:left="1819" w:right="220" w:hanging="320"/>
        <w:spacing w:after="0" w:line="260" w:lineRule="auto"/>
        <w:tabs>
          <w:tab w:leader="none" w:pos="18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Start Date RSUs (equal to 50,000 restricted stock units) would vest when the Company has generated not less than $300 million of GAAP product revenue over twelve months.</w:t>
      </w:r>
    </w:p>
    <w:p>
      <w:pPr>
        <w:spacing w:after="0" w:line="181" w:lineRule="exact"/>
        <w:rPr>
          <w:sz w:val="20"/>
          <w:szCs w:val="20"/>
          <w:color w:val="auto"/>
        </w:rPr>
      </w:pPr>
    </w:p>
    <w:p>
      <w:pPr>
        <w:ind w:left="459" w:right="100"/>
        <w:spacing w:after="0" w:line="261" w:lineRule="auto"/>
        <w:rPr>
          <w:sz w:val="20"/>
          <w:szCs w:val="20"/>
          <w:color w:val="auto"/>
        </w:rPr>
      </w:pPr>
      <w:r>
        <w:rPr>
          <w:rFonts w:ascii="Times New Roman" w:cs="Times New Roman" w:eastAsia="Times New Roman" w:hAnsi="Times New Roman"/>
          <w:sz w:val="18"/>
          <w:szCs w:val="18"/>
          <w:color w:val="auto"/>
        </w:rPr>
        <w:t>All vesting of the Start Date Option and Start Date RSUs are subject to the Executive continuing to be a Service Provider (as defined in the Plan) through each applicable vesting date (including any applicable vesting target achievement determination date). The Start Date Option, including vesting provisions, will be subject to the terms of the Plan and a stock option agreement thereunder. The Start Date RSUs, including vesting provisions, will be subject to the terms of the Plan and a restricted stock unit agreement thereunder.</w:t>
      </w:r>
    </w:p>
    <w:p>
      <w:pPr>
        <w:spacing w:after="0" w:line="180" w:lineRule="exact"/>
        <w:rPr>
          <w:sz w:val="20"/>
          <w:szCs w:val="20"/>
          <w:color w:val="auto"/>
        </w:rPr>
      </w:pPr>
    </w:p>
    <w:p>
      <w:pPr>
        <w:ind w:left="319" w:right="60" w:hanging="319"/>
        <w:spacing w:after="0" w:line="289" w:lineRule="auto"/>
        <w:tabs>
          <w:tab w:leader="none" w:pos="31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 During the Employment Term, Executive will be entitled to participate in the employee benefit plans currently and hereafter maintained by the Company of general applicability to other senior executives of the Company, subject to the eligibility requirements of such plans. The Company reserves the right to cancel or change the benefit plans and programs it offers to its employees at any time.</w:t>
      </w:r>
    </w:p>
    <w:p>
      <w:pPr>
        <w:spacing w:after="0" w:line="157" w:lineRule="exact"/>
        <w:rPr>
          <w:rFonts w:ascii="Times New Roman" w:cs="Times New Roman" w:eastAsia="Times New Roman" w:hAnsi="Times New Roman"/>
          <w:sz w:val="17"/>
          <w:szCs w:val="17"/>
          <w:color w:val="auto"/>
        </w:rPr>
      </w:pPr>
    </w:p>
    <w:p>
      <w:pPr>
        <w:ind w:left="319" w:right="200" w:hanging="319"/>
        <w:spacing w:after="0" w:line="266"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Paid-Time Off “PTO”/Vacation</w:t>
      </w:r>
      <w:r>
        <w:rPr>
          <w:rFonts w:ascii="Times New Roman" w:cs="Times New Roman" w:eastAsia="Times New Roman" w:hAnsi="Times New Roman"/>
          <w:sz w:val="18"/>
          <w:szCs w:val="18"/>
          <w:color w:val="auto"/>
        </w:rPr>
        <w:t>. During the Employment Term, Executive will be entitled to accrue PTO/Vacation of not less than three (3) weeks per year, subject to reasonable accrual caps in accordance with the Company’s PTO/Vacation policy for senior executive officers, with the timing and duration of specific PTO mutually and reasonably agreed to by the parties hereto.</w:t>
      </w:r>
    </w:p>
    <w:p>
      <w:pPr>
        <w:spacing w:after="0" w:line="175" w:lineRule="exact"/>
        <w:rPr>
          <w:rFonts w:ascii="Times New Roman" w:cs="Times New Roman" w:eastAsia="Times New Roman" w:hAnsi="Times New Roman"/>
          <w:sz w:val="18"/>
          <w:szCs w:val="18"/>
          <w:color w:val="auto"/>
        </w:rPr>
      </w:pPr>
    </w:p>
    <w:p>
      <w:pPr>
        <w:ind w:left="319" w:right="20" w:hanging="319"/>
        <w:spacing w:after="0" w:line="256"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will reimburse Executive for reasonable travel (including travel from Executive’s home to the Company’s office locations if more than fifty miles away), entertainment or other expenses incurred by Executive in the furtherance of or in connection with the performance of Executive’s duties hereunder within 30 days of Executive’s submission of an expense report documenting said expenses, in accordance with the Company’s expense reimbursement policy as in effect from time to time. In addition, within 30 days of Executive’s submission of a receipt substantiating the expense, the Company will reimburse Executive for attorneys’ fees incurred in reviewing Executive’s employment documents in an amount not to exceed $10,000.</w:t>
      </w:r>
    </w:p>
    <w:p>
      <w:pPr>
        <w:spacing w:after="0" w:line="187"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9" w:hanging="317"/>
        <w:spacing w:after="0" w:line="255" w:lineRule="auto"/>
        <w:tabs>
          <w:tab w:leader="none" w:pos="97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other than for Cause, Death or Disability; or Resignation for Good Reason</w:t>
      </w:r>
      <w:r>
        <w:rPr>
          <w:rFonts w:ascii="Times New Roman" w:cs="Times New Roman" w:eastAsia="Times New Roman" w:hAnsi="Times New Roman"/>
          <w:sz w:val="18"/>
          <w:szCs w:val="18"/>
          <w:color w:val="auto"/>
        </w:rPr>
        <w:t>. During the Employment Term, if (i) the Company (or any parent or subsidiary or successor of the Company) terminates Executive’s employment for reasons other than Cause, death, or Disability, or (ii) Executive resigns from the Company (or any parent or subsidiary or successor of the Company) for Good Reason (each such termination, an “</w:t>
      </w:r>
      <w:r>
        <w:rPr>
          <w:rFonts w:ascii="Times New Roman" w:cs="Times New Roman" w:eastAsia="Times New Roman" w:hAnsi="Times New Roman"/>
          <w:sz w:val="18"/>
          <w:szCs w:val="18"/>
          <w:b w:val="1"/>
          <w:bCs w:val="1"/>
          <w:color w:val="auto"/>
        </w:rPr>
        <w:t>Involuntary Termination</w:t>
      </w:r>
      <w:r>
        <w:rPr>
          <w:rFonts w:ascii="Times New Roman" w:cs="Times New Roman" w:eastAsia="Times New Roman" w:hAnsi="Times New Roman"/>
          <w:sz w:val="18"/>
          <w:szCs w:val="18"/>
          <w:color w:val="auto"/>
        </w:rPr>
        <w:t>”), then, subject to the continued observance by Executive of Sections 8 (severance conditions), 11 (assignment), 12 (notices), 13 (confidential information agreement), 15 (litigation cooperation), and 17 (miscellaneous) below after the termination of the rendering of employment services, Executive will receive the following severance from the Company:</w:t>
      </w:r>
    </w:p>
    <w:p>
      <w:pPr>
        <w:spacing w:after="0" w:line="188" w:lineRule="exact"/>
        <w:rPr>
          <w:rFonts w:ascii="Times New Roman" w:cs="Times New Roman" w:eastAsia="Times New Roman" w:hAnsi="Times New Roman"/>
          <w:sz w:val="18"/>
          <w:szCs w:val="18"/>
          <w:color w:val="auto"/>
        </w:rPr>
      </w:pPr>
    </w:p>
    <w:p>
      <w:pPr>
        <w:ind w:left="1679" w:right="40" w:hanging="329"/>
        <w:spacing w:after="0" w:line="254" w:lineRule="auto"/>
        <w:tabs>
          <w:tab w:leader="none" w:pos="167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xml:space="preserve"> Upon an Involuntary Termination, Executive will receive continuing payments of the Executive’s Base Salary (as in effect immediately prior to the Executive’s termination) for (x) six (6) months if Executive has been employed for an Employment Term of less than one (1) year from the Start Date, or (y) three (3) months if Executive has been employed for an Employment Term of one (1) year or more, or (z) twelve (12) months if the Involuntary Termination occurs within the twelve (12) month period following a Change of Control (the applicable period of time Executive receives continuing payments of Executive’s Base Salary, the “</w:t>
      </w:r>
      <w:r>
        <w:rPr>
          <w:rFonts w:ascii="Times New Roman" w:cs="Times New Roman" w:eastAsia="Times New Roman" w:hAnsi="Times New Roman"/>
          <w:sz w:val="18"/>
          <w:szCs w:val="18"/>
          <w:b w:val="1"/>
          <w:bCs w:val="1"/>
          <w:color w:val="auto"/>
        </w:rPr>
        <w:t>Severance Period</w:t>
      </w:r>
      <w:r>
        <w:rPr>
          <w:rFonts w:ascii="Times New Roman" w:cs="Times New Roman" w:eastAsia="Times New Roman" w:hAnsi="Times New Roman"/>
          <w:sz w:val="18"/>
          <w:szCs w:val="18"/>
          <w:color w:val="auto"/>
        </w:rPr>
        <w:t>”). The payment of any severance pursuant to this Section 7(a)(i) will be paid in accordance with the Company’s normal payroll practices and be subject to the usual required withholdings.</w:t>
      </w:r>
    </w:p>
    <w:p>
      <w:pPr>
        <w:spacing w:after="0" w:line="191" w:lineRule="exact"/>
        <w:rPr>
          <w:rFonts w:ascii="Times New Roman" w:cs="Times New Roman" w:eastAsia="Times New Roman" w:hAnsi="Times New Roman"/>
          <w:sz w:val="18"/>
          <w:szCs w:val="18"/>
          <w:color w:val="auto"/>
        </w:rPr>
      </w:pPr>
    </w:p>
    <w:p>
      <w:pPr>
        <w:ind w:left="1679" w:hanging="329"/>
        <w:spacing w:after="0"/>
        <w:tabs>
          <w:tab w:leader="none" w:pos="167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2579" w:right="220" w:hanging="311"/>
        <w:spacing w:after="0" w:line="258" w:lineRule="auto"/>
        <w:tabs>
          <w:tab w:leader="none" w:pos="2579"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Involuntary Termination not in connection with a Change of Control</w:t>
      </w:r>
      <w:r>
        <w:rPr>
          <w:rFonts w:ascii="Times New Roman" w:cs="Times New Roman" w:eastAsia="Times New Roman" w:hAnsi="Times New Roman"/>
          <w:sz w:val="18"/>
          <w:szCs w:val="18"/>
          <w:color w:val="auto"/>
        </w:rPr>
        <w:t>. If the Involuntary Termination is not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 Change of Control, the unvested portion of Executive’s outstanding Equity Awards that would normally vest over the following twelve (12) months from the date of Executive’s termination had Executive remained an employee through such period will immediately accelerate and fully vest prior to Executive’s termination.</w:t>
      </w:r>
    </w:p>
    <w:p>
      <w:pPr>
        <w:spacing w:after="0" w:line="183" w:lineRule="exact"/>
        <w:rPr>
          <w:rFonts w:ascii="Times New Roman" w:cs="Times New Roman" w:eastAsia="Times New Roman" w:hAnsi="Times New Roman"/>
          <w:sz w:val="18"/>
          <w:szCs w:val="18"/>
          <w:color w:val="auto"/>
        </w:rPr>
      </w:pPr>
    </w:p>
    <w:p>
      <w:pPr>
        <w:ind w:left="2579" w:hanging="311"/>
        <w:spacing w:after="0" w:line="253" w:lineRule="auto"/>
        <w:tabs>
          <w:tab w:leader="none" w:pos="2579"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Involuntary Termination in connection with a Change of Control</w:t>
      </w:r>
      <w:r>
        <w:rPr>
          <w:rFonts w:ascii="Times New Roman" w:cs="Times New Roman" w:eastAsia="Times New Roman" w:hAnsi="Times New Roman"/>
          <w:sz w:val="18"/>
          <w:szCs w:val="18"/>
          <w:color w:val="auto"/>
        </w:rPr>
        <w:t>. If the Involuntary Termination occurs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twelve (12) month period following a Change of Control, then (i) (x) if the Employment Term as of the date of such termination is less than one year from the Start Date, then 50% of the unvested portion of Executive’s then outstanding Equity Awards will immediately vest prior to Executive’s termination, and (y) if the Employment Term as of the date of such termination is one year or more from the Start Date, then 100% of the unvested portion of Executive’s then outstanding Equity Awards will immediately vest prior to Executive’s termination. Equity Awards with vesting criteria tied to Company product revenue targets, such as the Start Date RSUs, will vest pursuant to the preceding sentence if, within thirty (30) days following the Involuntary Termination, the parties conclude, acting in good faith and based upon management’s revenue projections, that the applicable revenue targets are reasonably likely to be achieved within the period beginning on the date of the Involuntary Termination and ending twelve (12) months later.</w:t>
      </w:r>
    </w:p>
    <w:p>
      <w:pPr>
        <w:spacing w:after="0" w:line="193" w:lineRule="exact"/>
        <w:rPr>
          <w:rFonts w:ascii="Times New Roman" w:cs="Times New Roman" w:eastAsia="Times New Roman" w:hAnsi="Times New Roman"/>
          <w:sz w:val="18"/>
          <w:szCs w:val="18"/>
          <w:color w:val="auto"/>
        </w:rPr>
      </w:pPr>
    </w:p>
    <w:p>
      <w:pPr>
        <w:ind w:left="1679" w:right="80" w:hanging="329"/>
        <w:spacing w:after="0" w:line="270" w:lineRule="auto"/>
        <w:tabs>
          <w:tab w:leader="none" w:pos="1679"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COBRA</w:t>
      </w:r>
      <w:r>
        <w:rPr>
          <w:rFonts w:ascii="Times New Roman" w:cs="Times New Roman" w:eastAsia="Times New Roman" w:hAnsi="Times New Roman"/>
          <w:sz w:val="17"/>
          <w:szCs w:val="17"/>
          <w:color w:val="auto"/>
        </w:rPr>
        <w:t>. If Executive elects continuation coverage pursuant to the Consolidated Omnibus Budget Reconciliation Act of 1985, as amended (“</w:t>
      </w: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for Executive and Executive’s eligible dependents within the time period prescribed pursuant to COBRA, the Company will reimburse Executive for the monthly premiums under COBRA necessary to continue group health insurance benefits for Executive and Executive’s eligible dependents (at the coverage levels in effect immediately prior to Executive’s termination) until the earlier of (A) the date upon which Executive and/or Executive’s eligible dependents becomes covered under similar plans, (B) the last day of the Severance Period, or (C) the twelve month anniversary of the Executive’s termination date (such reimbursements, the “</w:t>
      </w:r>
      <w:r>
        <w:rPr>
          <w:rFonts w:ascii="Times New Roman" w:cs="Times New Roman" w:eastAsia="Times New Roman" w:hAnsi="Times New Roman"/>
          <w:sz w:val="17"/>
          <w:szCs w:val="17"/>
          <w:b w:val="1"/>
          <w:bCs w:val="1"/>
          <w:color w:val="auto"/>
        </w:rPr>
        <w:t>COBRA Premiums</w:t>
      </w:r>
      <w:r>
        <w:rPr>
          <w:rFonts w:ascii="Times New Roman" w:cs="Times New Roman" w:eastAsia="Times New Roman" w:hAnsi="Times New Roman"/>
          <w:sz w:val="17"/>
          <w:szCs w:val="17"/>
          <w:color w:val="auto"/>
        </w:rPr>
        <w:t>”). However, if the Company determines in its sole discretion that it cannot pay the COBRA Premiums without potentially violating applicable law (including, without limitation, Section 2716 of the Public Health Service Act), the Company will in lieu thereof provide to Executive a taxable monthly payment payable on the last day of a given month (except as provided by the following</w:t>
      </w:r>
    </w:p>
    <w:p>
      <w:pPr>
        <w:sectPr>
          <w:pgSz w:w="11900" w:h="16838" w:orient="portrait"/>
          <w:cols w:equalWidth="0" w:num="1">
            <w:col w:w="10679"/>
          </w:cols>
          <w:pgMar w:left="881" w:top="121" w:right="339" w:bottom="0" w:gutter="0" w:footer="0" w:header="0"/>
        </w:sectPr>
      </w:pPr>
    </w:p>
    <w:bookmarkStart w:id="6" w:name="page7"/>
    <w:bookmarkEnd w:id="6"/>
    <w:p>
      <w:pPr>
        <w:ind w:left="1679" w:right="40"/>
        <w:spacing w:after="0" w:line="253" w:lineRule="auto"/>
        <w:rPr>
          <w:sz w:val="20"/>
          <w:szCs w:val="20"/>
          <w:color w:val="auto"/>
        </w:rPr>
      </w:pPr>
      <w:r>
        <w:rPr>
          <w:rFonts w:ascii="Times New Roman" w:cs="Times New Roman" w:eastAsia="Times New Roman" w:hAnsi="Times New Roman"/>
          <w:sz w:val="18"/>
          <w:szCs w:val="18"/>
          <w:color w:val="auto"/>
        </w:rPr>
        <w:t>sentence), in an amount equal to the monthly COBRA premium that Executive would be required to pay to continue Executive’s group health coverage in effect on the date of Executive’s termination of employment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last day of the Severance Period. For the avoidance of doubt, the taxable payments in lieu of COBRA Premiums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payments contemplated by the preceding sentence without violating applicable law (including, without limitation, Section 2716 of the Public Health Service Act), Executive will not receive such payment or any further reimbursements for COBRA premiums. (Collectively, the Company’s COBRA obligations in this paragraph are referred to as the “COBRA Payments”).</w:t>
      </w:r>
    </w:p>
    <w:p>
      <w:pPr>
        <w:spacing w:after="0" w:line="190" w:lineRule="exact"/>
        <w:rPr>
          <w:sz w:val="20"/>
          <w:szCs w:val="20"/>
          <w:color w:val="auto"/>
        </w:rPr>
      </w:pPr>
    </w:p>
    <w:p>
      <w:pPr>
        <w:ind w:left="1019" w:right="100" w:hanging="330"/>
        <w:spacing w:after="0" w:line="256" w:lineRule="auto"/>
        <w:tabs>
          <w:tab w:leader="none" w:pos="101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without Good Reason; Termination for Cause; Disability</w:t>
      </w:r>
      <w:r>
        <w:rPr>
          <w:rFonts w:ascii="Times New Roman" w:cs="Times New Roman" w:eastAsia="Times New Roman" w:hAnsi="Times New Roman"/>
          <w:sz w:val="18"/>
          <w:szCs w:val="18"/>
          <w:color w:val="auto"/>
        </w:rPr>
        <w:t>. If Executive resigns (other than for Good Reason), or the Company terminates Executive’s employment for Cause, or Executive’s employment terminates upon Executive’s Disability, then (i) Executive will no longer vest in any Equity Award held by Executive, (ii) all payments of compensation by the Company to Executive hereunder will terminate immediately (except as to amounts already earned), and (iii) Executive will not be entitled to any severance or other benefits except for those (if any) as may then be established under the Company’s then existing written severance and benefits plans and practices or pursuant to other written agreements with the Company.</w:t>
      </w:r>
    </w:p>
    <w:p>
      <w:pPr>
        <w:spacing w:after="0" w:line="187" w:lineRule="exact"/>
        <w:rPr>
          <w:rFonts w:ascii="Times New Roman" w:cs="Times New Roman" w:eastAsia="Times New Roman" w:hAnsi="Times New Roman"/>
          <w:sz w:val="18"/>
          <w:szCs w:val="18"/>
          <w:color w:val="auto"/>
        </w:rPr>
      </w:pPr>
    </w:p>
    <w:p>
      <w:pPr>
        <w:ind w:left="1019" w:right="80" w:hanging="330"/>
        <w:spacing w:after="0" w:line="261" w:lineRule="auto"/>
        <w:tabs>
          <w:tab w:leader="none" w:pos="101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For the avoidance of any doubt, in the event of a termination of Executive’s employment with the Company (or any parent or subsidiary or successor of the Company) for whatever reason, Executive will be entitled to receive all accrued but unpaid paid time off, expense reimbursements, wages, and other benefits due to Executive under any Company-provided plans, policies, and arrangements as of Executive’s termination date.</w:t>
      </w:r>
    </w:p>
    <w:p>
      <w:pPr>
        <w:spacing w:after="0" w:line="179" w:lineRule="exact"/>
        <w:rPr>
          <w:rFonts w:ascii="Times New Roman" w:cs="Times New Roman" w:eastAsia="Times New Roman" w:hAnsi="Times New Roman"/>
          <w:sz w:val="18"/>
          <w:szCs w:val="18"/>
          <w:color w:val="auto"/>
        </w:rPr>
      </w:pPr>
    </w:p>
    <w:p>
      <w:pPr>
        <w:ind w:left="1019" w:right="180" w:hanging="330"/>
        <w:spacing w:after="0" w:line="258" w:lineRule="auto"/>
        <w:tabs>
          <w:tab w:leader="none" w:pos="1019"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In the event of a termination of Executive’s employment with the Company (or any parent or subsidiary or successor of the Company), the provisions of this Section 7 are intended to be and are exclusive and in lieu of any other rights or remedies to which Executive or the Company may otherwise be entitled, whether at law, tort or contract, in equity, or under this Agreement. Executive will be entitled to no severance or other benefits, compensation or other payments or rights upon termination of employment other than those benefits expressly set forth in this Section 7.</w:t>
      </w:r>
    </w:p>
    <w:p>
      <w:pPr>
        <w:spacing w:after="0" w:line="183" w:lineRule="exact"/>
        <w:rPr>
          <w:rFonts w:ascii="Times New Roman" w:cs="Times New Roman" w:eastAsia="Times New Roman" w:hAnsi="Times New Roman"/>
          <w:sz w:val="18"/>
          <w:szCs w:val="18"/>
          <w:color w:val="auto"/>
        </w:rPr>
      </w:pPr>
    </w:p>
    <w:p>
      <w:pPr>
        <w:ind w:left="319" w:hanging="319"/>
        <w:spacing w:after="0"/>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Receipt of Severance; No Duty to Mitigate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9" w:hanging="317"/>
        <w:spacing w:after="0" w:line="253" w:lineRule="auto"/>
        <w:tabs>
          <w:tab w:leader="none" w:pos="97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Release of Claims</w:t>
      </w:r>
      <w:r>
        <w:rPr>
          <w:rFonts w:ascii="Times New Roman" w:cs="Times New Roman" w:eastAsia="Times New Roman" w:hAnsi="Times New Roman"/>
          <w:sz w:val="18"/>
          <w:szCs w:val="18"/>
          <w:color w:val="auto"/>
        </w:rPr>
        <w:t>. The receipt of any severance pursuant to Section 7(a) will be subject to Executive signing and not revoking a separation agreement and release of claims in a form reasonably satisfactory to the Company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and provided that such Release becomes effective and irrevocable no later than sixty (60) days following Executive’s termination date (such deadline, the “</w:t>
      </w:r>
      <w:r>
        <w:rPr>
          <w:rFonts w:ascii="Times New Roman" w:cs="Times New Roman" w:eastAsia="Times New Roman" w:hAnsi="Times New Roman"/>
          <w:sz w:val="18"/>
          <w:szCs w:val="18"/>
          <w:b w:val="1"/>
          <w:bCs w:val="1"/>
          <w:color w:val="auto"/>
        </w:rPr>
        <w:t>Release Deadline</w:t>
      </w:r>
      <w:r>
        <w:rPr>
          <w:rFonts w:ascii="Times New Roman" w:cs="Times New Roman" w:eastAsia="Times New Roman" w:hAnsi="Times New Roman"/>
          <w:sz w:val="18"/>
          <w:szCs w:val="18"/>
          <w:color w:val="auto"/>
        </w:rPr>
        <w:t>”). If the Release does not become effective and irrevocable by the Release Deadline and the Release Deadline is not extended in a signed writing by the Company, Executive will forfeit any rights to severance or benefits under this Agreement. In no event will severance payments or benefits be paid or provided until the Release becomes effective and irrevocable. Except as required by Section 9(c), any installment payments that would have been made to Executive prior to the Release becoming effective and irrevocable but for the preceding sentence will be paid to Executive on the first regularly scheduled Company payroll date following the date the Release becomes effective and irrevocable, and the remaining payments will be made as provided in the Agreement.</w:t>
      </w:r>
    </w:p>
    <w:p>
      <w:pPr>
        <w:spacing w:after="0" w:line="194" w:lineRule="exact"/>
        <w:rPr>
          <w:rFonts w:ascii="Times New Roman" w:cs="Times New Roman" w:eastAsia="Times New Roman" w:hAnsi="Times New Roman"/>
          <w:sz w:val="18"/>
          <w:szCs w:val="18"/>
          <w:color w:val="auto"/>
        </w:rPr>
      </w:pPr>
    </w:p>
    <w:p>
      <w:pPr>
        <w:jc w:val="both"/>
        <w:ind w:left="979" w:right="280" w:hanging="331"/>
        <w:spacing w:after="0" w:line="266" w:lineRule="auto"/>
        <w:tabs>
          <w:tab w:leader="none" w:pos="97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Agreement</w:t>
      </w:r>
      <w:r>
        <w:rPr>
          <w:rFonts w:ascii="Times New Roman" w:cs="Times New Roman" w:eastAsia="Times New Roman" w:hAnsi="Times New Roman"/>
          <w:sz w:val="18"/>
          <w:szCs w:val="18"/>
          <w:color w:val="auto"/>
        </w:rPr>
        <w:t>. Executive’s receipt of any payments or benefits under Section 7 will be subject to Executive continuing to comply with the terms of the At-Will Employment, Confidential Information, Invention Assignment, and Arbitration Agreement between the Executive and the Company.</w:t>
      </w:r>
    </w:p>
    <w:p>
      <w:pPr>
        <w:spacing w:after="0" w:line="175" w:lineRule="exact"/>
        <w:rPr>
          <w:rFonts w:ascii="Times New Roman" w:cs="Times New Roman" w:eastAsia="Times New Roman" w:hAnsi="Times New Roman"/>
          <w:sz w:val="18"/>
          <w:szCs w:val="18"/>
          <w:color w:val="auto"/>
        </w:rPr>
      </w:pPr>
    </w:p>
    <w:p>
      <w:pPr>
        <w:ind w:left="979" w:hanging="317"/>
        <w:spacing w:after="0"/>
        <w:tabs>
          <w:tab w:leader="none" w:pos="97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p>
    <w:p>
      <w:pPr>
        <w:spacing w:after="0" w:line="225" w:lineRule="exact"/>
        <w:rPr>
          <w:rFonts w:ascii="Times New Roman" w:cs="Times New Roman" w:eastAsia="Times New Roman" w:hAnsi="Times New Roman"/>
          <w:sz w:val="18"/>
          <w:szCs w:val="18"/>
          <w:color w:val="auto"/>
        </w:rPr>
      </w:pPr>
    </w:p>
    <w:p>
      <w:pPr>
        <w:ind w:left="1679" w:right="60" w:hanging="329"/>
        <w:spacing w:after="0" w:line="268" w:lineRule="auto"/>
        <w:tabs>
          <w:tab w:leader="none" w:pos="1679" w:val="left"/>
        </w:tabs>
        <w:numPr>
          <w:ilvl w:val="3"/>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(together, the “</w:t>
      </w:r>
      <w:r>
        <w:rPr>
          <w:rFonts w:ascii="Times New Roman" w:cs="Times New Roman" w:eastAsia="Times New Roman" w:hAnsi="Times New Roman"/>
          <w:sz w:val="17"/>
          <w:szCs w:val="17"/>
          <w:b w:val="1"/>
          <w:bCs w:val="1"/>
          <w:color w:val="auto"/>
        </w:rPr>
        <w:t>Deferred Payments</w:t>
      </w:r>
      <w:r>
        <w:rPr>
          <w:rFonts w:ascii="Times New Roman" w:cs="Times New Roman" w:eastAsia="Times New Roman" w:hAnsi="Times New Roman"/>
          <w:sz w:val="17"/>
          <w:szCs w:val="17"/>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w:t>
      </w:r>
    </w:p>
    <w:p>
      <w:pPr>
        <w:spacing w:after="0" w:line="4" w:lineRule="exact"/>
        <w:rPr>
          <w:rFonts w:ascii="Times New Roman" w:cs="Times New Roman" w:eastAsia="Times New Roman" w:hAnsi="Times New Roman"/>
          <w:sz w:val="17"/>
          <w:szCs w:val="17"/>
          <w:color w:val="auto"/>
        </w:rPr>
      </w:pPr>
    </w:p>
    <w:p>
      <w:pPr>
        <w:ind w:left="167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service” within the meaning of Section 409A.</w:t>
      </w:r>
    </w:p>
    <w:p>
      <w:pPr>
        <w:spacing w:after="0" w:line="206" w:lineRule="exact"/>
        <w:rPr>
          <w:rFonts w:ascii="Times New Roman" w:cs="Times New Roman" w:eastAsia="Times New Roman" w:hAnsi="Times New Roman"/>
          <w:sz w:val="17"/>
          <w:szCs w:val="17"/>
          <w:color w:val="auto"/>
        </w:rPr>
      </w:pPr>
    </w:p>
    <w:p>
      <w:pPr>
        <w:ind w:left="1679" w:hanging="329"/>
        <w:spacing w:after="0" w:line="215" w:lineRule="auto"/>
        <w:tabs>
          <w:tab w:leader="none" w:pos="1679"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payments or benefits under this Agreement that would be considered Deferred Payments will be paid on, or, in the case of installments, will not commence until,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Executive’s separation from service, or, if later, such time as required by Section 9(c)(iii). Except as required by Section 9(c)(iii), any installment payments that would have been made to Executive during the sixty (60) day period immediately following Executive’s separation from service but for the preceding sentence will be paid to Executive on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Executive’s separation from service and the remaining payments shall be made as provided in this Agreement</w:t>
      </w:r>
      <w:r>
        <w:rPr>
          <w:rFonts w:ascii="Times New Roman" w:cs="Times New Roman" w:eastAsia="Times New Roman" w:hAnsi="Times New Roman"/>
          <w:sz w:val="18"/>
          <w:szCs w:val="18"/>
          <w:b w:val="1"/>
          <w:bCs w:val="1"/>
          <w:color w:val="auto"/>
        </w:rPr>
        <w:t>. In no event will Executive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discretion to determine the taxable year of payment for any Deferred Payments.</w:t>
      </w:r>
    </w:p>
    <w:p>
      <w:pPr>
        <w:spacing w:after="0" w:line="203" w:lineRule="exact"/>
        <w:rPr>
          <w:rFonts w:ascii="Times New Roman" w:cs="Times New Roman" w:eastAsia="Times New Roman" w:hAnsi="Times New Roman"/>
          <w:sz w:val="18"/>
          <w:szCs w:val="18"/>
          <w:color w:val="auto"/>
        </w:rPr>
      </w:pPr>
    </w:p>
    <w:p>
      <w:pPr>
        <w:ind w:left="1679" w:right="20" w:hanging="329"/>
        <w:spacing w:after="0" w:line="271" w:lineRule="auto"/>
        <w:tabs>
          <w:tab w:leader="none" w:pos="1679" w:val="left"/>
        </w:tabs>
        <w:numPr>
          <w:ilvl w:val="3"/>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w:t>
      </w:r>
    </w:p>
    <w:p>
      <w:pPr>
        <w:sectPr>
          <w:pgSz w:w="11900" w:h="16838" w:orient="portrait"/>
          <w:cols w:equalWidth="0" w:num="1">
            <w:col w:w="10679"/>
          </w:cols>
          <w:pgMar w:left="881" w:top="121" w:right="339" w:bottom="0" w:gutter="0" w:footer="0" w:header="0"/>
        </w:sectPr>
      </w:pPr>
    </w:p>
    <w:bookmarkStart w:id="7" w:name="page8"/>
    <w:bookmarkEnd w:id="7"/>
    <w:p>
      <w:pPr>
        <w:ind w:left="1773" w:right="280"/>
        <w:spacing w:after="0" w:line="282" w:lineRule="auto"/>
        <w:rPr>
          <w:sz w:val="20"/>
          <w:szCs w:val="20"/>
          <w:color w:val="auto"/>
        </w:rPr>
      </w:pPr>
      <w:r>
        <w:rPr>
          <w:rFonts w:ascii="Times New Roman" w:cs="Times New Roman" w:eastAsia="Times New Roman" w:hAnsi="Times New Roman"/>
          <w:sz w:val="18"/>
          <w:szCs w:val="18"/>
          <w:color w:val="auto"/>
        </w:rPr>
        <w:t>each payment or benefit. Each payment, installment and benefit payable under this Agreement is intended to constitute a separate payment for purposes of Section 1.409A-2(b)(2) of the Treasury Regulations.</w:t>
      </w:r>
    </w:p>
    <w:p>
      <w:pPr>
        <w:spacing w:after="0" w:line="162" w:lineRule="exact"/>
        <w:rPr>
          <w:sz w:val="20"/>
          <w:szCs w:val="20"/>
          <w:color w:val="auto"/>
        </w:rPr>
      </w:pPr>
    </w:p>
    <w:p>
      <w:pPr>
        <w:ind w:left="1793" w:hanging="349"/>
        <w:spacing w:after="0"/>
        <w:tabs>
          <w:tab w:leader="none" w:pos="1793"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satisfies the requirements of the “short-term deferral” rule set forth in Section</w:t>
      </w:r>
    </w:p>
    <w:p>
      <w:pPr>
        <w:spacing w:after="0" w:line="27" w:lineRule="exact"/>
        <w:rPr>
          <w:rFonts w:ascii="Times New Roman" w:cs="Times New Roman" w:eastAsia="Times New Roman" w:hAnsi="Times New Roman"/>
          <w:sz w:val="18"/>
          <w:szCs w:val="18"/>
          <w:color w:val="auto"/>
        </w:rPr>
      </w:pPr>
    </w:p>
    <w:p>
      <w:pPr>
        <w:ind w:left="1793"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1.409A-1(b)(4) of the Treasury Regulations will not constitute Deferred Payments for purposes of clause (i) above. It is the intent of this Agreement that all cash severance payments under Section 7(a)(i) will satisfy the requirements of the “short-term deferral” rule.</w:t>
      </w:r>
    </w:p>
    <w:p>
      <w:pPr>
        <w:spacing w:after="0" w:line="185" w:lineRule="exact"/>
        <w:rPr>
          <w:rFonts w:ascii="Times New Roman" w:cs="Times New Roman" w:eastAsia="Times New Roman" w:hAnsi="Times New Roman"/>
          <w:sz w:val="18"/>
          <w:szCs w:val="18"/>
          <w:color w:val="auto"/>
        </w:rPr>
      </w:pPr>
    </w:p>
    <w:p>
      <w:pPr>
        <w:ind w:left="1773" w:right="100" w:hanging="329"/>
        <w:spacing w:after="0" w:line="266" w:lineRule="auto"/>
        <w:tabs>
          <w:tab w:leader="none" w:pos="1773"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75" w:lineRule="exact"/>
        <w:rPr>
          <w:rFonts w:ascii="Times New Roman" w:cs="Times New Roman" w:eastAsia="Times New Roman" w:hAnsi="Times New Roman"/>
          <w:sz w:val="18"/>
          <w:szCs w:val="18"/>
          <w:color w:val="auto"/>
        </w:rPr>
      </w:pPr>
    </w:p>
    <w:p>
      <w:pPr>
        <w:ind w:left="1793" w:hanging="349"/>
        <w:spacing w:after="0" w:line="255" w:lineRule="auto"/>
        <w:tabs>
          <w:tab w:leader="none" w:pos="1793"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In no event will the Company reimburse Executive for any taxes that may be imposed on Executive as a result of Section 409A.</w:t>
      </w:r>
    </w:p>
    <w:p>
      <w:pPr>
        <w:spacing w:after="0" w:line="188" w:lineRule="exact"/>
        <w:rPr>
          <w:rFonts w:ascii="Times New Roman" w:cs="Times New Roman" w:eastAsia="Times New Roman" w:hAnsi="Times New Roman"/>
          <w:sz w:val="18"/>
          <w:szCs w:val="18"/>
          <w:color w:val="auto"/>
        </w:rPr>
      </w:pPr>
    </w:p>
    <w:p>
      <w:pPr>
        <w:ind w:left="1853" w:right="760" w:hanging="409"/>
        <w:spacing w:after="0" w:line="282" w:lineRule="auto"/>
        <w:tabs>
          <w:tab w:leader="none" w:pos="1853"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 to Mitigate</w:t>
      </w:r>
      <w:r>
        <w:rPr>
          <w:rFonts w:ascii="Times New Roman" w:cs="Times New Roman" w:eastAsia="Times New Roman" w:hAnsi="Times New Roman"/>
          <w:sz w:val="18"/>
          <w:szCs w:val="18"/>
          <w:color w:val="auto"/>
        </w:rPr>
        <w:t>. Executive will not be required to mitigate the amount of any payment contemplated by this Agreement, nor will any earnings that Executive may receive from any other source reduce any such payment.</w:t>
      </w:r>
    </w:p>
    <w:p>
      <w:pPr>
        <w:spacing w:after="0" w:line="161" w:lineRule="exact"/>
        <w:rPr>
          <w:rFonts w:ascii="Times New Roman" w:cs="Times New Roman" w:eastAsia="Times New Roman" w:hAnsi="Times New Roman"/>
          <w:sz w:val="18"/>
          <w:szCs w:val="18"/>
          <w:color w:val="auto"/>
        </w:rPr>
      </w:pPr>
    </w:p>
    <w:p>
      <w:pPr>
        <w:ind w:left="413" w:hanging="319"/>
        <w:spacing w:after="0"/>
        <w:tabs>
          <w:tab w:leader="none" w:pos="4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Payments</w:t>
      </w:r>
      <w:r>
        <w:rPr>
          <w:rFonts w:ascii="Times New Roman" w:cs="Times New Roman" w:eastAsia="Times New Roman" w:hAnsi="Times New Roman"/>
          <w:sz w:val="18"/>
          <w:szCs w:val="18"/>
          <w:color w:val="auto"/>
        </w:rPr>
        <w:t>. In the event that the severance and other benefits provided for in this Agreement or otherwise payable to Executive</w:t>
      </w:r>
    </w:p>
    <w:p>
      <w:pPr>
        <w:spacing w:after="0" w:line="27" w:lineRule="exact"/>
        <w:rPr>
          <w:rFonts w:ascii="Times New Roman" w:cs="Times New Roman" w:eastAsia="Times New Roman" w:hAnsi="Times New Roman"/>
          <w:sz w:val="18"/>
          <w:szCs w:val="18"/>
          <w:color w:val="auto"/>
        </w:rPr>
      </w:pPr>
    </w:p>
    <w:p>
      <w:pPr>
        <w:ind w:left="413" w:right="280" w:firstLine="5"/>
        <w:spacing w:after="0" w:line="260" w:lineRule="auto"/>
        <w:tabs>
          <w:tab w:leader="none" w:pos="62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“parachute payments” within the meaning of Section 280G of the Code and (ii) but for this Section 10, would be subject to the excise tax imposed by Section 4999 of the Code, then Executive’s severance benefits will be either:</w:t>
      </w:r>
    </w:p>
    <w:p>
      <w:pPr>
        <w:spacing w:after="0" w:line="181" w:lineRule="exact"/>
        <w:rPr>
          <w:rFonts w:ascii="Times New Roman" w:cs="Times New Roman" w:eastAsia="Times New Roman" w:hAnsi="Times New Roman"/>
          <w:sz w:val="18"/>
          <w:szCs w:val="18"/>
          <w:color w:val="auto"/>
        </w:rPr>
      </w:pPr>
    </w:p>
    <w:p>
      <w:pPr>
        <w:ind w:left="1073" w:hanging="317"/>
        <w:spacing w:after="0"/>
        <w:tabs>
          <w:tab w:leader="none" w:pos="107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in full, or</w:t>
      </w:r>
    </w:p>
    <w:p>
      <w:pPr>
        <w:spacing w:after="0" w:line="225" w:lineRule="exact"/>
        <w:rPr>
          <w:rFonts w:ascii="Times New Roman" w:cs="Times New Roman" w:eastAsia="Times New Roman" w:hAnsi="Times New Roman"/>
          <w:sz w:val="18"/>
          <w:szCs w:val="18"/>
          <w:color w:val="auto"/>
        </w:rPr>
      </w:pPr>
    </w:p>
    <w:p>
      <w:pPr>
        <w:ind w:left="1073" w:hanging="331"/>
        <w:spacing w:after="0" w:line="253" w:lineRule="auto"/>
        <w:tabs>
          <w:tab w:leader="none" w:pos="107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as to such lesser extent which would result in no portion of such severance benefits being subject to the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severance payments under Sections 7(a)(i) or 7(a)(ii); (2) reduction of other cash payments, if any; (3) cancellation of accelerated vesting of equity awards; and (4) reduction of continued employee benefits. In the event that acceleration of vesting of equity award compensation is to be reduced, such acceleration of vesting shall be cancelled in the reverse order of the date of grant of Executive’s equity awards. If two or more equity awards are granted on the same date, each award will be reduced on a pro-rata basis. In no event shall the Executive have any discretion with respect to the ordering of payment reductions.</w:t>
      </w:r>
    </w:p>
    <w:p>
      <w:pPr>
        <w:spacing w:after="0" w:line="192" w:lineRule="exact"/>
        <w:rPr>
          <w:sz w:val="20"/>
          <w:szCs w:val="20"/>
          <w:color w:val="auto"/>
        </w:rPr>
      </w:pPr>
    </w:p>
    <w:p>
      <w:pPr>
        <w:ind w:left="733" w:right="40"/>
        <w:spacing w:after="0" w:line="255" w:lineRule="auto"/>
        <w:rPr>
          <w:sz w:val="20"/>
          <w:szCs w:val="20"/>
          <w:color w:val="auto"/>
        </w:rPr>
      </w:pPr>
      <w:r>
        <w:rPr>
          <w:rFonts w:ascii="Times New Roman" w:cs="Times New Roman" w:eastAsia="Times New Roman" w:hAnsi="Times New Roman"/>
          <w:sz w:val="18"/>
          <w:szCs w:val="18"/>
          <w:color w:val="auto"/>
        </w:rPr>
        <w:t>Unless the Company and Executive otherwise agree in writing, any determination required under this Section 10 will be made in writing by an independent firm immediately prior to a Change of Control (the “</w:t>
      </w:r>
      <w:r>
        <w:rPr>
          <w:rFonts w:ascii="Times New Roman" w:cs="Times New Roman" w:eastAsia="Times New Roman" w:hAnsi="Times New Roman"/>
          <w:sz w:val="18"/>
          <w:szCs w:val="18"/>
          <w:b w:val="1"/>
          <w:bCs w:val="1"/>
          <w:color w:val="auto"/>
        </w:rPr>
        <w:t>Firm</w:t>
      </w:r>
      <w:r>
        <w:rPr>
          <w:rFonts w:ascii="Times New Roman" w:cs="Times New Roman" w:eastAsia="Times New Roman" w:hAnsi="Times New Roman"/>
          <w:sz w:val="18"/>
          <w:szCs w:val="18"/>
          <w:color w:val="auto"/>
        </w:rPr>
        <w:t>”), whose determination will be conclusive and binding upon Executive and the Company for all purposes. For purposes of making the calculations required by this Section 10,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10. The Company will bear all costs the Firm may reasonably incur in connection with any calculations contemplated by this Section 10.</w:t>
      </w:r>
    </w:p>
    <w:p>
      <w:pPr>
        <w:spacing w:after="0" w:line="189" w:lineRule="exact"/>
        <w:rPr>
          <w:sz w:val="20"/>
          <w:szCs w:val="20"/>
          <w:color w:val="auto"/>
        </w:rPr>
      </w:pPr>
    </w:p>
    <w:p>
      <w:pPr>
        <w:ind w:left="333" w:hanging="333"/>
        <w:spacing w:after="0"/>
        <w:tabs>
          <w:tab w:leader="none" w:pos="3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will have the following meanings:</w:t>
      </w:r>
    </w:p>
    <w:p>
      <w:pPr>
        <w:spacing w:after="0" w:line="221" w:lineRule="exact"/>
        <w:rPr>
          <w:rFonts w:ascii="Times New Roman" w:cs="Times New Roman" w:eastAsia="Times New Roman" w:hAnsi="Times New Roman"/>
          <w:sz w:val="18"/>
          <w:szCs w:val="18"/>
          <w:color w:val="auto"/>
        </w:rPr>
      </w:pPr>
    </w:p>
    <w:p>
      <w:pPr>
        <w:ind w:left="1073" w:right="20" w:hanging="317"/>
        <w:spacing w:after="0" w:line="254" w:lineRule="auto"/>
        <w:tabs>
          <w:tab w:leader="none" w:pos="10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is defined as (i) Executive’s conviction of, or plea of nolo contendere to, a felony or any crime involving fraud, embezzlement or any other act of moral turpitude, (ii) Executive’s gross misconduct, (iii) Executive’s unauthorized use or disclosure of any proprietary information or trade secrets of the Company or any other party to whom Executive owes an obligation of nondisclosure as a result of Executive’s relationship with the Company; (iv) Executive’s willful breach of any obligations under any written agreement or covenant with the Company that is injurious to the Company; or (v) Executive’s continued failure to perform Executive’s employment duties after Executive has received a written demand for performance from the Company which specifically sets forth the factual basis for the Company’s belief that Executive has not substantially performed Executive’s duties and has failed to cure such non-performance to the Company’s satisfaction within thirty (30) business days after receiving such notice.</w:t>
      </w:r>
    </w:p>
    <w:p>
      <w:pPr>
        <w:spacing w:after="0" w:line="188" w:lineRule="exact"/>
        <w:rPr>
          <w:rFonts w:ascii="Times New Roman" w:cs="Times New Roman" w:eastAsia="Times New Roman" w:hAnsi="Times New Roman"/>
          <w:sz w:val="18"/>
          <w:szCs w:val="18"/>
          <w:color w:val="auto"/>
        </w:rPr>
      </w:pPr>
    </w:p>
    <w:p>
      <w:pPr>
        <w:ind w:left="1073" w:hanging="331"/>
        <w:spacing w:after="0"/>
        <w:tabs>
          <w:tab w:leader="none" w:pos="10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9" w:lineRule="exact"/>
        <w:rPr>
          <w:rFonts w:ascii="Times New Roman" w:cs="Times New Roman" w:eastAsia="Times New Roman" w:hAnsi="Times New Roman"/>
          <w:sz w:val="18"/>
          <w:szCs w:val="18"/>
          <w:color w:val="auto"/>
        </w:rPr>
      </w:pPr>
    </w:p>
    <w:p>
      <w:pPr>
        <w:ind w:left="1773" w:right="100" w:hanging="329"/>
        <w:spacing w:after="0" w:line="258" w:lineRule="auto"/>
        <w:tabs>
          <w:tab w:leader="none" w:pos="1773"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Securities Exchange Act of 1934, as amended) is or becomes the “beneficial owner” (as defined in Rule 13d-3 under said Act), directly or indirectly, of securities of the Company representing more than 50% of the total voting power represented by the Company’s then outstanding voting securities, other than the acquisition of 50% of the total voting power represented by the outstanding voting securities when sold by the Company in a capital raising transaction; or</w:t>
      </w:r>
    </w:p>
    <w:p>
      <w:pPr>
        <w:spacing w:after="0" w:line="183" w:lineRule="exact"/>
        <w:rPr>
          <w:rFonts w:ascii="Times New Roman" w:cs="Times New Roman" w:eastAsia="Times New Roman" w:hAnsi="Times New Roman"/>
          <w:sz w:val="18"/>
          <w:szCs w:val="18"/>
          <w:color w:val="auto"/>
        </w:rPr>
      </w:pPr>
    </w:p>
    <w:p>
      <w:pPr>
        <w:ind w:left="1773" w:right="60" w:hanging="329"/>
        <w:spacing w:after="0" w:line="256" w:lineRule="auto"/>
        <w:tabs>
          <w:tab w:leader="none" w:pos="1773"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w:t>
      </w:r>
    </w:p>
    <w:p>
      <w:pPr>
        <w:sectPr>
          <w:pgSz w:w="11900" w:h="16838" w:orient="portrait"/>
          <w:cols w:equalWidth="0" w:num="1">
            <w:col w:w="10773"/>
          </w:cols>
          <w:pgMar w:left="787" w:top="121" w:right="339" w:bottom="0" w:gutter="0" w:footer="0" w:header="0"/>
        </w:sectPr>
      </w:pPr>
    </w:p>
    <w:bookmarkStart w:id="8" w:name="page9"/>
    <w:bookmarkEnd w:id="8"/>
    <w:p>
      <w:pPr>
        <w:ind w:left="1773" w:right="120" w:hanging="329"/>
        <w:spacing w:after="0" w:line="282" w:lineRule="auto"/>
        <w:tabs>
          <w:tab w:leader="none" w:pos="1773"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consummation of the sale or disposition by the Company of all or substantially all the Company’s assets in a transaction that has been approved by the stockholders of the Company.</w:t>
      </w:r>
    </w:p>
    <w:p>
      <w:pPr>
        <w:spacing w:after="0" w:line="161" w:lineRule="exact"/>
        <w:rPr>
          <w:rFonts w:ascii="Times New Roman" w:cs="Times New Roman" w:eastAsia="Times New Roman" w:hAnsi="Times New Roman"/>
          <w:sz w:val="18"/>
          <w:szCs w:val="18"/>
          <w:color w:val="auto"/>
        </w:rPr>
      </w:pPr>
    </w:p>
    <w:p>
      <w:pPr>
        <w:ind w:left="1773"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definition, a transaction will not be deemed a Change of Control unless the transaction qualifies as a “change in control event” within the meaning of Section 409A.</w:t>
      </w:r>
    </w:p>
    <w:p>
      <w:pPr>
        <w:spacing w:after="0" w:line="157" w:lineRule="exact"/>
        <w:rPr>
          <w:rFonts w:ascii="Times New Roman" w:cs="Times New Roman" w:eastAsia="Times New Roman" w:hAnsi="Times New Roman"/>
          <w:sz w:val="18"/>
          <w:szCs w:val="18"/>
          <w:color w:val="auto"/>
        </w:rPr>
      </w:pPr>
    </w:p>
    <w:p>
      <w:pPr>
        <w:ind w:left="1073" w:hanging="317"/>
        <w:spacing w:after="0"/>
        <w:tabs>
          <w:tab w:leader="none" w:pos="10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1073" w:right="20" w:hanging="331"/>
        <w:spacing w:after="0" w:line="255" w:lineRule="auto"/>
        <w:tabs>
          <w:tab w:leader="none" w:pos="10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For the purposes of this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will mean that Executive has been unable to engage, with or without reasonable accommodation, in any substantial gainful activity by reason of any medically determinable physical or mental impairment that can be expected to result in death or can be expected to last for a continuous period of not less than six (6)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84" w:lineRule="exact"/>
        <w:rPr>
          <w:rFonts w:ascii="Times New Roman" w:cs="Times New Roman" w:eastAsia="Times New Roman" w:hAnsi="Times New Roman"/>
          <w:sz w:val="18"/>
          <w:szCs w:val="18"/>
          <w:color w:val="auto"/>
        </w:rPr>
      </w:pPr>
    </w:p>
    <w:p>
      <w:pPr>
        <w:ind w:left="1073" w:hanging="317"/>
        <w:spacing w:after="0" w:line="268" w:lineRule="auto"/>
        <w:tabs>
          <w:tab w:leader="none" w:pos="10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means Executive’s outstanding Company stock options, stock appreciation rights, restricted stock, restricted stock units, performance shares, performance stock units and any other Company equity compensation awards.</w:t>
      </w:r>
    </w:p>
    <w:p>
      <w:pPr>
        <w:spacing w:after="0" w:line="170" w:lineRule="exact"/>
        <w:rPr>
          <w:rFonts w:ascii="Times New Roman" w:cs="Times New Roman" w:eastAsia="Times New Roman" w:hAnsi="Times New Roman"/>
          <w:sz w:val="18"/>
          <w:szCs w:val="18"/>
          <w:color w:val="auto"/>
        </w:rPr>
      </w:pPr>
    </w:p>
    <w:p>
      <w:pPr>
        <w:ind w:left="1113" w:right="80" w:hanging="330"/>
        <w:spacing w:after="0" w:line="253" w:lineRule="auto"/>
        <w:tabs>
          <w:tab w:leader="none" w:pos="111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For the purposes of this Agreement,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xml:space="preserve">” means Executive’s resignation within thirty (30) days following the expiration of any Company cure period (discussed below) following the occurrence of one or more of the following, without Executive’s express written consent: (i) the assignment to Executive of any duties beyond the generally recognized scope of employment of a company </w:t>
      </w:r>
      <w:r>
        <w:rPr>
          <w:rFonts w:ascii="Times New Roman" w:cs="Times New Roman" w:eastAsia="Times New Roman" w:hAnsi="Times New Roman"/>
          <w:sz w:val="18"/>
          <w:szCs w:val="18"/>
          <w:b w:val="1"/>
          <w:bCs w:val="1"/>
          <w:color w:val="auto"/>
        </w:rPr>
        <w:t>Chief Operating Officer</w:t>
      </w:r>
      <w:r>
        <w:rPr>
          <w:rFonts w:ascii="Times New Roman" w:cs="Times New Roman" w:eastAsia="Times New Roman" w:hAnsi="Times New Roman"/>
          <w:sz w:val="18"/>
          <w:szCs w:val="18"/>
          <w:color w:val="auto"/>
        </w:rPr>
        <w:t xml:space="preserve"> or the reduction of Executive’s duties or the removal of Executive from Executive’s position and responsibilities as </w:t>
      </w:r>
      <w:r>
        <w:rPr>
          <w:rFonts w:ascii="Times New Roman" w:cs="Times New Roman" w:eastAsia="Times New Roman" w:hAnsi="Times New Roman"/>
          <w:sz w:val="18"/>
          <w:szCs w:val="18"/>
          <w:b w:val="1"/>
          <w:bCs w:val="1"/>
          <w:color w:val="auto"/>
        </w:rPr>
        <w:t>Chief Operating Officer</w:t>
      </w:r>
      <w:r>
        <w:rPr>
          <w:rFonts w:ascii="Times New Roman" w:cs="Times New Roman" w:eastAsia="Times New Roman" w:hAnsi="Times New Roman"/>
          <w:sz w:val="18"/>
          <w:szCs w:val="18"/>
          <w:color w:val="auto"/>
        </w:rPr>
        <w:t>, including due to a Change in Control, either of which must result in a material diminution of Executive’s authority, duties, or responsibilities with the Company in effect immediately prior to such assignment, unless the Executive is provided with an alternative executive-type position within the Company or its subsidiaries at the same or better compensation as proved herein or the reduction in duties, position or responsibilities was solely by virtue of the Company being acquired and made part of a larger entity and Executive’s compensation was not reduced as a result of the Change in Control; or (ii) a material reduction in Executive’s Base Salary (except where there is a reduction applicable to the management team generally of not more than 10% of Executive’s Base Salary). Executive will not resign for Good Reason without first providing the Company with written notice of the acts or omissions constituting the grounds for “Good Reason” within ninety (90) days of the initial existence of the grounds for “Good Reason” and providing a cure period of not less than thirty (30) days following the date of such notice and such grounds for “Good Reason” have not been cured during such cure period.</w:t>
      </w:r>
    </w:p>
    <w:p>
      <w:pPr>
        <w:spacing w:after="0" w:line="185" w:lineRule="exact"/>
        <w:rPr>
          <w:rFonts w:ascii="Times New Roman" w:cs="Times New Roman" w:eastAsia="Times New Roman" w:hAnsi="Times New Roman"/>
          <w:sz w:val="18"/>
          <w:szCs w:val="18"/>
          <w:color w:val="auto"/>
        </w:rPr>
      </w:pPr>
    </w:p>
    <w:p>
      <w:pPr>
        <w:ind w:left="1073" w:right="660" w:hanging="331"/>
        <w:spacing w:after="0" w:line="286" w:lineRule="auto"/>
        <w:tabs>
          <w:tab w:leader="none" w:pos="10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final regulations and any guidance promulgated thereunder or any state law equivalent.</w:t>
      </w:r>
    </w:p>
    <w:p>
      <w:pPr>
        <w:spacing w:after="0" w:line="154" w:lineRule="exact"/>
        <w:rPr>
          <w:rFonts w:ascii="Times New Roman" w:cs="Times New Roman" w:eastAsia="Times New Roman" w:hAnsi="Times New Roman"/>
          <w:sz w:val="18"/>
          <w:szCs w:val="18"/>
          <w:color w:val="auto"/>
        </w:rPr>
      </w:pPr>
    </w:p>
    <w:p>
      <w:pPr>
        <w:ind w:left="1073" w:right="60" w:hanging="331"/>
        <w:spacing w:after="0" w:line="257" w:lineRule="auto"/>
        <w:tabs>
          <w:tab w:leader="none" w:pos="10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Limit</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Section 409A Limit</w:t>
      </w:r>
      <w:r>
        <w:rPr>
          <w:rFonts w:ascii="Times New Roman" w:cs="Times New Roman" w:eastAsia="Times New Roman" w:hAnsi="Times New Roman"/>
          <w:sz w:val="18"/>
          <w:szCs w:val="18"/>
          <w:color w:val="auto"/>
        </w:rPr>
        <w:t>” will mean two (2) times the lesser of: (i) Executive’s annualized compensation based upon the annual rate of pay paid to Executive during the Executive’s taxable year preceding the Executive’s taxable year of Executive’s separation from service, as determined under Treasury Regulation Section 1.409A-1(b)(9)(iii) (A)(1)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86" w:lineRule="exact"/>
        <w:rPr>
          <w:rFonts w:ascii="Times New Roman" w:cs="Times New Roman" w:eastAsia="Times New Roman" w:hAnsi="Times New Roman"/>
          <w:sz w:val="18"/>
          <w:szCs w:val="18"/>
          <w:color w:val="auto"/>
        </w:rPr>
      </w:pPr>
    </w:p>
    <w:p>
      <w:pPr>
        <w:ind w:left="333" w:hanging="333"/>
        <w:spacing w:after="0" w:line="255" w:lineRule="auto"/>
        <w:tabs>
          <w:tab w:leader="none" w:pos="3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8" w:lineRule="exact"/>
        <w:rPr>
          <w:rFonts w:ascii="Times New Roman" w:cs="Times New Roman" w:eastAsia="Times New Roman" w:hAnsi="Times New Roman"/>
          <w:sz w:val="18"/>
          <w:szCs w:val="18"/>
          <w:color w:val="auto"/>
        </w:rPr>
      </w:pPr>
    </w:p>
    <w:p>
      <w:pPr>
        <w:ind w:left="333" w:right="60" w:hanging="333"/>
        <w:spacing w:after="0" w:line="261" w:lineRule="auto"/>
        <w:tabs>
          <w:tab w:leader="none" w:pos="3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requests, demands and other communications called for hereunder will be in writing and will be deemed given (i) on the date of delivery if delivered personally, (ii) one (1) day after being sent by a well-established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80" w:lineRule="exact"/>
        <w:rPr>
          <w:sz w:val="20"/>
          <w:szCs w:val="20"/>
          <w:color w:val="auto"/>
        </w:rPr>
      </w:pPr>
    </w:p>
    <w:p>
      <w:pPr>
        <w:ind w:left="833"/>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7" w:lineRule="exact"/>
        <w:rPr>
          <w:sz w:val="20"/>
          <w:szCs w:val="20"/>
          <w:color w:val="auto"/>
        </w:rPr>
      </w:pPr>
    </w:p>
    <w:p>
      <w:pPr>
        <w:ind w:left="833"/>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9" w:lineRule="exact"/>
        <w:rPr>
          <w:sz w:val="20"/>
          <w:szCs w:val="20"/>
          <w:color w:val="auto"/>
        </w:rPr>
      </w:pPr>
    </w:p>
    <w:p>
      <w:pPr>
        <w:ind w:left="833"/>
        <w:spacing w:after="0"/>
        <w:rPr>
          <w:sz w:val="20"/>
          <w:szCs w:val="20"/>
          <w:color w:val="auto"/>
        </w:rPr>
      </w:pPr>
      <w:r>
        <w:rPr>
          <w:rFonts w:ascii="Times New Roman" w:cs="Times New Roman" w:eastAsia="Times New Roman" w:hAnsi="Times New Roman"/>
          <w:sz w:val="18"/>
          <w:szCs w:val="18"/>
          <w:color w:val="auto"/>
        </w:rPr>
        <w:t>601 Brickell Key Drive, Suite 1080</w:t>
      </w:r>
    </w:p>
    <w:p>
      <w:pPr>
        <w:spacing w:after="0" w:line="9" w:lineRule="exact"/>
        <w:rPr>
          <w:sz w:val="20"/>
          <w:szCs w:val="20"/>
          <w:color w:val="auto"/>
        </w:rPr>
      </w:pPr>
    </w:p>
    <w:p>
      <w:pPr>
        <w:ind w:left="833"/>
        <w:spacing w:after="0"/>
        <w:rPr>
          <w:sz w:val="20"/>
          <w:szCs w:val="20"/>
          <w:color w:val="auto"/>
        </w:rPr>
      </w:pPr>
      <w:r>
        <w:rPr>
          <w:rFonts w:ascii="Times New Roman" w:cs="Times New Roman" w:eastAsia="Times New Roman" w:hAnsi="Times New Roman"/>
          <w:sz w:val="18"/>
          <w:szCs w:val="18"/>
          <w:color w:val="auto"/>
        </w:rPr>
        <w:t>Miami, FL 33131</w:t>
      </w:r>
    </w:p>
    <w:p>
      <w:pPr>
        <w:spacing w:after="0" w:line="9" w:lineRule="exact"/>
        <w:rPr>
          <w:sz w:val="20"/>
          <w:szCs w:val="20"/>
          <w:color w:val="auto"/>
        </w:rPr>
      </w:pPr>
    </w:p>
    <w:p>
      <w:pPr>
        <w:ind w:left="833"/>
        <w:spacing w:after="0"/>
        <w:rPr>
          <w:sz w:val="20"/>
          <w:szCs w:val="20"/>
          <w:color w:val="auto"/>
        </w:rPr>
      </w:pPr>
      <w:r>
        <w:rPr>
          <w:rFonts w:ascii="Times New Roman" w:cs="Times New Roman" w:eastAsia="Times New Roman" w:hAnsi="Times New Roman"/>
          <w:sz w:val="18"/>
          <w:szCs w:val="18"/>
          <w:u w:val="single" w:color="auto"/>
          <w:color w:val="auto"/>
        </w:rPr>
        <w:t>Attn</w:t>
      </w:r>
      <w:r>
        <w:rPr>
          <w:rFonts w:ascii="Times New Roman" w:cs="Times New Roman" w:eastAsia="Times New Roman" w:hAnsi="Times New Roman"/>
          <w:sz w:val="18"/>
          <w:szCs w:val="18"/>
          <w:color w:val="auto"/>
        </w:rPr>
        <w:t>: Chief Executive Officer</w:t>
      </w:r>
    </w:p>
    <w:p>
      <w:pPr>
        <w:spacing w:after="0" w:line="9" w:lineRule="exact"/>
        <w:rPr>
          <w:sz w:val="20"/>
          <w:szCs w:val="20"/>
          <w:color w:val="auto"/>
        </w:rPr>
      </w:pPr>
    </w:p>
    <w:p>
      <w:pPr>
        <w:ind w:left="833"/>
        <w:spacing w:after="0"/>
        <w:rPr>
          <w:sz w:val="20"/>
          <w:szCs w:val="20"/>
          <w:color w:val="auto"/>
        </w:rPr>
      </w:pPr>
      <w:r>
        <w:rPr>
          <w:rFonts w:ascii="Times New Roman" w:cs="Times New Roman" w:eastAsia="Times New Roman" w:hAnsi="Times New Roman"/>
          <w:sz w:val="18"/>
          <w:szCs w:val="18"/>
          <w:color w:val="auto"/>
        </w:rPr>
        <w:t>If to Executive:</w:t>
      </w:r>
    </w:p>
    <w:p>
      <w:pPr>
        <w:spacing w:after="0" w:line="9" w:lineRule="exact"/>
        <w:rPr>
          <w:sz w:val="20"/>
          <w:szCs w:val="20"/>
          <w:color w:val="auto"/>
        </w:rPr>
      </w:pPr>
    </w:p>
    <w:p>
      <w:pPr>
        <w:ind w:left="833"/>
        <w:spacing w:after="0"/>
        <w:rPr>
          <w:sz w:val="20"/>
          <w:szCs w:val="20"/>
          <w:color w:val="auto"/>
        </w:rPr>
      </w:pPr>
      <w:r>
        <w:rPr>
          <w:rFonts w:ascii="Times New Roman" w:cs="Times New Roman" w:eastAsia="Times New Roman" w:hAnsi="Times New Roman"/>
          <w:sz w:val="18"/>
          <w:szCs w:val="18"/>
          <w:color w:val="auto"/>
        </w:rPr>
        <w:t>at the last residential address known by the Company.</w:t>
      </w:r>
    </w:p>
    <w:p>
      <w:pPr>
        <w:spacing w:after="0" w:line="207" w:lineRule="exact"/>
        <w:rPr>
          <w:sz w:val="20"/>
          <w:szCs w:val="20"/>
          <w:color w:val="auto"/>
        </w:rPr>
      </w:pPr>
    </w:p>
    <w:p>
      <w:pPr>
        <w:ind w:left="333" w:right="780" w:hanging="333"/>
        <w:spacing w:after="0" w:line="282" w:lineRule="auto"/>
        <w:tabs>
          <w:tab w:leader="none" w:pos="3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Executive agrees to enter into and comply with the Company’s standard At-Will Employment, Confidential Information, Invention Assignment, and Arbitration Agreement (the “</w:t>
      </w:r>
      <w:r>
        <w:rPr>
          <w:rFonts w:ascii="Times New Roman" w:cs="Times New Roman" w:eastAsia="Times New Roman" w:hAnsi="Times New Roman"/>
          <w:sz w:val="18"/>
          <w:szCs w:val="18"/>
          <w:b w:val="1"/>
          <w:bCs w:val="1"/>
          <w:color w:val="auto"/>
        </w:rPr>
        <w:t>Confidential Information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33" w:right="20" w:hanging="333"/>
        <w:spacing w:after="0" w:line="274" w:lineRule="auto"/>
        <w:tabs>
          <w:tab w:leader="none" w:pos="33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Business Opportunities</w:t>
      </w:r>
      <w:r>
        <w:rPr>
          <w:rFonts w:ascii="Times New Roman" w:cs="Times New Roman" w:eastAsia="Times New Roman" w:hAnsi="Times New Roman"/>
          <w:sz w:val="17"/>
          <w:szCs w:val="17"/>
          <w:color w:val="auto"/>
        </w:rPr>
        <w:t>. The Executive agrees, during the Employment Term, to offer or otherwise make known or available to it, as directed by the Chief Executive Officer or Board and without additional compensation or consideration, any business prospects, contracts or other business opportunities that Executive may discover, find, develop or otherwise have available to Executive in the Company’s Field of Interest, and further agrees that any such prospects, contacts or other business opportunities shall be the property of the Company. For purposes of this section, “</w:t>
      </w:r>
      <w:r>
        <w:rPr>
          <w:rFonts w:ascii="Times New Roman" w:cs="Times New Roman" w:eastAsia="Times New Roman" w:hAnsi="Times New Roman"/>
          <w:sz w:val="17"/>
          <w:szCs w:val="17"/>
          <w:b w:val="1"/>
          <w:bCs w:val="1"/>
          <w:color w:val="auto"/>
        </w:rPr>
        <w:t>Field of Interest</w:t>
      </w:r>
      <w:r>
        <w:rPr>
          <w:rFonts w:ascii="Times New Roman" w:cs="Times New Roman" w:eastAsia="Times New Roman" w:hAnsi="Times New Roman"/>
          <w:sz w:val="17"/>
          <w:szCs w:val="17"/>
          <w:color w:val="auto"/>
        </w:rPr>
        <w:t>” shall include, without limitation, the development, implementation or licensing or sale of methods of using nanopulse electricity for bio-medical applications, including for diagnosis, detection, prevention, treatment or cure of tumors or cancers of internal organs,</w:t>
      </w:r>
    </w:p>
    <w:p>
      <w:pPr>
        <w:sectPr>
          <w:pgSz w:w="11900" w:h="16838" w:orient="portrait"/>
          <w:cols w:equalWidth="0" w:num="1">
            <w:col w:w="10773"/>
          </w:cols>
          <w:pgMar w:left="787" w:top="121" w:right="339" w:bottom="0" w:gutter="0" w:footer="0" w:header="0"/>
        </w:sectPr>
      </w:pPr>
    </w:p>
    <w:bookmarkStart w:id="9" w:name="page10"/>
    <w:bookmarkEnd w:id="9"/>
    <w:p>
      <w:pPr>
        <w:ind w:left="640" w:right="60"/>
        <w:spacing w:after="0" w:line="282" w:lineRule="auto"/>
        <w:rPr>
          <w:sz w:val="20"/>
          <w:szCs w:val="20"/>
          <w:color w:val="auto"/>
        </w:rPr>
      </w:pPr>
      <w:r>
        <w:rPr>
          <w:rFonts w:ascii="Times New Roman" w:cs="Times New Roman" w:eastAsia="Times New Roman" w:hAnsi="Times New Roman"/>
          <w:sz w:val="18"/>
          <w:szCs w:val="18"/>
          <w:color w:val="auto"/>
        </w:rPr>
        <w:t>or diseases or disorders that can be treated by the ablation of internal tissue, such as atrial fibrillation, as well as other applications and any other business activity engaged in, conducted by or in active planning by the Company or its subsidiaries or affiliates.</w:t>
      </w:r>
    </w:p>
    <w:p>
      <w:pPr>
        <w:spacing w:after="0" w:line="162" w:lineRule="exact"/>
        <w:rPr>
          <w:sz w:val="20"/>
          <w:szCs w:val="20"/>
          <w:color w:val="auto"/>
        </w:rPr>
      </w:pPr>
    </w:p>
    <w:p>
      <w:pPr>
        <w:ind w:left="640" w:hanging="333"/>
        <w:spacing w:after="0" w:line="253"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the Executive’s employment with the Company, the Executive shall reasonably cooperate with the Company and its affiliates in the defense or prosecution of any claims or actions now in existence or which may be brought in the future against or on behalf of the Company and its affiliates which relate to events or occurrences that transpired while the Executive was employed by the Company. The Executive’s reasonable cooperation in connection with such claims or actions shall include, but not be limited to, being reasonably available to meet with counsel to prepare for discovery or trial and to act as a witness on behalf of the Company and its affiliates at mutually convenient times. During and after the Executive’s employment, the Executive also shall reasonably cooperate with the Company and its affiliates in connection with any such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If assistance is required after Executive is no longer employed by the Company, the Company agrees to compensate Executive by paying Executive a mutually agreed upon hourly rate for all time spent beyond five (5) hours. The performance by the Executive under this Section after the termination of the Executive's employment with the Company shall be subject to Executive’s other employment obligations.</w:t>
      </w:r>
    </w:p>
    <w:p>
      <w:pPr>
        <w:spacing w:after="0" w:line="187" w:lineRule="exact"/>
        <w:rPr>
          <w:rFonts w:ascii="Times New Roman" w:cs="Times New Roman" w:eastAsia="Times New Roman" w:hAnsi="Times New Roman"/>
          <w:sz w:val="18"/>
          <w:szCs w:val="18"/>
          <w:color w:val="auto"/>
        </w:rPr>
      </w:pPr>
    </w:p>
    <w:p>
      <w:pPr>
        <w:ind w:left="640" w:right="40" w:hanging="333"/>
        <w:spacing w:after="0" w:line="255"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Executive agrees that the Company or its affiliates may from time to time and for the Company’s or the affiliates’ own benefit apply for and take out life insurance covering the Executive, either independently or together with others, in any amount and form which the Company or an affiliate may deem to be in its best interests. The Company or the respective affiliate shall own all rights in such insurance and in the cash values and proceeds thereof, and the Executive shall not have any right, title or interest therein. The Executive agrees to assist the Company and its affiliates, at the Company's expense, in obtaining any such insurance by, among things, submitting to customary examinations and correctly preparing, signing and delivering such applications and other documents as reasonably may be required. Nothing contained in this Section shall be construed as a limitation on the Executive’s right to procure any life insurance for Executive’s own personal needs.</w:t>
      </w:r>
    </w:p>
    <w:p>
      <w:pPr>
        <w:spacing w:after="0" w:line="188" w:lineRule="exact"/>
        <w:rPr>
          <w:rFonts w:ascii="Times New Roman" w:cs="Times New Roman" w:eastAsia="Times New Roman" w:hAnsi="Times New Roman"/>
          <w:sz w:val="18"/>
          <w:szCs w:val="18"/>
          <w:color w:val="auto"/>
        </w:rPr>
      </w:pPr>
    </w:p>
    <w:p>
      <w:pPr>
        <w:ind w:left="640" w:hanging="33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80" w:right="120" w:hanging="317"/>
        <w:spacing w:after="0" w:line="266"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provision of this Agreement will be modified, waived or discharged unless the modification, waiver or discharge is agreed to in writing and signed by Executive and by an authorized officer of the Company (other than Executive) that is expressly designated as an amendment to this Agreement.</w:t>
      </w:r>
    </w:p>
    <w:p>
      <w:pPr>
        <w:spacing w:after="0" w:line="175" w:lineRule="exact"/>
        <w:rPr>
          <w:rFonts w:ascii="Times New Roman" w:cs="Times New Roman" w:eastAsia="Times New Roman" w:hAnsi="Times New Roman"/>
          <w:sz w:val="18"/>
          <w:szCs w:val="18"/>
          <w:color w:val="auto"/>
        </w:rPr>
      </w:pPr>
    </w:p>
    <w:p>
      <w:pPr>
        <w:ind w:left="1380" w:right="80" w:hanging="331"/>
        <w:spacing w:after="0" w:line="282"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61" w:lineRule="exact"/>
        <w:rPr>
          <w:rFonts w:ascii="Times New Roman" w:cs="Times New Roman" w:eastAsia="Times New Roman" w:hAnsi="Times New Roman"/>
          <w:sz w:val="18"/>
          <w:szCs w:val="18"/>
          <w:color w:val="auto"/>
        </w:rPr>
      </w:pPr>
    </w:p>
    <w:p>
      <w:pPr>
        <w:ind w:left="1380" w:right="180" w:hanging="317"/>
        <w:spacing w:after="0" w:line="282"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All captions and section headings used in this Agreement are for convenient reference only and do not form a part of this Agreement.</w:t>
      </w:r>
    </w:p>
    <w:p>
      <w:pPr>
        <w:spacing w:after="0" w:line="161" w:lineRule="exact"/>
        <w:rPr>
          <w:rFonts w:ascii="Times New Roman" w:cs="Times New Roman" w:eastAsia="Times New Roman" w:hAnsi="Times New Roman"/>
          <w:sz w:val="18"/>
          <w:szCs w:val="18"/>
          <w:color w:val="auto"/>
        </w:rPr>
      </w:pPr>
    </w:p>
    <w:p>
      <w:pPr>
        <w:ind w:left="1380" w:right="40" w:hanging="331"/>
        <w:spacing w:after="0" w:line="256"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Plan, Option Agreement, and the Confidential Information Agreement (and its exhibits) represents the entire agreement and understanding between the parties as to the subject matter herein and supersedes all prior or contemporaneous agreements whether written or oral. With respect to stock options or other Equity Awards granted on or after the date of this Agreement, the acceleration of vesting provisions provided herein will apply to such stock options or other Equity Awards. This Agreement may be modified only by agreement of the parties by a written instrument executed by the parties that is designated as an amendment to this Agreement.</w:t>
      </w:r>
    </w:p>
    <w:p>
      <w:pPr>
        <w:spacing w:after="0" w:line="187" w:lineRule="exact"/>
        <w:rPr>
          <w:rFonts w:ascii="Times New Roman" w:cs="Times New Roman" w:eastAsia="Times New Roman" w:hAnsi="Times New Roman"/>
          <w:sz w:val="18"/>
          <w:szCs w:val="18"/>
          <w:color w:val="auto"/>
        </w:rPr>
      </w:pPr>
    </w:p>
    <w:p>
      <w:pPr>
        <w:ind w:left="1380" w:right="520" w:hanging="317"/>
        <w:spacing w:after="0" w:line="282"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the laws of the State of Florida (with the exception of its conflict of laws provisions).</w:t>
      </w:r>
    </w:p>
    <w:p>
      <w:pPr>
        <w:spacing w:after="0" w:line="161" w:lineRule="exact"/>
        <w:rPr>
          <w:rFonts w:ascii="Times New Roman" w:cs="Times New Roman" w:eastAsia="Times New Roman" w:hAnsi="Times New Roman"/>
          <w:sz w:val="18"/>
          <w:szCs w:val="18"/>
          <w:color w:val="auto"/>
        </w:rPr>
      </w:pPr>
    </w:p>
    <w:p>
      <w:pPr>
        <w:ind w:left="1420" w:right="560" w:hanging="330"/>
        <w:spacing w:after="0" w:line="282" w:lineRule="auto"/>
        <w:tabs>
          <w:tab w:leader="none" w:pos="14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61" w:lineRule="exact"/>
        <w:rPr>
          <w:rFonts w:ascii="Times New Roman" w:cs="Times New Roman" w:eastAsia="Times New Roman" w:hAnsi="Times New Roman"/>
          <w:sz w:val="18"/>
          <w:szCs w:val="18"/>
          <w:color w:val="auto"/>
        </w:rPr>
      </w:pPr>
    </w:p>
    <w:p>
      <w:pPr>
        <w:ind w:left="1380" w:right="220" w:hanging="331"/>
        <w:spacing w:after="0" w:line="282"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pursuant to this Agreement will be subject to all applicable withholdings, including all applicable income and employment taxes, as determined in the Company’s reasonable judgment.</w:t>
      </w:r>
    </w:p>
    <w:p>
      <w:pPr>
        <w:spacing w:after="0" w:line="161" w:lineRule="exact"/>
        <w:rPr>
          <w:rFonts w:ascii="Times New Roman" w:cs="Times New Roman" w:eastAsia="Times New Roman" w:hAnsi="Times New Roman"/>
          <w:sz w:val="18"/>
          <w:szCs w:val="18"/>
          <w:color w:val="auto"/>
        </w:rPr>
      </w:pPr>
    </w:p>
    <w:p>
      <w:pPr>
        <w:ind w:left="1380" w:right="60" w:hanging="331"/>
        <w:spacing w:after="0" w:line="266"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175" w:lineRule="exact"/>
        <w:rPr>
          <w:rFonts w:ascii="Times New Roman" w:cs="Times New Roman" w:eastAsia="Times New Roman" w:hAnsi="Times New Roman"/>
          <w:sz w:val="18"/>
          <w:szCs w:val="18"/>
          <w:color w:val="auto"/>
        </w:rPr>
      </w:pPr>
    </w:p>
    <w:p>
      <w:pPr>
        <w:ind w:left="1420" w:right="500" w:hanging="330"/>
        <w:spacing w:after="0" w:line="282" w:lineRule="auto"/>
        <w:tabs>
          <w:tab w:leader="none" w:pos="14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will have the same force and effect as an original and will constitute an effective, binding agreement on the part of each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240030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executed this Employment Agreement, in the case of the Company by its duly authorized Co-Chairmen, as of the day and year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4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Pulse Biosciences, Inc.</w:t>
            </w:r>
          </w:p>
        </w:tc>
      </w:tr>
      <w:tr>
        <w:trPr>
          <w:trHeight w:val="630"/>
        </w:trPr>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Robert Duggan</w:t>
            </w:r>
          </w:p>
        </w:tc>
      </w:tr>
      <w:tr>
        <w:trPr>
          <w:trHeight w:val="216"/>
        </w:trPr>
        <w:tc>
          <w:tcPr>
            <w:tcW w:w="1660" w:type="dxa"/>
            <w:vAlign w:val="bottom"/>
          </w:tcPr>
          <w:p>
            <w:pPr>
              <w:spacing w:after="0"/>
              <w:rPr>
                <w:sz w:val="18"/>
                <w:szCs w:val="18"/>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Robert Duggan</w:t>
            </w:r>
          </w:p>
        </w:tc>
      </w:tr>
      <w:tr>
        <w:trPr>
          <w:trHeight w:val="234"/>
        </w:trPr>
        <w:tc>
          <w:tcPr>
            <w:tcW w:w="166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Co-Chairman</w:t>
            </w:r>
          </w:p>
        </w:tc>
      </w:tr>
      <w:tr>
        <w:trPr>
          <w:trHeight w:val="414"/>
        </w:trPr>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Paul LaViolette</w:t>
            </w:r>
          </w:p>
        </w:tc>
      </w:tr>
      <w:tr>
        <w:trPr>
          <w:trHeight w:val="216"/>
        </w:trPr>
        <w:tc>
          <w:tcPr>
            <w:tcW w:w="1660" w:type="dxa"/>
            <w:vAlign w:val="bottom"/>
          </w:tcPr>
          <w:p>
            <w:pPr>
              <w:spacing w:after="0"/>
              <w:rPr>
                <w:sz w:val="18"/>
                <w:szCs w:val="18"/>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LaViolette</w:t>
            </w:r>
          </w:p>
        </w:tc>
      </w:tr>
      <w:tr>
        <w:trPr>
          <w:trHeight w:val="234"/>
        </w:trPr>
        <w:tc>
          <w:tcPr>
            <w:tcW w:w="166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Chief Executive Officer, President &amp; Co-Chairman</w:t>
            </w:r>
          </w:p>
        </w:tc>
      </w:tr>
      <w:tr>
        <w:trPr>
          <w:trHeight w:val="63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Liane R. Teplitsky</w:t>
            </w:r>
          </w:p>
        </w:tc>
      </w:tr>
      <w:tr>
        <w:trPr>
          <w:trHeight w:val="234"/>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Liane R. Teplitsky</w:t>
            </w:r>
          </w:p>
        </w:tc>
      </w:tr>
    </w:tbl>
    <w:p>
      <w:pPr>
        <w:sectPr>
          <w:pgSz w:w="11900" w:h="16838" w:orient="portrait"/>
          <w:cols w:equalWidth="0" w:num="1">
            <w:col w:w="11240"/>
          </w:cols>
          <w:pgMar w:left="320" w:top="58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Pulse Biosciences Strengthens Executive Leadership Team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Appoints Liane Teplitsky as Chief Operating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Expands Dr. David Kenigsberg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Chief Medical Officer Role</w:t>
      </w:r>
    </w:p>
    <w:p>
      <w:pPr>
        <w:spacing w:after="0" w:line="22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HAYWARD, California</w:t>
      </w:r>
      <w:r>
        <w:rPr>
          <w:rFonts w:ascii="Times New Roman" w:cs="Times New Roman" w:eastAsia="Times New Roman" w:hAnsi="Times New Roman"/>
          <w:sz w:val="18"/>
          <w:szCs w:val="18"/>
          <w:color w:val="auto"/>
        </w:rPr>
        <w:t>, April 9, 2026 – Pulse Biosciences, Inc. (Nasdaq: PLSE), developer of nPulse™ technology using proprietary nanosecond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pulsed field ablation (nsPFA™) energy, today announced the strengthening of its executive leadership team with the appointment of Liane Teplitsky as Chief Operating Officer and expanded role of Dr. David Kenigsberg as full-time Chief Medical Officer.</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Both the appointment of Liane Teplitsky as Chief Operating Officer and Dr. David Kenigsberg’s agreement to serve as the Company’s Chief Medical Officer on a full-time basis further enhance the Company’s strategic alignment to prioritize and accelerate the development and future commercialization of its nPulse Cardiac Catheter Ablation System. As COO, Ms. Teplitsky will oversee the Company’s Clinical, Regulatory, Quality, and Commercial functions.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thrilled to welcome Liane to Pulse at such a consequential moment in the Company's development," said Paul LaViolette, Co-Chairman and CEO of Pulse Biosciences. "She brings a wealth of relevant experience and a remarkable track record of building and scaling medtech businesses. Her operational and leadership experience will be instrumental in accelerating our strategic priorities with emphasis on the cardiac catheter development program. Together with Dr. Kenigsberg's expanded commitment to our clinical strategy, we have expanded the depth and capability of our executive team and are now optimally positioned to execute on our clinical and regulatory objectives.”</w:t>
      </w:r>
    </w:p>
    <w:p>
      <w:pPr>
        <w:spacing w:after="0" w:line="183"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7"/>
          <w:szCs w:val="17"/>
          <w:color w:val="auto"/>
        </w:rPr>
        <w:t>Ms. Teplitsky brings twenty years of experience leading and scaling innovative medical technology businesses, with a particular focus on electrophysiology, cardiovascular, and digital health technologies. She most recently served as Chief Executive Officer of Artedrone, where she led the strategy and development of an autonomous robotic technology for stroke treatment. Previously, Ms. Teplitsky held senior marketing and commercial leadership roles at Abbott Laboratories and St. Jude Medical, contributing to the development, clinical validation, and global commercialization of cardiovascular and EP therapies. She also served as President of Robotics, Technology and Data Solutions at Zimmer Biomet, where she led global strategy and commercialization for robotics and digital health technologies. Ms. Teplitsky holds a Master of Science in Biomedical Engineering from Duke University and Bachelor of Science degrees in Electrical Engineering and Physiology from the University of Saskatchewan. Ms. Teplitsky currently serves as Chairman of the Board of Carvolix (Paris-EUR) and will remain in this role as she joins Pulse Biosciences.</w:t>
      </w:r>
    </w:p>
    <w:p>
      <w:pPr>
        <w:spacing w:after="0" w:line="1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"What drew me to Pulse was the science; nanosecond PFA is a differentiated technology with the potential to meaningfully advance how atrial fibrillation is treated and patients respond," said Liane Teplitsky. "The clinical foundation is strong, the team is exceptional, and the Company is at an inflection point where focused execution can make a real difference. I am eager to contribute and look forward to working alongside the Pulse team to deliver on that potential for patients."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also announced that David Kenigsberg, MD, FACC, FHRS, Chief Medical Officer of Pulse Biosciences, will expand his role, while maintaining his active routine clinical practice. His increased leadership capacity will benefit the Company as it advances its IDE pivotal clinical study evaluating the nPulse™ Cardiac Catheter System for the treatment of atrial fibrillation. Dr. Kenigsberg has extensive experience leading clinical trials in the field of electrophysiology and is a recognized key opinion leader in pulsed field ablation.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Awards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start of her employment as the Company’s Chief Operating Officer, and pursuant to the terms of her employment agreement with the Company, the Compensation Committee of the Company’s Board of Directors granted Ms. Teplitsky equity inducement awards outside of the Company’s 2017 Equity Incentive Plan, but under the terms of its 2017 Inducement Equity Incentive Plan (the “Inducement Plan”). These awards were approved and issued on April 8, 2026, in accordance with Nasdaq Listing Rule 5635(c)(4), and granted as a material inducement to Ms. Teplitsky’s entering into employment with the Company. These inducement awards consist of (i) a nonstatutory stock option (the “Start Date Option”) to purchase up to 700,000 shares of the Company's common stock at a price of $19.06 per share, and (ii) restricted stock units (the “Start Date RSUs”) representing 200,000 shares of the Company’s common stock.</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Subject to certain accelerated vesting provisions described in her employment agreement, the Start Date Option will vest as follows: (i) 200,000 option shares have time-based vesting with 25% vesting on each of her first four anniversaries of employment, and (ii) 500,000 option shares have performance-based vesting, with milestones tied to the Company’s market capitalization and future revenues. The Start Date RSUs will vest based upon the achievement of similar performance objectives. All vesting of the Start Date Option and Start Date RSUs are subject to Ms. Teplitsky continuing to be a Service Provider (as defined in the Inducement Plan) through each applicable vesting date. These inducement awards are subject to the terms and conditions of the Incentive Plan and the award agreements entered into with Ms. Teplitsky.</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Additionally, Pulse has awarded inducement options to two other recently hired employees to purchase, in aggregate, up to 7,700 shares of Company common stock. The Company’s independent Compensation Committee approved these awards as an inducement to their employment in accordance with Nasdaq Listing Rule 5635(c)(4). These stock options have an exercise price of $19.06 per share, which is equal to the closing price of the Company’s common stock on April 8, 2026, and all will be subject to time-based vesting over four years, with 1/4 of each award vesting annually, subject to the employee’s continued employment with Pulse Biosciences. These options are subject to the terms and conditions of the Inducement Plan and the award agreements entered into with each recipient.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Pulse Biosciences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Pulse Biosciences is a novel bioelectric medicine company committed to health innovation that has the intention as well as potential to improve the quality of life for patients. The Company’s proprietary nPulse™ technology delivers nanosecond pulses of electrical energy to non-thermally clear cells while sparing adjacent non-cellular tissue as well as initiating regulated cell death. The Company is actively pursuing the development of its nPulse technology for use in the treatment of atrial fibrillation and in a select few other markets where it could have a profound positive impact on healthcare for both patients and providers.</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Pulse Biosciences, nPulse, Vybrance, CellFX, Nano-Pulse Stimulation, NPS, nsPFA, CellFX nsPFA and the stylized logos are among the trademarks and/or registered trademarks of Pulse Biosciences, Inc. in the United States and other countries.</w:t>
      </w:r>
    </w:p>
    <w:p>
      <w:pPr>
        <w:sectPr>
          <w:pgSz w:w="11900" w:h="16838" w:orient="portrait"/>
          <w:cols w:equalWidth="0" w:num="1">
            <w:col w:w="11080"/>
          </w:cols>
          <w:pgMar w:left="480" w:top="121" w:right="3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 Turano, Account Director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PulsebioPR@icrhealthcare.com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Skinner,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IR@pulsebiosciences.com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Trip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415.937.5406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philip@gilmartinir.com</w:t>
      </w:r>
    </w:p>
    <w:sectPr>
      <w:pgSz w:w="11900" w:h="16838" w:orient="portrait"/>
      <w:cols w:equalWidth="0" w:num="1">
        <w:col w:w="9979"/>
      </w:cols>
      <w:pgMar w:left="48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lvl w:ilvl="1">
      <w:lvlJc w:val="left"/>
      <w:lvlText w:val="%2."/>
      <w:numFmt w:val="decimal"/>
      <w:start w:val="2"/>
    </w:lvl>
  </w:abstractNum>
  <w:abstractNum w:abstractNumId="2">
    <w:nsid w:val="12200854"/>
    <w:multiLevelType w:val="hybridMultilevel"/>
    <w:lvl w:ilvl="0">
      <w:lvlJc w:val="left"/>
      <w:lvlText w:val="%1."/>
      <w:numFmt w:val="decimal"/>
      <w:start w:val="1"/>
    </w:lvl>
    <w:lvl w:ilvl="1">
      <w:lvlJc w:val="left"/>
      <w:lvlText w:val="%2."/>
      <w:numFmt w:val="decimal"/>
      <w:start w:val="2"/>
    </w:lvl>
  </w:abstractNum>
  <w:abstractNum w:abstractNumId="3">
    <w:nsid w:val="4DB127F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6">
    <w:nsid w:val="1190CDE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7">
    <w:nsid w:val="66EF438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4"/>
    </w:lvl>
  </w:abstractNum>
  <w:abstractNum w:abstractNumId="9">
    <w:nsid w:val="3352255A"/>
    <w:multiLevelType w:val="hybridMultilevel"/>
    <w:lvl w:ilvl="0">
      <w:lvlJc w:val="left"/>
      <w:lvlText w:val="%1."/>
      <w:numFmt w:val="decimal"/>
      <w:start w:val="9"/>
    </w:lvl>
    <w:lvl w:ilvl="1">
      <w:lvlJc w:val="left"/>
      <w:lvlText w:val="(%2)"/>
      <w:numFmt w:val="lowerLetter"/>
      <w:start w:val="9"/>
    </w:lvl>
    <w:lvl w:ilvl="2">
      <w:lvlJc w:val="left"/>
      <w:lvlText w:val="(%3)"/>
      <w:numFmt w:val="lowerLetter"/>
      <w:start w:val="1"/>
    </w:lvl>
    <w:lvl w:ilvl="3">
      <w:lvlJc w:val="left"/>
      <w:lvlText w:val="%4"/>
      <w:numFmt w:val="lowerRoman"/>
      <w:start w:val="1"/>
    </w:lvl>
  </w:abstractNum>
  <w:abstractNum w:abstractNumId="10">
    <w:nsid w:val="109CF92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2">
    <w:nsid w:val="7FDCC23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3">
    <w:nsid w:val="1BEFD79F"/>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4">
    <w:nsid w:val="41A7C4C9"/>
    <w:multiLevelType w:val="hybridMultilevel"/>
    <w:lvl w:ilvl="0">
      <w:lvlJc w:val="left"/>
      <w:lvlText w:val="%1."/>
      <w:numFmt w:val="decimal"/>
      <w:start w:val="13"/>
    </w:lvl>
  </w:abstractNum>
  <w:abstractNum w:abstractNumId="15">
    <w:nsid w:val="6B68079A"/>
    <w:multiLevelType w:val="hybridMultilevel"/>
    <w:lvl w:ilvl="0">
      <w:lvlJc w:val="left"/>
      <w:lvlText w:val="%1."/>
      <w:numFmt w:val="decimal"/>
      <w:start w:val="1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2026-04-09T08:18:30Z</dcterms:created>
  <dcterms:modified xsi:type="dcterms:W3CDTF">2026-04-09T08:18:30Z</dcterms:modified>
</cp:coreProperties>
</file>