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se20260630_10q.htm"/>
      <w:bookmarkStart w:id="1" w:name="ksplse2026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w:t>
      </w:r>
      <w:r>
        <w:rPr>
          <w:rFonts w:ascii="Times New Roman" w:hAnsi="Times New Roman"/>
          <w:caps w:val="false"/>
          <w:smallCaps w:val="false"/>
          <w:sz w:val="24"/>
        </w:rPr>
        <w:t> </w:t>
      </w:r>
      <w:r>
        <w:rPr>
          <w:rFonts w:ascii="Times New Roman" w:hAnsi="Times New Roman"/>
          <w:b/>
          <w:caps w:val="false"/>
          <w:smallCaps w:val="false"/>
          <w:sz w:val="24"/>
        </w:rPr>
        <w:t>AND</w:t>
      </w:r>
      <w:r>
        <w:rPr>
          <w:rFonts w:ascii="Times New Roman" w:hAnsi="Times New Roman"/>
          <w:caps w:val="false"/>
          <w:smallCaps w:val="false"/>
          <w:sz w:val="24"/>
        </w:rPr>
        <w:t> </w:t>
      </w:r>
      <w:r>
        <w:rPr>
          <w:rFonts w:ascii="Times New Roman" w:hAnsi="Times New Roman"/>
          <w:b/>
          <w:caps w:val="false"/>
          <w:smallCaps w:val="false"/>
          <w:sz w:val="24"/>
        </w:rPr>
        <w:t>EXCHANGE</w:t>
      </w:r>
      <w:r>
        <w:rPr>
          <w:rFonts w:ascii="Times New Roman" w:hAnsi="Times New Roman"/>
          <w:caps w:val="false"/>
          <w:smallCaps w:val="false"/>
          <w:sz w:val="24"/>
        </w:rPr>
        <w:t> </w:t>
      </w:r>
      <w:r>
        <w:rPr>
          <w:rFonts w:ascii="Times New Roman" w:hAnsi="Times New Roman"/>
          <w:b/>
          <w:caps w:val="false"/>
          <w:smallCaps w:val="false"/>
          <w:sz w:val="24"/>
        </w:rPr>
        <w:t>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w:t>
      </w:r>
      <w:r>
        <w:rPr>
          <w:rFonts w:ascii="Times New Roman" w:hAnsi="Times New Roman"/>
          <w:caps w:val="false"/>
          <w:smallCaps w:val="false"/>
          <w:sz w:val="20"/>
        </w:rPr>
        <w:t> </w:t>
      </w:r>
      <w:r>
        <w:rPr>
          <w:rFonts w:ascii="Times New Roman" w:hAnsi="Times New Roman"/>
          <w:b/>
          <w:caps w:val="false"/>
          <w:smallCaps w:val="false"/>
          <w:sz w:val="20"/>
        </w:rPr>
        <w:t>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w:t>
      </w:r>
      <w:r>
        <w:rPr>
          <w:rFonts w:ascii="Times New Roman" w:hAnsi="Times New Roman"/>
          <w:caps w:val="false"/>
          <w:smallCaps w:val="false"/>
          <w:sz w:val="28"/>
        </w:rPr>
        <w:t> </w:t>
      </w:r>
      <w:r>
        <w:rPr>
          <w:rFonts w:ascii="Times New Roman" w:hAnsi="Times New Roman"/>
          <w:b/>
          <w:caps w:val="false"/>
          <w:smallCaps w:val="false"/>
          <w:sz w:val="28"/>
        </w:rPr>
        <w:t>10-Q</w:t>
      </w:r>
    </w:p>
    <w:p>
      <w:pPr>
        <w:pStyle w:val="HorizontalLine"/>
        <w:pBdr>
          <w:bottom w:val="double" w:sz="2" w:space="0" w:color="808080"/>
        </w:pBdr>
        <w:bidi w:val="0"/>
        <w:spacing w:before="0" w:after="283"/>
        <w:jc w:val="left"/>
        <w:rPr/>
      </w:pPr>
      <w:r>
        <w:rPr/>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xml:space="preserve"> </w:t>
      </w:r>
      <w:r>
        <w:rPr>
          <w:rFonts w:ascii="Times New Roman" w:hAnsi="Times New Roman"/>
          <w:b/>
          <w:caps w:val="false"/>
          <w:smallCaps w:val="false"/>
          <w:sz w:val="20"/>
        </w:rPr>
        <w:t>June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001-34899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Pulse</w:t>
      </w:r>
      <w:r>
        <w:rPr>
          <w:rFonts w:ascii="Times New Roman" w:hAnsi="Times New Roman"/>
          <w:caps w:val="false"/>
          <w:smallCaps w:val="false"/>
          <w:sz w:val="36"/>
        </w:rPr>
        <w:t> </w:t>
      </w:r>
      <w:r>
        <w:rPr>
          <w:rFonts w:ascii="Times New Roman" w:hAnsi="Times New Roman"/>
          <w:b/>
          <w:caps w:val="false"/>
          <w:smallCaps w:val="false"/>
          <w:sz w:val="36"/>
        </w:rPr>
        <w:t>Biosciences,</w:t>
      </w:r>
      <w:r>
        <w:rPr>
          <w:rFonts w:ascii="Times New Roman" w:hAnsi="Times New Roman"/>
          <w:caps w:val="false"/>
          <w:smallCaps w:val="false"/>
          <w:sz w:val="36"/>
        </w:rPr>
        <w:t> </w:t>
      </w:r>
      <w:r>
        <w:rPr>
          <w:rFonts w:ascii="Times New Roman" w:hAnsi="Times New Roman"/>
          <w:b/>
          <w:caps w:val="false"/>
          <w:smallCaps w:val="false"/>
          <w:sz w:val="36"/>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bl>
      <w:tblPr>
        <w:tblW w:w="4195" w:type="dxa"/>
        <w:jc w:val="left"/>
        <w:tblInd w:w="0" w:type="dxa"/>
        <w:tblLayout w:type="fixed"/>
        <w:tblCellMar>
          <w:top w:w="0" w:type="dxa"/>
          <w:left w:w="0" w:type="dxa"/>
          <w:bottom w:w="0" w:type="dxa"/>
          <w:right w:w="0" w:type="dxa"/>
        </w:tblCellMar>
      </w:tblPr>
      <w:tblGrid>
        <w:gridCol w:w="2825"/>
        <w:gridCol w:w="1370"/>
      </w:tblGrid>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46-5696597</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incorporation or organization)</w:t>
            </w:r>
          </w:p>
        </w:tc>
        <w:tc>
          <w:tcPr>
            <w:tcW w:w="137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(I.R.S. Employer</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6"/>
              </w:rPr>
              <w:t xml:space="preserve">Identification </w:t>
            </w:r>
            <w:r>
              <w:rPr>
                <w:rFonts w:ascii="Times New Roman" w:hAnsi="Times New Roman"/>
                <w:b/>
                <w:caps w:val="false"/>
                <w:smallCaps w:val="false"/>
                <w:sz w:val="18"/>
              </w:rPr>
              <w:t>No.)</w:t>
            </w:r>
          </w:p>
        </w:tc>
      </w:tr>
      <w:tr>
        <w:trPr/>
        <w:tc>
          <w:tcPr>
            <w:tcW w:w="282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3957 Point Eden 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Hayward, CA</w:t>
            </w:r>
          </w:p>
        </w:tc>
        <w:tc>
          <w:tcPr>
            <w:tcW w:w="1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94545</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(Zip Code)</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906-4600</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(Registrant</w:t>
      </w:r>
      <w:r>
        <w:rPr>
          <w:rFonts w:ascii="Times New Roman" w:hAnsi="Times New Roman"/>
          <w:caps w:val="false"/>
          <w:smallCaps w:val="false"/>
          <w:sz w:val="16"/>
        </w:rPr>
        <w:t>’</w:t>
      </w:r>
      <w:r>
        <w:rPr>
          <w:rFonts w:ascii="Times New Roman" w:hAnsi="Times New Roman"/>
          <w:b/>
          <w:caps w:val="false"/>
          <w:smallCaps w:val="false"/>
          <w:sz w:val="16"/>
        </w:rPr>
        <w:t>s telephone number, including area code)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Securities registered pursuant to Section 12(b) of the Act:</w:t>
      </w:r>
    </w:p>
    <w:tbl>
      <w:tblPr>
        <w:tblW w:w="8100" w:type="dxa"/>
        <w:jc w:val="left"/>
        <w:tblInd w:w="0" w:type="dxa"/>
        <w:tblLayout w:type="fixed"/>
        <w:tblCellMar>
          <w:top w:w="0" w:type="dxa"/>
          <w:left w:w="0" w:type="dxa"/>
          <w:bottom w:w="0" w:type="dxa"/>
          <w:right w:w="0" w:type="dxa"/>
        </w:tblCellMar>
      </w:tblPr>
      <w:tblGrid>
        <w:gridCol w:w="3665"/>
        <w:gridCol w:w="1340"/>
        <w:gridCol w:w="3095"/>
      </w:tblGrid>
      <w:tr>
        <w:trPr/>
        <w:tc>
          <w:tcPr>
            <w:tcW w:w="366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Title of each class</w:t>
            </w:r>
          </w:p>
        </w:tc>
        <w:tc>
          <w:tcPr>
            <w:tcW w:w="134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Trading Symbol(s)</w:t>
            </w:r>
          </w:p>
        </w:tc>
        <w:tc>
          <w:tcPr>
            <w:tcW w:w="3095"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Name of each exchange on which registered</w:t>
            </w:r>
          </w:p>
        </w:tc>
      </w:tr>
      <w:tr>
        <w:trPr/>
        <w:tc>
          <w:tcPr>
            <w:tcW w:w="3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13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PLSE</w:t>
            </w:r>
          </w:p>
        </w:tc>
        <w:tc>
          <w:tcPr>
            <w:tcW w:w="30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firstLine="540"/>
        <w:jc w:val="both"/>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55"/>
        <w:gridCol w:w="290"/>
        <w:gridCol w:w="236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shares of the registrant’s common stock outstanding as of July 31, 2026 was 71,322,607.</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REPORT ON 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725"/>
        <w:gridCol w:w="7280"/>
        <w:gridCol w:w="60"/>
        <w:gridCol w:w="78"/>
        <w:gridCol w:w="302"/>
        <w:gridCol w:w="255"/>
      </w:tblGrid>
      <w:tr>
        <w:trPr/>
        <w:tc>
          <w:tcPr>
            <w:tcW w:w="72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Page</w:t>
            </w:r>
          </w:p>
        </w:tc>
        <w:tc>
          <w:tcPr>
            <w:tcW w:w="255" w:type="dxa"/>
            <w:tcBorders/>
            <w:vAlign w:val="center"/>
          </w:tcPr>
          <w:p>
            <w:pPr>
              <w:pStyle w:val="TableContents"/>
              <w:bidi w:val="0"/>
              <w:spacing w:before="0" w:after="283"/>
              <w:jc w:val="left"/>
              <w:rPr/>
            </w:pPr>
            <w:r>
              <w:rPr/>
              <w:t> </w:t>
            </w:r>
          </w:p>
        </w:tc>
      </w:tr>
      <w:tr>
        <w:trPr/>
        <w:tc>
          <w:tcPr>
            <w:tcW w:w="8445" w:type="dxa"/>
            <w:gridSpan w:val="5"/>
            <w:tcBorders/>
            <w:vAlign w:val="center"/>
          </w:tcPr>
          <w:p>
            <w:pPr>
              <w:pStyle w:val="TableContents"/>
              <w:bidi w:val="0"/>
              <w:spacing w:before="0" w:after="283"/>
              <w:jc w:val="left"/>
              <w:rPr/>
            </w:pPr>
            <w:hyperlink r:id="rId2">
              <w:r>
                <w:rPr>
                  <w:rStyle w:val="InternetLink"/>
                  <w:rFonts w:ascii="Times New Roman;Times;serif" w:hAnsi="Times New Roman;Times;serif"/>
                  <w:b/>
                  <w:sz w:val="18"/>
                </w:rPr>
                <w:t>PART I. FINANCIAL INFORMATION</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fs">
              <w:r>
                <w:rPr>
                  <w:rStyle w:val="InternetLink"/>
                  <w:rFonts w:ascii="Times New Roman;Times;serif" w:hAnsi="Times New Roman;Times;serif"/>
                  <w:sz w:val="20"/>
                </w:rPr>
                <w:t>Item 1</w:t>
              </w:r>
            </w:hyperlink>
            <w:r>
              <w:rPr>
                <w:rFonts w:ascii="Times New Roman;Times;serif" w:hAnsi="Times New Roman;Times;serif"/>
                <w:sz w:val="20"/>
              </w:rPr>
              <w:t>.</w:t>
            </w:r>
          </w:p>
        </w:tc>
        <w:tc>
          <w:tcPr>
            <w:tcW w:w="7280" w:type="dxa"/>
            <w:tcBorders/>
            <w:vAlign w:val="center"/>
          </w:tcPr>
          <w:p>
            <w:pPr>
              <w:pStyle w:val="TableContents"/>
              <w:bidi w:val="0"/>
              <w:spacing w:before="0" w:after="283"/>
              <w:jc w:val="left"/>
              <w:rPr/>
            </w:pPr>
            <w:hyperlink w:anchor="fs">
              <w:r>
                <w:rPr>
                  <w:rStyle w:val="InternetLink"/>
                  <w:rFonts w:ascii="Times New Roman;Times;serif" w:hAnsi="Times New Roman;Times;serif"/>
                  <w:sz w:val="20"/>
                </w:rPr>
                <w:t>Financial Statements (unaudited):</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fs">
              <w:r>
                <w:rPr>
                  <w:rStyle w:val="InternetLink"/>
                  <w:rFonts w:ascii="Times New Roman;Times;serif" w:hAnsi="Times New Roman;Times;serif"/>
                  <w:sz w:val="20"/>
                </w:rPr>
                <w:t>3</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ind w:left="540" w:right="0" w:hanging="0"/>
              <w:jc w:val="left"/>
              <w:rPr/>
            </w:pPr>
            <w:r>
              <w:rPr/>
              <w:t> </w:t>
            </w:r>
          </w:p>
        </w:tc>
        <w:tc>
          <w:tcPr>
            <w:tcW w:w="7280" w:type="dxa"/>
            <w:tcBorders/>
            <w:vAlign w:val="center"/>
          </w:tcPr>
          <w:p>
            <w:pPr>
              <w:pStyle w:val="TableContents"/>
              <w:bidi w:val="0"/>
              <w:spacing w:before="0" w:after="0"/>
              <w:ind w:left="720" w:right="0" w:hanging="0"/>
              <w:jc w:val="left"/>
              <w:rPr/>
            </w:pPr>
            <w:hyperlink w:anchor="bs">
              <w:r>
                <w:rPr>
                  <w:rStyle w:val="InternetLink"/>
                  <w:rFonts w:ascii="Times New Roman;Times;serif" w:hAnsi="Times New Roman;Times;serif"/>
                  <w:caps w:val="false"/>
                  <w:smallCaps w:val="false"/>
                  <w:sz w:val="20"/>
                </w:rPr>
                <w:t>Condensed Consolidated Balance Sheets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302" w:type="dxa"/>
            <w:tcBorders/>
            <w:vAlign w:val="center"/>
          </w:tcPr>
          <w:p>
            <w:pPr>
              <w:pStyle w:val="TableContents"/>
              <w:bidi w:val="0"/>
              <w:spacing w:before="0" w:after="283"/>
              <w:ind w:left="0" w:right="0" w:hanging="0"/>
              <w:jc w:val="right"/>
              <w:rPr/>
            </w:pPr>
            <w:hyperlink w:anchor="bs">
              <w:r>
                <w:rPr>
                  <w:rStyle w:val="InternetLink"/>
                  <w:rFonts w:ascii="Times New Roman;Times;serif" w:hAnsi="Times New Roman;Times;serif"/>
                  <w:sz w:val="20"/>
                </w:rPr>
                <w:t>3</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ind w:left="540" w:right="0" w:hanging="0"/>
              <w:jc w:val="left"/>
              <w:rPr/>
            </w:pPr>
            <w:r>
              <w:rPr/>
              <w:t> </w:t>
            </w:r>
          </w:p>
        </w:tc>
        <w:tc>
          <w:tcPr>
            <w:tcW w:w="7280" w:type="dxa"/>
            <w:tcBorders/>
            <w:vAlign w:val="center"/>
          </w:tcPr>
          <w:p>
            <w:pPr>
              <w:pStyle w:val="TableContents"/>
              <w:bidi w:val="0"/>
              <w:spacing w:before="0" w:after="0"/>
              <w:ind w:left="720" w:right="0" w:hanging="0"/>
              <w:jc w:val="left"/>
              <w:rPr/>
            </w:pPr>
            <w:hyperlink w:anchor="comprehensive_loss">
              <w:r>
                <w:rPr>
                  <w:rStyle w:val="InternetLink"/>
                  <w:rFonts w:ascii="Times New Roman;Times;serif" w:hAnsi="Times New Roman;Times;serif"/>
                  <w:caps w:val="false"/>
                  <w:smallCaps w:val="false"/>
                  <w:sz w:val="20"/>
                </w:rPr>
                <w:t>Condensed Consolidated Statements of Operations and Comprehensive Loss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302" w:type="dxa"/>
            <w:tcBorders/>
            <w:vAlign w:val="center"/>
          </w:tcPr>
          <w:p>
            <w:pPr>
              <w:pStyle w:val="TableContents"/>
              <w:bidi w:val="0"/>
              <w:spacing w:before="0" w:after="283"/>
              <w:ind w:left="0" w:right="0" w:hanging="0"/>
              <w:jc w:val="right"/>
              <w:rPr/>
            </w:pPr>
            <w:hyperlink w:anchor="comprehensive_loss">
              <w:r>
                <w:rPr>
                  <w:rStyle w:val="InternetLink"/>
                  <w:rFonts w:ascii="Times New Roman;Times;serif" w:hAnsi="Times New Roman;Times;serif"/>
                  <w:sz w:val="20"/>
                </w:rPr>
                <w:t>4</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ind w:left="540" w:right="0" w:hanging="0"/>
              <w:jc w:val="left"/>
              <w:rPr/>
            </w:pPr>
            <w:r>
              <w:rPr/>
              <w:t> </w:t>
            </w:r>
          </w:p>
        </w:tc>
        <w:tc>
          <w:tcPr>
            <w:tcW w:w="7280" w:type="dxa"/>
            <w:tcBorders/>
            <w:vAlign w:val="center"/>
          </w:tcPr>
          <w:p>
            <w:pPr>
              <w:pStyle w:val="TableContents"/>
              <w:bidi w:val="0"/>
              <w:spacing w:before="0" w:after="0"/>
              <w:ind w:left="720" w:right="0" w:hanging="0"/>
              <w:jc w:val="left"/>
              <w:rPr/>
            </w:pPr>
            <w:hyperlink w:anchor="equity">
              <w:r>
                <w:rPr>
                  <w:rStyle w:val="InternetLink"/>
                  <w:rFonts w:ascii="Times New Roman;Times;serif" w:hAnsi="Times New Roman;Times;serif"/>
                  <w:caps w:val="false"/>
                  <w:smallCaps w:val="false"/>
                  <w:sz w:val="20"/>
                </w:rPr>
                <w:t>Condensed Consolidated Statements of Stockholders’ Equity</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302" w:type="dxa"/>
            <w:tcBorders/>
            <w:vAlign w:val="center"/>
          </w:tcPr>
          <w:p>
            <w:pPr>
              <w:pStyle w:val="TableContents"/>
              <w:bidi w:val="0"/>
              <w:spacing w:before="0" w:after="283"/>
              <w:ind w:left="0" w:right="0" w:hanging="0"/>
              <w:jc w:val="right"/>
              <w:rPr/>
            </w:pPr>
            <w:hyperlink w:anchor="equity">
              <w:r>
                <w:rPr>
                  <w:rStyle w:val="InternetLink"/>
                  <w:rFonts w:ascii="Times New Roman;Times;serif" w:hAnsi="Times New Roman;Times;serif"/>
                  <w:sz w:val="20"/>
                </w:rPr>
                <w:t>5</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ind w:left="560" w:right="0" w:firstLine="180"/>
              <w:jc w:val="left"/>
              <w:rPr/>
            </w:pPr>
            <w:r>
              <w:rPr/>
              <w:t> </w:t>
            </w:r>
          </w:p>
        </w:tc>
        <w:tc>
          <w:tcPr>
            <w:tcW w:w="7280" w:type="dxa"/>
            <w:tcBorders/>
            <w:vAlign w:val="center"/>
          </w:tcPr>
          <w:p>
            <w:pPr>
              <w:pStyle w:val="TableContents"/>
              <w:bidi w:val="0"/>
              <w:spacing w:before="0" w:after="283"/>
              <w:jc w:val="left"/>
              <w:rPr/>
            </w:pPr>
            <w:hyperlink w:anchor="cashflows">
              <w:r>
                <w:rPr>
                  <w:rStyle w:val="InternetLink"/>
                  <w:rFonts w:ascii="Times New Roman;Times;serif" w:hAnsi="Times New Roman;Times;serif"/>
                  <w:sz w:val="20"/>
                </w:rPr>
                <w:t>Condensed Consolidated Statements of Cash Flows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302" w:type="dxa"/>
            <w:tcBorders/>
            <w:vAlign w:val="center"/>
          </w:tcPr>
          <w:p>
            <w:pPr>
              <w:pStyle w:val="TableContents"/>
              <w:bidi w:val="0"/>
              <w:spacing w:before="0" w:after="283"/>
              <w:ind w:left="0" w:right="0" w:hanging="0"/>
              <w:jc w:val="right"/>
              <w:rPr/>
            </w:pPr>
            <w:hyperlink w:anchor="cashflows">
              <w:r>
                <w:rPr>
                  <w:rStyle w:val="InternetLink"/>
                  <w:rFonts w:ascii="Times New Roman;Times;serif" w:hAnsi="Times New Roman;Times;serif"/>
                  <w:sz w:val="20"/>
                </w:rPr>
                <w:t>7</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ind w:left="560" w:right="0" w:hanging="0"/>
              <w:jc w:val="left"/>
              <w:rPr/>
            </w:pPr>
            <w:r>
              <w:rPr/>
              <w:t> </w:t>
            </w:r>
          </w:p>
        </w:tc>
        <w:tc>
          <w:tcPr>
            <w:tcW w:w="7280" w:type="dxa"/>
            <w:tcBorders/>
            <w:vAlign w:val="center"/>
          </w:tcPr>
          <w:p>
            <w:pPr>
              <w:pStyle w:val="TableContents"/>
              <w:bidi w:val="0"/>
              <w:spacing w:before="0" w:after="0"/>
              <w:ind w:left="760" w:right="0" w:hanging="0"/>
              <w:jc w:val="left"/>
              <w:rPr/>
            </w:pPr>
            <w:hyperlink w:anchor="notes">
              <w:r>
                <w:rPr>
                  <w:rStyle w:val="InternetLink"/>
                  <w:rFonts w:ascii="Times New Roman;Times;serif" w:hAnsi="Times New Roman;Times;serif"/>
                  <w:caps w:val="false"/>
                  <w:smallCaps w:val="false"/>
                  <w:sz w:val="20"/>
                </w:rPr>
                <w:t>Notes to Condensed Consolidated Financial Statements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302" w:type="dxa"/>
            <w:tcBorders/>
            <w:vAlign w:val="center"/>
          </w:tcPr>
          <w:p>
            <w:pPr>
              <w:pStyle w:val="TableContents"/>
              <w:bidi w:val="0"/>
              <w:spacing w:before="0" w:after="283"/>
              <w:ind w:left="0" w:right="0" w:hanging="0"/>
              <w:jc w:val="right"/>
              <w:rPr/>
            </w:pPr>
            <w:hyperlink w:anchor="notes">
              <w:r>
                <w:rPr>
                  <w:rStyle w:val="InternetLink"/>
                  <w:rFonts w:ascii="Times New Roman;Times;serif" w:hAnsi="Times New Roman;Times;serif"/>
                  <w:sz w:val="20"/>
                </w:rPr>
                <w:t>8</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mda">
              <w:r>
                <w:rPr>
                  <w:rStyle w:val="InternetLink"/>
                  <w:rFonts w:ascii="Times New Roman;Times;serif" w:hAnsi="Times New Roman;Times;serif"/>
                  <w:sz w:val="20"/>
                </w:rPr>
                <w:t>Item 2</w:t>
              </w:r>
            </w:hyperlink>
            <w:r>
              <w:rPr>
                <w:rFonts w:ascii="Times New Roman;Times;serif" w:hAnsi="Times New Roman;Times;serif"/>
                <w:sz w:val="20"/>
              </w:rPr>
              <w:t>.</w:t>
            </w:r>
          </w:p>
        </w:tc>
        <w:tc>
          <w:tcPr>
            <w:tcW w:w="7280" w:type="dxa"/>
            <w:tcBorders/>
            <w:vAlign w:val="center"/>
          </w:tcPr>
          <w:p>
            <w:pPr>
              <w:pStyle w:val="TableContents"/>
              <w:bidi w:val="0"/>
              <w:spacing w:before="0" w:after="283"/>
              <w:jc w:val="left"/>
              <w:rPr/>
            </w:pPr>
            <w:hyperlink w:anchor="mda">
              <w:r>
                <w:rPr>
                  <w:rStyle w:val="InternetLink"/>
                  <w:rFonts w:ascii="Times New Roman;Times;serif" w:hAnsi="Times New Roman;Times;serif"/>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mda">
              <w:r>
                <w:rPr>
                  <w:rStyle w:val="InternetLink"/>
                  <w:rFonts w:ascii="Times New Roman;Times;serif" w:hAnsi="Times New Roman;Times;serif"/>
                  <w:sz w:val="20"/>
                </w:rPr>
                <w:t>21</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item3">
              <w:r>
                <w:rPr>
                  <w:rStyle w:val="InternetLink"/>
                  <w:rFonts w:ascii="Times New Roman;Times;serif" w:hAnsi="Times New Roman;Times;serif"/>
                  <w:sz w:val="20"/>
                </w:rPr>
                <w:t>Item 3</w:t>
              </w:r>
            </w:hyperlink>
            <w:r>
              <w:rPr>
                <w:rFonts w:ascii="Times New Roman;Times;serif" w:hAnsi="Times New Roman;Times;serif"/>
                <w:sz w:val="20"/>
              </w:rPr>
              <w:t>.</w:t>
            </w:r>
          </w:p>
        </w:tc>
        <w:tc>
          <w:tcPr>
            <w:tcW w:w="7280" w:type="dxa"/>
            <w:tcBorders/>
            <w:vAlign w:val="center"/>
          </w:tcPr>
          <w:p>
            <w:pPr>
              <w:pStyle w:val="TableContents"/>
              <w:bidi w:val="0"/>
              <w:spacing w:before="0" w:after="283"/>
              <w:jc w:val="left"/>
              <w:rPr/>
            </w:pPr>
            <w:hyperlink w:anchor="item3">
              <w:r>
                <w:rPr>
                  <w:rStyle w:val="InternetLink"/>
                  <w:rFonts w:ascii="Times New Roman;Times;serif" w:hAnsi="Times New Roman;Times;serif"/>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item3">
              <w:r>
                <w:rPr>
                  <w:rStyle w:val="InternetLink"/>
                  <w:rFonts w:ascii="Times New Roman;Times;serif" w:hAnsi="Times New Roman;Times;serif"/>
                  <w:sz w:val="20"/>
                </w:rPr>
                <w:t>31</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item4">
              <w:r>
                <w:rPr>
                  <w:rStyle w:val="InternetLink"/>
                  <w:rFonts w:ascii="Times New Roman;Times;serif" w:hAnsi="Times New Roman;Times;serif"/>
                  <w:sz w:val="20"/>
                </w:rPr>
                <w:t>Item 4</w:t>
              </w:r>
            </w:hyperlink>
            <w:r>
              <w:rPr>
                <w:rFonts w:ascii="Times New Roman;Times;serif" w:hAnsi="Times New Roman;Times;serif"/>
                <w:sz w:val="20"/>
              </w:rPr>
              <w:t>.</w:t>
            </w:r>
          </w:p>
        </w:tc>
        <w:tc>
          <w:tcPr>
            <w:tcW w:w="7280" w:type="dxa"/>
            <w:tcBorders/>
            <w:vAlign w:val="center"/>
          </w:tcPr>
          <w:p>
            <w:pPr>
              <w:pStyle w:val="TableContents"/>
              <w:bidi w:val="0"/>
              <w:spacing w:before="0" w:after="283"/>
              <w:jc w:val="left"/>
              <w:rPr/>
            </w:pPr>
            <w:hyperlink w:anchor="item4">
              <w:r>
                <w:rPr>
                  <w:rStyle w:val="InternetLink"/>
                  <w:rFonts w:ascii="Times New Roman;Times;serif" w:hAnsi="Times New Roman;Times;serif"/>
                  <w:sz w:val="20"/>
                </w:rPr>
                <w:t>Controls and Procedures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item4">
              <w:r>
                <w:rPr>
                  <w:rStyle w:val="InternetLink"/>
                  <w:rFonts w:ascii="Times New Roman;Times;serif" w:hAnsi="Times New Roman;Times;serif"/>
                  <w:sz w:val="20"/>
                </w:rPr>
                <w:t>31</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r>
      <w:tr>
        <w:trPr/>
        <w:tc>
          <w:tcPr>
            <w:tcW w:w="8445" w:type="dxa"/>
            <w:gridSpan w:val="5"/>
            <w:tcBorders/>
            <w:vAlign w:val="center"/>
          </w:tcPr>
          <w:p>
            <w:pPr>
              <w:pStyle w:val="TableContents"/>
              <w:bidi w:val="0"/>
              <w:spacing w:before="0" w:after="283"/>
              <w:jc w:val="left"/>
              <w:rPr/>
            </w:pPr>
            <w:hyperlink r:id="rId3">
              <w:r>
                <w:rPr>
                  <w:rStyle w:val="InternetLink"/>
                  <w:rFonts w:ascii="Times New Roman;Times;serif" w:hAnsi="Times New Roman;Times;serif"/>
                  <w:b/>
                  <w:sz w:val="18"/>
                  <w:u w:val="single"/>
                </w:rPr>
                <w:t>PART II. OTHER INFORMATION</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legal">
              <w:r>
                <w:rPr>
                  <w:rStyle w:val="InternetLink"/>
                  <w:rFonts w:ascii="Times New Roman;Times;serif" w:hAnsi="Times New Roman;Times;serif"/>
                  <w:sz w:val="20"/>
                </w:rPr>
                <w:t>Item 1.</w:t>
              </w:r>
            </w:hyperlink>
          </w:p>
        </w:tc>
        <w:tc>
          <w:tcPr>
            <w:tcW w:w="7280" w:type="dxa"/>
            <w:tcBorders/>
            <w:vAlign w:val="center"/>
          </w:tcPr>
          <w:p>
            <w:pPr>
              <w:pStyle w:val="TableContents"/>
              <w:bidi w:val="0"/>
              <w:spacing w:before="0" w:after="283"/>
              <w:jc w:val="left"/>
              <w:rPr/>
            </w:pPr>
            <w:hyperlink w:anchor="legal">
              <w:r>
                <w:rPr>
                  <w:rStyle w:val="InternetLink"/>
                  <w:rFonts w:ascii="Times New Roman;Times;serif" w:hAnsi="Times New Roman;Times;serif"/>
                  <w:sz w:val="20"/>
                </w:rPr>
                <w:t>Legal Proceedings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legal">
              <w:r>
                <w:rPr>
                  <w:rStyle w:val="InternetLink"/>
                  <w:rFonts w:ascii="Times New Roman;Times;serif" w:hAnsi="Times New Roman;Times;serif"/>
                  <w:sz w:val="20"/>
                </w:rPr>
                <w:t>33</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risk">
              <w:r>
                <w:rPr>
                  <w:rStyle w:val="InternetLink"/>
                  <w:rFonts w:ascii="Times New Roman;Times;serif" w:hAnsi="Times New Roman;Times;serif"/>
                  <w:sz w:val="20"/>
                </w:rPr>
                <w:t>Item 1A.</w:t>
              </w:r>
            </w:hyperlink>
          </w:p>
        </w:tc>
        <w:tc>
          <w:tcPr>
            <w:tcW w:w="7280" w:type="dxa"/>
            <w:tcBorders/>
            <w:vAlign w:val="center"/>
          </w:tcPr>
          <w:p>
            <w:pPr>
              <w:pStyle w:val="TableContents"/>
              <w:bidi w:val="0"/>
              <w:spacing w:before="0" w:after="283"/>
              <w:jc w:val="left"/>
              <w:rPr/>
            </w:pPr>
            <w:hyperlink w:anchor="risk">
              <w:r>
                <w:rPr>
                  <w:rStyle w:val="InternetLink"/>
                  <w:rFonts w:ascii="Times New Roman;Times;serif" w:hAnsi="Times New Roman;Times;serif"/>
                  <w:sz w:val="20"/>
                </w:rPr>
                <w:t>Risk Factors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risk">
              <w:r>
                <w:rPr>
                  <w:rStyle w:val="InternetLink"/>
                  <w:rFonts w:ascii="Times New Roman;Times;serif" w:hAnsi="Times New Roman;Times;serif"/>
                  <w:sz w:val="20"/>
                </w:rPr>
                <w:t>33</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unregistered">
              <w:r>
                <w:rPr>
                  <w:rStyle w:val="InternetLink"/>
                  <w:rFonts w:ascii="Times New Roman;Times;serif" w:hAnsi="Times New Roman;Times;serif"/>
                  <w:sz w:val="20"/>
                </w:rPr>
                <w:t>Item 2.</w:t>
              </w:r>
            </w:hyperlink>
          </w:p>
        </w:tc>
        <w:tc>
          <w:tcPr>
            <w:tcW w:w="7280" w:type="dxa"/>
            <w:tcBorders/>
            <w:vAlign w:val="center"/>
          </w:tcPr>
          <w:p>
            <w:pPr>
              <w:pStyle w:val="TableContents"/>
              <w:bidi w:val="0"/>
              <w:spacing w:before="0" w:after="283"/>
              <w:jc w:val="left"/>
              <w:rPr/>
            </w:pPr>
            <w:hyperlink w:anchor="unregistered">
              <w:r>
                <w:rPr>
                  <w:rStyle w:val="InternetLink"/>
                  <w:rFonts w:ascii="Times New Roman;Times;serif" w:hAnsi="Times New Roman;Times;serif"/>
                  <w:sz w:val="20"/>
                </w:rPr>
                <w:t>Unregistered Sales of Equity Securities and Use of Proceeds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unregistered">
              <w:r>
                <w:rPr>
                  <w:rStyle w:val="InternetLink"/>
                  <w:rFonts w:ascii="Times New Roman;Times;serif" w:hAnsi="Times New Roman;Times;serif"/>
                  <w:sz w:val="20"/>
                </w:rPr>
                <w:t>63</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default">
              <w:r>
                <w:rPr>
                  <w:rStyle w:val="InternetLink"/>
                  <w:rFonts w:ascii="Times New Roman;Times;serif" w:hAnsi="Times New Roman;Times;serif"/>
                  <w:sz w:val="20"/>
                </w:rPr>
                <w:t xml:space="preserve">Item 3. </w:t>
              </w:r>
            </w:hyperlink>
          </w:p>
        </w:tc>
        <w:tc>
          <w:tcPr>
            <w:tcW w:w="7280" w:type="dxa"/>
            <w:tcBorders/>
            <w:vAlign w:val="center"/>
          </w:tcPr>
          <w:p>
            <w:pPr>
              <w:pStyle w:val="TableContents"/>
              <w:bidi w:val="0"/>
              <w:spacing w:before="0" w:after="283"/>
              <w:jc w:val="left"/>
              <w:rPr/>
            </w:pPr>
            <w:hyperlink w:anchor="default">
              <w:r>
                <w:rPr>
                  <w:rStyle w:val="InternetLink"/>
                  <w:rFonts w:ascii="Times New Roman;Times;serif" w:hAnsi="Times New Roman;Times;serif"/>
                  <w:sz w:val="20"/>
                </w:rPr>
                <w:t>Default Upon Senior Securities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default">
              <w:r>
                <w:rPr>
                  <w:rStyle w:val="InternetLink"/>
                  <w:rFonts w:ascii="Times New Roman;Times;serif" w:hAnsi="Times New Roman;Times;serif"/>
                  <w:sz w:val="20"/>
                </w:rPr>
                <w:t>63</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mine">
              <w:r>
                <w:rPr>
                  <w:rStyle w:val="InternetLink"/>
                  <w:rFonts w:ascii="Times New Roman;Times;serif" w:hAnsi="Times New Roman;Times;serif"/>
                  <w:sz w:val="20"/>
                </w:rPr>
                <w:t>Item 4.</w:t>
              </w:r>
            </w:hyperlink>
          </w:p>
        </w:tc>
        <w:tc>
          <w:tcPr>
            <w:tcW w:w="7280" w:type="dxa"/>
            <w:tcBorders/>
            <w:vAlign w:val="center"/>
          </w:tcPr>
          <w:p>
            <w:pPr>
              <w:pStyle w:val="TableContents"/>
              <w:bidi w:val="0"/>
              <w:spacing w:before="0" w:after="283"/>
              <w:jc w:val="left"/>
              <w:rPr/>
            </w:pPr>
            <w:hyperlink w:anchor="mine">
              <w:r>
                <w:rPr>
                  <w:rStyle w:val="InternetLink"/>
                  <w:rFonts w:ascii="Times New Roman;Times;serif" w:hAnsi="Times New Roman;Times;serif"/>
                  <w:sz w:val="20"/>
                </w:rPr>
                <w:t>Mine Safety Disclosures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mine">
              <w:r>
                <w:rPr>
                  <w:rStyle w:val="InternetLink"/>
                  <w:rFonts w:ascii="Times New Roman;Times;serif" w:hAnsi="Times New Roman;Times;serif"/>
                  <w:sz w:val="20"/>
                </w:rPr>
                <w:t>63</w:t>
              </w:r>
            </w:hyperlink>
          </w:p>
        </w:tc>
        <w:tc>
          <w:tcPr>
            <w:tcW w:w="255" w:type="dxa"/>
            <w:tcBorders/>
            <w:vAlign w:val="center"/>
          </w:tcPr>
          <w:p>
            <w:pPr>
              <w:pStyle w:val="TableContents"/>
              <w:bidi w:val="0"/>
              <w:spacing w:before="0" w:after="283"/>
              <w:ind w:left="0" w:right="0" w:firstLine="180"/>
              <w:jc w:val="left"/>
              <w:rPr/>
            </w:pPr>
            <w:r>
              <w:rPr/>
              <w:t> </w:t>
            </w:r>
          </w:p>
        </w:tc>
      </w:tr>
      <w:tr>
        <w:trPr/>
        <w:tc>
          <w:tcPr>
            <w:tcW w:w="725" w:type="dxa"/>
            <w:tcBorders/>
            <w:vAlign w:val="center"/>
          </w:tcPr>
          <w:p>
            <w:pPr>
              <w:pStyle w:val="TableContents"/>
              <w:bidi w:val="0"/>
              <w:spacing w:before="0" w:after="283"/>
              <w:jc w:val="left"/>
              <w:rPr/>
            </w:pPr>
            <w:hyperlink w:anchor="item5">
              <w:r>
                <w:rPr>
                  <w:rStyle w:val="InternetLink"/>
                  <w:rFonts w:ascii="Times New Roman;Times;serif" w:hAnsi="Times New Roman;Times;serif"/>
                  <w:sz w:val="20"/>
                </w:rPr>
                <w:t xml:space="preserve">Item 5. </w:t>
              </w:r>
            </w:hyperlink>
          </w:p>
        </w:tc>
        <w:tc>
          <w:tcPr>
            <w:tcW w:w="7280" w:type="dxa"/>
            <w:tcBorders/>
            <w:vAlign w:val="center"/>
          </w:tcPr>
          <w:p>
            <w:pPr>
              <w:pStyle w:val="TableContents"/>
              <w:bidi w:val="0"/>
              <w:spacing w:before="0" w:after="283"/>
              <w:jc w:val="left"/>
              <w:rPr/>
            </w:pPr>
            <w:hyperlink w:anchor="item5">
              <w:r>
                <w:rPr>
                  <w:rStyle w:val="InternetLink"/>
                  <w:rFonts w:ascii="Times New Roman;Times;serif" w:hAnsi="Times New Roman;Times;serif"/>
                  <w:sz w:val="20"/>
                </w:rPr>
                <w:t>Other Information</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item5">
              <w:r>
                <w:rPr>
                  <w:rStyle w:val="InternetLink"/>
                  <w:rFonts w:ascii="Times New Roman;Times;serif" w:hAnsi="Times New Roman;Times;serif"/>
                  <w:sz w:val="20"/>
                </w:rPr>
                <w:t>63</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caps w:val="false"/>
                  <w:smallCaps w:val="false"/>
                  <w:sz w:val="20"/>
                </w:rPr>
                <w:t xml:space="preserve">Item 6. </w:t>
              </w:r>
            </w:hyperlink>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caps w:val="false"/>
                  <w:smallCaps w:val="false"/>
                  <w:sz w:val="20"/>
                </w:rPr>
                <w:t>Exhibits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exhibits">
              <w:r>
                <w:rPr>
                  <w:rStyle w:val="InternetLink"/>
                  <w:rFonts w:ascii="Times New Roman;Times;serif" w:hAnsi="Times New Roman;Times;serif"/>
                  <w:sz w:val="20"/>
                </w:rPr>
                <w:t>65</w:t>
              </w:r>
            </w:hyperlink>
          </w:p>
        </w:tc>
        <w:tc>
          <w:tcPr>
            <w:tcW w:w="2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signatures">
              <w:r>
                <w:rPr>
                  <w:rStyle w:val="InternetLink"/>
                  <w:rFonts w:ascii="Times New Roman;Times;serif" w:hAnsi="Times New Roman;Times;serif"/>
                  <w:sz w:val="20"/>
                </w:rPr>
                <w:t>Signatures</w:t>
              </w:r>
            </w:hyperlink>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ind w:left="0" w:right="0" w:hanging="0"/>
              <w:jc w:val="right"/>
              <w:rPr/>
            </w:pPr>
            <w:hyperlink w:anchor="signatures">
              <w:r>
                <w:rPr>
                  <w:rStyle w:val="InternetLink"/>
                  <w:rFonts w:ascii="Times New Roman;Times;serif" w:hAnsi="Times New Roman;Times;serif"/>
                  <w:sz w:val="20"/>
                </w:rPr>
                <w:t>66</w:t>
              </w:r>
            </w:hyperlink>
          </w:p>
        </w:tc>
        <w:tc>
          <w:tcPr>
            <w:tcW w:w="2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both"/>
        <w:rPr>
          <w:caps w:val="false"/>
          <w:smallCaps w:val="false"/>
        </w:rPr>
      </w:pPr>
      <w:r>
        <w:rPr>
          <w:caps w:val="false"/>
          <w:smallCaps w:val="false"/>
        </w:rPr>
        <w:t>“</w:t>
      </w:r>
      <w:r>
        <w:rPr>
          <w:rFonts w:ascii="Times New Roman;Times;serif" w:hAnsi="Times New Roman;Times;serif"/>
          <w:caps w:val="false"/>
          <w:smallCaps w:val="false"/>
          <w:sz w:val="20"/>
        </w:rPr>
        <w:t>Pulse Biosciences,” the Pulse logos and other trademarks or service marks that we use in connection with the operation of our business appearing in this quarterly report on Form 10-Q (this “Quarterly Report”), including nPulse, Vybrance, CellFX, Nano-pulse Stimulation, nsPFA, nano-PFA,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bidi w:val="0"/>
        <w:spacing w:before="0" w:after="283"/>
        <w:jc w:val="left"/>
        <w:rPr/>
      </w:pPr>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4" w:name="f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70"/>
        <w:gridCol w:w="60"/>
        <w:gridCol w:w="125"/>
        <w:gridCol w:w="755"/>
        <w:gridCol w:w="80"/>
        <w:gridCol w:w="60"/>
        <w:gridCol w:w="136"/>
        <w:gridCol w:w="823"/>
        <w:gridCol w:w="96"/>
      </w:tblGrid>
      <w:tr>
        <w:trPr/>
        <w:tc>
          <w:tcPr>
            <w:tcW w:w="8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80,735</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83,421</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115,564</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94,539</w:t>
            </w:r>
          </w:p>
        </w:tc>
        <w:tc>
          <w:tcPr>
            <w:tcW w:w="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Lease liability,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10,978</w:t>
            </w:r>
          </w:p>
        </w:tc>
        <w:tc>
          <w:tcPr>
            <w:tcW w:w="8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23"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w:t>
            </w:r>
          </w:p>
        </w:tc>
        <w:tc>
          <w:tcPr>
            <w:tcW w:w="96"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5,960</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16,064</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2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w:t>
            </w:r>
          </w:p>
        </w:tc>
        <w:tc>
          <w:tcPr>
            <w:tcW w:w="9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authorized – 50,000,000 shares; no shares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Common stock, $0.001 par value; authorized – 500,000,000 shares; issued and outstanding – 70,799,962 shares and 67,839,689 shares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96" w:type="dxa"/>
            <w:tcBorders/>
            <w:shd w:fill="FFFFFF" w:val="clear"/>
            <w:vAlign w:val="center"/>
          </w:tcPr>
          <w:p>
            <w:pPr>
              <w:pStyle w:val="TableContents"/>
              <w:bidi w:val="0"/>
              <w:spacing w:before="0" w:after="283"/>
              <w:jc w:val="left"/>
              <w:rPr/>
            </w:pPr>
            <w:r>
              <w:rPr/>
              <w:t> </w:t>
            </w:r>
          </w:p>
        </w:tc>
      </w:tr>
      <w:tr>
        <w:trPr/>
        <w:tc>
          <w:tcPr>
            <w:tcW w:w="8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543,869</w:t>
            </w:r>
          </w:p>
        </w:tc>
        <w:tc>
          <w:tcPr>
            <w:tcW w:w="96" w:type="dxa"/>
            <w:tcBorders/>
            <w:shd w:fill="CCEEFF" w:val="cle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(463,281</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99,500</w:t>
            </w:r>
          </w:p>
        </w:tc>
        <w:tc>
          <w:tcPr>
            <w:tcW w:w="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2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80,656</w:t>
            </w:r>
          </w:p>
        </w:tc>
        <w:tc>
          <w:tcPr>
            <w:tcW w:w="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r>
      <w:tr>
        <w:trPr/>
        <w:tc>
          <w:tcPr>
            <w:tcW w:w="8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94,539</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comprehensive_loss"/>
      <w:bookmarkEnd w:id="6"/>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45" w:type="dxa"/>
        <w:jc w:val="left"/>
        <w:tblInd w:w="0" w:type="dxa"/>
        <w:tblLayout w:type="fixed"/>
        <w:tblCellMar>
          <w:top w:w="0" w:type="dxa"/>
          <w:left w:w="0" w:type="dxa"/>
          <w:bottom w:w="0" w:type="dxa"/>
          <w:right w:w="0" w:type="dxa"/>
        </w:tblCellMar>
      </w:tblPr>
      <w:tblGrid>
        <w:gridCol w:w="5285"/>
        <w:gridCol w:w="60"/>
        <w:gridCol w:w="125"/>
        <w:gridCol w:w="950"/>
        <w:gridCol w:w="80"/>
        <w:gridCol w:w="60"/>
        <w:gridCol w:w="125"/>
        <w:gridCol w:w="950"/>
        <w:gridCol w:w="80"/>
        <w:gridCol w:w="60"/>
        <w:gridCol w:w="125"/>
        <w:gridCol w:w="950"/>
        <w:gridCol w:w="80"/>
        <w:gridCol w:w="60"/>
        <w:gridCol w:w="125"/>
        <w:gridCol w:w="950"/>
        <w:gridCol w:w="8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22,401</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69,200,020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67,275,608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68,600,623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67,201,198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 except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6"/>
        <w:gridCol w:w="60"/>
        <w:gridCol w:w="60"/>
        <w:gridCol w:w="950"/>
        <w:gridCol w:w="60"/>
        <w:gridCol w:w="60"/>
        <w:gridCol w:w="215"/>
        <w:gridCol w:w="450"/>
        <w:gridCol w:w="60"/>
        <w:gridCol w:w="60"/>
        <w:gridCol w:w="128"/>
        <w:gridCol w:w="717"/>
        <w:gridCol w:w="60"/>
        <w:gridCol w:w="60"/>
        <w:gridCol w:w="147"/>
        <w:gridCol w:w="893"/>
        <w:gridCol w:w="80"/>
        <w:gridCol w:w="60"/>
        <w:gridCol w:w="170"/>
        <w:gridCol w:w="892"/>
        <w:gridCol w:w="97"/>
      </w:tblGrid>
      <w:tr>
        <w:trPr/>
        <w:tc>
          <w:tcPr>
            <w:tcW w:w="49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97" w:type="dxa"/>
            <w:tcBorders/>
            <w:vAlign w:val="center"/>
          </w:tcPr>
          <w:p>
            <w:pPr>
              <w:pStyle w:val="TableContents"/>
              <w:bidi w:val="0"/>
              <w:spacing w:before="0" w:after="283"/>
              <w:jc w:val="left"/>
              <w:rPr/>
            </w:pPr>
            <w:r>
              <w:rPr/>
              <w:t> </w:t>
            </w:r>
          </w:p>
        </w:tc>
      </w:tr>
      <w:tr>
        <w:trPr/>
        <w:tc>
          <w:tcPr>
            <w:tcW w:w="49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Stockholders’</w:t>
            </w:r>
          </w:p>
        </w:tc>
        <w:tc>
          <w:tcPr>
            <w:tcW w:w="97" w:type="dxa"/>
            <w:tcBorders/>
            <w:vAlign w:val="center"/>
          </w:tcPr>
          <w:p>
            <w:pPr>
              <w:pStyle w:val="TableContents"/>
              <w:bidi w:val="0"/>
              <w:spacing w:before="0" w:after="283"/>
              <w:jc w:val="left"/>
              <w:rPr/>
            </w:pPr>
            <w:r>
              <w:rPr/>
              <w:t> </w:t>
            </w:r>
          </w:p>
        </w:tc>
      </w:tr>
      <w:tr>
        <w:trPr/>
        <w:tc>
          <w:tcPr>
            <w:tcW w:w="49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67,839,689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80,656</w:t>
            </w:r>
          </w:p>
        </w:tc>
        <w:tc>
          <w:tcPr>
            <w:tcW w:w="97" w:type="dxa"/>
            <w:tcBorders/>
            <w:shd w:fill="CCEEFF" w:val="clear"/>
            <w:vAlign w:val="center"/>
          </w:tcPr>
          <w:p>
            <w:pPr>
              <w:pStyle w:val="TableContents"/>
              <w:bidi w:val="0"/>
              <w:spacing w:before="0" w:after="283"/>
              <w:jc w:val="left"/>
              <w:rPr/>
            </w:pPr>
            <w:r>
              <w:rPr/>
              <w:t> </w:t>
            </w:r>
          </w:p>
        </w:tc>
      </w:tr>
      <w:tr>
        <w:trPr/>
        <w:tc>
          <w:tcPr>
            <w:tcW w:w="4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warrants,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97" w:type="dxa"/>
            <w:tcBorders/>
            <w:shd w:fill="FFFFFF" w:val="clear"/>
            <w:vAlign w:val="center"/>
          </w:tcPr>
          <w:p>
            <w:pPr>
              <w:pStyle w:val="TableContents"/>
              <w:bidi w:val="0"/>
              <w:spacing w:before="0" w:after="283"/>
              <w:jc w:val="left"/>
              <w:rPr/>
            </w:pPr>
            <w:r>
              <w:rPr/>
              <w:t> </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1,746</w:t>
            </w:r>
          </w:p>
        </w:tc>
        <w:tc>
          <w:tcPr>
            <w:tcW w:w="97" w:type="dxa"/>
            <w:tcBorders/>
            <w:shd w:fill="CCEEFF" w:val="clear"/>
            <w:vAlign w:val="center"/>
          </w:tcPr>
          <w:p>
            <w:pPr>
              <w:pStyle w:val="TableContents"/>
              <w:bidi w:val="0"/>
              <w:spacing w:before="0" w:after="283"/>
              <w:jc w:val="left"/>
              <w:rPr/>
            </w:pPr>
            <w:r>
              <w:rPr/>
              <w:t> </w:t>
            </w:r>
          </w:p>
        </w:tc>
      </w:tr>
      <w:tr>
        <w:trPr/>
        <w:tc>
          <w:tcPr>
            <w:tcW w:w="4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97" w:type="dxa"/>
            <w:tcBorders/>
            <w:shd w:fill="FFFFFF" w:val="clear"/>
            <w:vAlign w:val="center"/>
          </w:tcPr>
          <w:p>
            <w:pPr>
              <w:pStyle w:val="TableContents"/>
              <w:bidi w:val="0"/>
              <w:spacing w:before="0" w:after="283"/>
              <w:jc w:val="left"/>
              <w:rPr/>
            </w:pPr>
            <w:r>
              <w:rPr/>
              <w:t> </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w:t>
            </w:r>
          </w:p>
        </w:tc>
        <w:tc>
          <w:tcPr>
            <w:tcW w:w="97" w:type="dxa"/>
            <w:tcBorders/>
            <w:shd w:fill="CCEEFF" w:val="clear"/>
            <w:vAlign w:val="center"/>
          </w:tcPr>
          <w:p>
            <w:pPr>
              <w:pStyle w:val="TableContents"/>
              <w:bidi w:val="0"/>
              <w:spacing w:before="0" w:after="283"/>
              <w:jc w:val="left"/>
              <w:rPr/>
            </w:pPr>
            <w:r>
              <w:rPr/>
              <w:t> </w:t>
            </w:r>
          </w:p>
        </w:tc>
      </w:tr>
      <w:tr>
        <w:trPr/>
        <w:tc>
          <w:tcPr>
            <w:tcW w:w="4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68,225,067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548,092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(481,862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66,298</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under at-the-market offering program,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46,850</w:t>
            </w:r>
          </w:p>
        </w:tc>
        <w:tc>
          <w:tcPr>
            <w:tcW w:w="97" w:type="dxa"/>
            <w:tcBorders/>
            <w:shd w:fill="FFFFFF" w:val="clear"/>
            <w:vAlign w:val="center"/>
          </w:tcPr>
          <w:p>
            <w:pPr>
              <w:pStyle w:val="TableContents"/>
              <w:bidi w:val="0"/>
              <w:spacing w:before="0" w:after="283"/>
              <w:jc w:val="left"/>
              <w:rPr/>
            </w:pPr>
            <w:r>
              <w:rPr/>
              <w:t> </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warrants,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97" w:type="dxa"/>
            <w:tcBorders/>
            <w:shd w:fill="CCEEFF" w:val="clear"/>
            <w:vAlign w:val="center"/>
          </w:tcPr>
          <w:p>
            <w:pPr>
              <w:pStyle w:val="TableContents"/>
              <w:bidi w:val="0"/>
              <w:spacing w:before="0" w:after="283"/>
              <w:jc w:val="left"/>
              <w:rPr/>
            </w:pPr>
            <w:r>
              <w:rPr/>
              <w:t> </w:t>
            </w:r>
          </w:p>
        </w:tc>
      </w:tr>
      <w:tr>
        <w:trPr/>
        <w:tc>
          <w:tcPr>
            <w:tcW w:w="4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w:t>
            </w:r>
          </w:p>
        </w:tc>
        <w:tc>
          <w:tcPr>
            <w:tcW w:w="97" w:type="dxa"/>
            <w:tcBorders/>
            <w:shd w:fill="FFFFFF" w:val="clear"/>
            <w:vAlign w:val="center"/>
          </w:tcPr>
          <w:p>
            <w:pPr>
              <w:pStyle w:val="TableContents"/>
              <w:bidi w:val="0"/>
              <w:spacing w:before="0" w:after="283"/>
              <w:jc w:val="left"/>
              <w:rPr/>
            </w:pPr>
            <w:r>
              <w:rPr/>
              <w:t> </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p>
        </w:tc>
        <w:tc>
          <w:tcPr>
            <w:tcW w:w="97" w:type="dxa"/>
            <w:tcBorders/>
            <w:shd w:fill="CCEEFF" w:val="clear"/>
            <w:vAlign w:val="center"/>
          </w:tcPr>
          <w:p>
            <w:pPr>
              <w:pStyle w:val="TableContents"/>
              <w:bidi w:val="0"/>
              <w:spacing w:before="0" w:after="283"/>
              <w:jc w:val="left"/>
              <w:rPr/>
            </w:pPr>
            <w:r>
              <w:rPr/>
              <w:t> </w:t>
            </w:r>
          </w:p>
        </w:tc>
      </w:tr>
      <w:tr>
        <w:trPr/>
        <w:tc>
          <w:tcPr>
            <w:tcW w:w="4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70,799,962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99,500</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 except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9"/>
        <w:gridCol w:w="60"/>
        <w:gridCol w:w="60"/>
        <w:gridCol w:w="950"/>
        <w:gridCol w:w="60"/>
        <w:gridCol w:w="60"/>
        <w:gridCol w:w="215"/>
        <w:gridCol w:w="450"/>
        <w:gridCol w:w="60"/>
        <w:gridCol w:w="60"/>
        <w:gridCol w:w="128"/>
        <w:gridCol w:w="717"/>
        <w:gridCol w:w="60"/>
        <w:gridCol w:w="60"/>
        <w:gridCol w:w="147"/>
        <w:gridCol w:w="893"/>
        <w:gridCol w:w="80"/>
        <w:gridCol w:w="60"/>
        <w:gridCol w:w="162"/>
        <w:gridCol w:w="907"/>
        <w:gridCol w:w="97"/>
      </w:tblGrid>
      <w:tr>
        <w:trPr/>
        <w:tc>
          <w:tcPr>
            <w:tcW w:w="4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97" w:type="dxa"/>
            <w:tcBorders/>
            <w:vAlign w:val="center"/>
          </w:tcPr>
          <w:p>
            <w:pPr>
              <w:pStyle w:val="TableContents"/>
              <w:bidi w:val="0"/>
              <w:spacing w:before="0" w:after="283"/>
              <w:jc w:val="left"/>
              <w:rPr/>
            </w:pPr>
            <w:r>
              <w:rPr/>
              <w:t> </w:t>
            </w:r>
          </w:p>
        </w:tc>
      </w:tr>
      <w:tr>
        <w:trPr/>
        <w:tc>
          <w:tcPr>
            <w:tcW w:w="4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Stockholders’</w:t>
            </w:r>
          </w:p>
        </w:tc>
        <w:tc>
          <w:tcPr>
            <w:tcW w:w="97" w:type="dxa"/>
            <w:tcBorders/>
            <w:vAlign w:val="center"/>
          </w:tcPr>
          <w:p>
            <w:pPr>
              <w:pStyle w:val="TableContents"/>
              <w:bidi w:val="0"/>
              <w:spacing w:before="0" w:after="283"/>
              <w:jc w:val="left"/>
              <w:rPr/>
            </w:pPr>
            <w:r>
              <w:rPr/>
              <w:t> </w:t>
            </w:r>
          </w:p>
        </w:tc>
      </w:tr>
      <w:tr>
        <w:trPr/>
        <w:tc>
          <w:tcPr>
            <w:tcW w:w="4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9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65,925,503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114,862</w:t>
            </w:r>
          </w:p>
        </w:tc>
        <w:tc>
          <w:tcPr>
            <w:tcW w:w="97" w:type="dxa"/>
            <w:tcBorders/>
            <w:shd w:fill="CCEEFF" w:val="cle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warrants,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13,972</w:t>
            </w:r>
          </w:p>
        </w:tc>
        <w:tc>
          <w:tcPr>
            <w:tcW w:w="97" w:type="dxa"/>
            <w:tcBorders/>
            <w:shd w:fill="FFFFFF" w:val="clear"/>
            <w:vAlign w:val="center"/>
          </w:tcPr>
          <w:p>
            <w:pPr>
              <w:pStyle w:val="TableContents"/>
              <w:bidi w:val="0"/>
              <w:spacing w:before="0" w:after="283"/>
              <w:jc w:val="left"/>
              <w:rPr/>
            </w:pPr>
            <w:r>
              <w:rPr/>
              <w:t> </w:t>
            </w:r>
          </w:p>
        </w:tc>
      </w:tr>
      <w:tr>
        <w:trPr/>
        <w:tc>
          <w:tcPr>
            <w:tcW w:w="49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97" w:type="dxa"/>
            <w:tcBorders/>
            <w:shd w:fill="CCEEFF" w:val="cle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97" w:type="dxa"/>
            <w:tcBorders/>
            <w:shd w:fill="FFFFFF" w:val="clear"/>
            <w:vAlign w:val="center"/>
          </w:tcPr>
          <w:p>
            <w:pPr>
              <w:pStyle w:val="TableContents"/>
              <w:bidi w:val="0"/>
              <w:spacing w:before="0" w:after="283"/>
              <w:jc w:val="left"/>
              <w:rPr/>
            </w:pPr>
            <w:r>
              <w:rPr/>
              <w:t> </w:t>
            </w:r>
          </w:p>
        </w:tc>
      </w:tr>
      <w:tr>
        <w:trPr/>
        <w:tc>
          <w:tcPr>
            <w:tcW w:w="49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5,681</w:t>
            </w:r>
          </w:p>
        </w:tc>
        <w:tc>
          <w:tcPr>
            <w:tcW w:w="97" w:type="dxa"/>
            <w:tcBorders/>
            <w:shd w:fill="CCEEFF" w:val="cle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67,273,800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118,452</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warrants,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4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4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49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67,277,882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530,883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104,487</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cashflows"/>
      <w:bookmarkEnd w:id="8"/>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40" w:type="dxa"/>
        <w:jc w:val="left"/>
        <w:tblInd w:w="0" w:type="dxa"/>
        <w:tblLayout w:type="fixed"/>
        <w:tblCellMar>
          <w:top w:w="0" w:type="dxa"/>
          <w:left w:w="0" w:type="dxa"/>
          <w:bottom w:w="0" w:type="dxa"/>
          <w:right w:w="0" w:type="dxa"/>
        </w:tblCellMar>
      </w:tblPr>
      <w:tblGrid>
        <w:gridCol w:w="8120"/>
        <w:gridCol w:w="60"/>
        <w:gridCol w:w="125"/>
        <w:gridCol w:w="695"/>
        <w:gridCol w:w="80"/>
        <w:gridCol w:w="60"/>
        <w:gridCol w:w="125"/>
        <w:gridCol w:w="695"/>
        <w:gridCol w:w="80"/>
      </w:tblGrid>
      <w:tr>
        <w:trPr/>
        <w:tc>
          <w:tcPr>
            <w:tcW w:w="8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Write-off of deferred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Lease liabilities,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Proceeds from issuance of common stock under at-the-market offering program, net of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exercises of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exercises of warrants, net of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14,063</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Proceeds from 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Proceeds from exercise of warrants and stock options not yet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Proceeds from issuance of common stock under at-the-market offering program not yet received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Unpaid amounts related to purchase of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81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Unpaid warrant issuance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the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Pulse Biosciences, Inc. is a novel ablation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long, to nonthermally clear or kill targeted cells. NPS technology, also referred to as a Nanosecond Pulsed-Field Ablation (“nsPFA”) energy when used to ablate cellular tissue, can be used to treat a variety of medical conditions for which an optimal solution remains unfulfilled. The Company developed its proprietary nPulse System (formerly known as CellFX), a novel nsPFA delivery platform, and commercialized the initial application of its nsPFA energy to treat benign lesions of the skin and in parallel, designed a variety of applicators, or disposables, to explore the potential use of the nPulse platform in other medical specialties. Based on its preclinical experience and the potential to significantly improve outcomes for patients in a large and growing market, the Company decided to focus its primary efforts on the use of nsPFA energy and the nPulse platform in the treatment of atrial fibrillation (“AF”), and in a select few other markets where it could have a profound positive impact on healthcare for both patients and providers, such as surgical soft tissue ablation.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incorporated in the State of Delaware. It is located in Hayward, California. The Company maintains its website at www.pulsebiosciences.com where general information about the Company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The Company has incurred net operating losses and negative cash flows from operations since its inception and had an accumulated deficit of $506.5 million as of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the Company had cash and cash equivalents of $101.6 million. The Company believes that the existing financial resources are sufficient to continue operating activities for at least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year past the issuance date of these condensed consolidated financial statements.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The Company has historically financed its operations primarily through the sale of common stock and debt. To date, the Company has generated limited revenue from product sales and has incurred significant operating losses in each year since inception. The Company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continue to incur additional losses for the next several years.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While the Company has been able to raise multiple rounds of financing and sell shares pursuant to its at-the-market program, there can be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assurance that in the event the Company requires additional financing, such financing will be available on terms which are favorable or at all. Failure to raise sufficient capital when needed or generate sufficient cash flow from operations would impact the ability to pursue business strategies and could require the Company to delay, scale back or discontinue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or more product development programs, or other aspects of the Company’s business objectives.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accompanying unaudited condensed consolidated financial statements have been prepared on a basis consistent with the Company’s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was derived from the audited consolidated financial statements as of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year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The results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to be expected for the entire year or any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financial statements of the Company and its wholly-owned subsidiaries and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The preparation of financial statements in conformity with U.S. GAAP requires the Company to make estimates that affect the amounts reported in the financial statements and accompanying notes to the financial statements. Estimates include, but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limited to, accrued research and development expenses, the valuation and recognition of stock-based compensation, inventory valuation,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Financial instruments that potentially subject the Company to a concentration of credit risk consist of cash and cash equivalents. The Company places its cash equivalents with high credit quality financial institutions and, by policy, limits the amounts invested with any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financial institution or issuer. Deposits held with banks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exceed the amount of insurance provided on such deposits. The Company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experienced any losses since inception.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has been established, which prioritizes the inputs used in measuring fair value as follows: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 Observable inputs, such as quoted prices in active markets for identical assets or liabilities at the measurement date.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 Observable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prices such as quoted prices for similar assets or liabilities, quoted prices in markets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active, or other inputs that are observable or can be corroborated by observable market data for substantially the full term of the assets or liabilities.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 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instruments carried at fair value include cash and cash equivalents. The carrying amounts of accounts receivable, prepaid expenses and other current assets, accounts payable and accrued liabilities approximate fair value due to their relatively short maturities.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Cash and</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The Company considers all highly liquid investments purchased with an original maturity of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or less from the date of purchase to be cash and cash equivalents. Cash equivalents consist primarily of amounts invested in money market funds and are stated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Accounts receivable are recorded at invoice value, net of any allowance for credit losses. The allowance for credit losses is based on the Company’s assessment of the collectability of customer accounts. The Company’s expected loss allowance methodology for receivables considers factors such as historical collection experience, credit quality, age of the accounts receivable balances, and current economic conditions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a customer’s ability to pay. Any amounts deemed uncollectible are written off against the allowance for credit losses. The Company’s allowance for credit losses was $0.1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was no allowance for credit losses as of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Inventory is stated at the lower of cost or net realizable value and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Inventory costs include direct materials, direct labor, and normal manufacturing overhead. The cost-basis of the Company’s inventory is reduced for any products that are considered excessive or obsolete based upon assumptions about future demand and market conditions. Additionally, the cost basis of the Company’s inventory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fixed overhead costs associated with abnormally low utilization of its manufacturing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the Company determined that costs had future economic benefit subsequent to receiving FDA approval, and as such, it began to capitalize inventory for its limited market release of percutaneous electrodes for its Vybrance Percutaneous Electrode System. Prior to capitalizing inventory, all direct and indirect manufacturing costs were charged to research and development expenses in the period incurred or written off as excess and obsolete inventory in </w:t>
      </w:r>
      <w:r>
        <w:rPr>
          <w:rStyle w:val="Emphasis"/>
          <w:rFonts w:ascii="Times New Roman" w:hAnsi="Times New Roman"/>
          <w:caps w:val="false"/>
          <w:smallCaps w:val="false"/>
          <w:sz w:val="20"/>
        </w:rPr>
        <w:t>2022,</w:t>
      </w:r>
      <w:r>
        <w:rPr>
          <w:rFonts w:ascii="Times New Roman" w:hAnsi="Times New Roman"/>
          <w:caps w:val="false"/>
          <w:smallCaps w:val="false"/>
          <w:sz w:val="20"/>
        </w:rPr>
        <w:t> including previously manufactured consoles.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Property and Equipment is recorded at cost and depreciated using the straight-line method over their estimated useful lives, ranging from three to five years. Leasehold improvements are amortized using the straight-line method over the shorter of the lease term or estimated useful life. Upon the sale or retirement of property and equipment, the costs and related accumulated depreciation and amortization are removed from the condensed consolidated balance sheet and the resulting gain or loss is reflected in operating expenses in the condensed consolidated statement of operations and comprehensive loss. Maintenance and repairs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Company’s intangible assets consist of acquired patents and licenses, which are amortized over their estimated useful lives of twelve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reviews long-lived assets, consisting of property and equipment and intangible assets, for impairment during each fiscal year or when events or changes in circumstances indicate the carrying value of these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their current fair values. Recoverability of assets to be held and used is measured by a comparison of the carrying amount of an asset to the estimated undiscounted future cash flows expected to be generated by the asset.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identified an immaterial impairment loss of less than $0.1 million on an intangible asset. The Company concluded that the remaining long-lived assets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indicators of impairment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There were no impairment losses recognized in the other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records goodwill when the consideration paid in a business acquisition exceeds the fair value of the net tangible assets and the identified intangible assets acquired. The Company reviews goodwill for impairment at the reporting unit level, of which there is one reportable unit, at least annually or whenever changes in circumstances indicate that the carrying value of the goodwill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To date, there has been no impairment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accounts for a contract with a customer when the rights and obligations of the parties are identifiable, the contract has commercial substance, and the collectability of the consideration to be received from the customer is considered probable. Contracts with customers are for the sale of the nPulse Vybrance System, which includes system components, software, and system accessories. Instruments and other accessories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also be included with the system or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sold on a standalone basis. These products are considered performance obligations to the extent they are separately identifiable from other products in the contract and when the customer can either benefit from the product on its own or with other goods or services that are readily available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recognizes revenue at a point in time when it satisfies performance obligations by transferring control of promised goods to its customers. Transfer of control occurs based on shipping terms as contractually negotiated. The amount of revenue recognized is equal to the consideration to which the Company expects to be entitled in exchange for the promised goods. Though some products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sold on a stand-alone basis, initial customer contracts will likely involve the bundling of products which will be delivered concurrently to the customer for a single price. The initial limited market release period will also include evaluation agreements with customers that allow either the Company or the customer to terminate the contract at any point without penalty. The termination right limits the effective contract term to the period for which the contract was </w:t>
      </w:r>
      <w:r>
        <w:rPr>
          <w:rStyle w:val="Emphasis"/>
          <w:rFonts w:ascii="Times New Roman" w:hAnsi="Times New Roman"/>
          <w:caps w:val="false"/>
          <w:smallCaps w:val="false"/>
          <w:sz w:val="20"/>
        </w:rPr>
        <w:t>not</w:t>
      </w:r>
      <w:r>
        <w:rPr>
          <w:rFonts w:ascii="Times New Roman" w:hAnsi="Times New Roman"/>
          <w:caps w:val="false"/>
          <w:smallCaps w:val="false"/>
          <w:sz w:val="20"/>
        </w:rPr>
        <w:t> terminated. The Company generally extends payment terms to customers after the Company performs a necessary credit evaluation to ensure future collectability of the outstanding balance. Payment generally occurs within a relatively short period of time after delivery of products.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sz w:val="20"/>
        </w:rPr>
        <w:t>The transaction price is the consideration to which the Company expects to be entitled in exchange for providing the promised goods to customers. Though most customer orders are for a fixed amount of consideration, the Company evaluates the possible impact of variable consideration in determining the transaction price, in particular the possibility of future returns. Sales agreements allow for a right of return only if the product does </w:t>
      </w:r>
      <w:r>
        <w:rPr>
          <w:rStyle w:val="Emphasis"/>
          <w:rFonts w:ascii="Times New Roman" w:hAnsi="Times New Roman"/>
          <w:sz w:val="20"/>
        </w:rPr>
        <w:t>not</w:t>
      </w:r>
      <w:r>
        <w:rPr>
          <w:rFonts w:ascii="Times New Roman" w:hAnsi="Times New Roman"/>
          <w:sz w:val="20"/>
        </w:rPr>
        <w:t> conform to the agreed upon quality standards or if the product was shipped due to Company error. The Company anticipates such returns will be minimal and has made </w:t>
      </w:r>
      <w:r>
        <w:rPr>
          <w:rStyle w:val="Emphasis"/>
          <w:rFonts w:ascii="Times New Roman" w:hAnsi="Times New Roman"/>
          <w:sz w:val="20"/>
        </w:rPr>
        <w:t>no</w:t>
      </w:r>
      <w:r>
        <w:rPr>
          <w:rFonts w:ascii="Times New Roman" w:hAnsi="Times New Roman"/>
          <w:sz w:val="20"/>
        </w:rPr>
        <w:t> adjustments to the transaction price for any estimated returns. The transaction price is determined at contract execution and updated each quarter for any changes in circumstances (e.g., changes in estimated return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has made an accounting policy election to exclude from the measurement of the transaction price all taxes which are imposed on and concurrent with a specific revenue-producing transaction and collected by the entity from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When there are multiple performance obligations present, the total transaction price shall be allocated to each of the performance obligations based upon the relative standalone selling price (“SSP”) of those performance obligations. The Company establishes SSPs based on multiple factors including prices charged by the Company for similar offerings, product-specific business objectives, and the estimated cost to provide the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Shipping and handling activities are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to be a separate performance obligation. The Company has made an accounting policy election to account for shipping and handling activities as fulfillment activities when these activities occur after the customer obtains control of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has determined that certain promises in the multiple-element arrangements, such as installation, training, and certain ancillary products, are immaterial in the context of the contract and do </w:t>
      </w:r>
      <w:r>
        <w:rPr>
          <w:rStyle w:val="Emphasis"/>
          <w:rFonts w:ascii="Times New Roman" w:hAnsi="Times New Roman"/>
          <w:caps w:val="false"/>
          <w:smallCaps w:val="false"/>
          <w:sz w:val="20"/>
        </w:rPr>
        <w:t>not</w:t>
      </w:r>
      <w:r>
        <w:rPr>
          <w:rFonts w:ascii="Times New Roman" w:hAnsi="Times New Roman"/>
          <w:caps w:val="false"/>
          <w:smallCaps w:val="false"/>
          <w:sz w:val="20"/>
        </w:rPr>
        <w:t> represent separate performance obligations to which transaction price is allocated.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utilizes the practical expedient under ASC </w:t>
      </w:r>
      <w:r>
        <w:rPr>
          <w:rStyle w:val="Emphasis"/>
          <w:rFonts w:ascii="Times New Roman" w:hAnsi="Times New Roman"/>
          <w:caps w:val="false"/>
          <w:smallCaps w:val="false"/>
          <w:sz w:val="20"/>
        </w:rPr>
        <w:t>606</w:t>
      </w:r>
      <w:r>
        <w:rPr>
          <w:rFonts w:ascii="Times New Roman" w:hAnsi="Times New Roman"/>
          <w:caps w:val="false"/>
          <w:smallCaps w:val="false"/>
          <w:sz w:val="20"/>
        </w:rPr>
        <w:t> and does </w:t>
      </w:r>
      <w:r>
        <w:rPr>
          <w:rStyle w:val="Emphasis"/>
          <w:rFonts w:ascii="Times New Roman" w:hAnsi="Times New Roman"/>
          <w:caps w:val="false"/>
          <w:smallCaps w:val="false"/>
          <w:sz w:val="20"/>
        </w:rPr>
        <w:t>not</w:t>
      </w:r>
      <w:r>
        <w:rPr>
          <w:rFonts w:ascii="Times New Roman" w:hAnsi="Times New Roman"/>
          <w:caps w:val="false"/>
          <w:smallCaps w:val="false"/>
          <w:sz w:val="20"/>
        </w:rPr>
        <w:t> disclose unsatisfied performance obligations for contracts as the contracts generally have an original duration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year. Additionally,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currently have significant contract assets or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incur contract origination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compensation expenses,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expenses incurred by the Company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Accrued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accrues liabilities for estimated costs of research and development activities conducted by its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service providers, which include the conduct of preclinical and clinical studies. The estimated costs of research and development activities are recorded based upon the estimated amount of services provided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invoiced, and these costs are included in accrued liabilities on the condensed consolidated balance sheets and within research and development expense on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These costs are accrued based on factors such as estimates of the work completed and budget provided and in accordance with agreements established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service providers. Significant judgments and estimates are made in determining the accrued liabilities balance in each reporting period. Accrued liabilities are adjusted as actual costs become known. Changes in these estimates that result in material changes to the Company’s accruals could materially affect its financial condition and results of operations. There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any material differences between accrued costs and actual costs incurred since the Company’s inception.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Patent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the owner of numerous domestic and foreign patents. Due to the significant uncertainty associated with the successful development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commercially viable products based on the Company’s research efforts and any related patent applications, patent costs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acquired patents, including patent-related legal fees, filing fees and other costs, including internally generated costs, are expensed as incurred. Patent expenses are included in selling, general and administrative expenses in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Company’s stock-based compensation programs include stock options, restricted stock units (RSUs), and an employee stock purchase program. The Company periodically issues stock options and RSUs to officers, directors, employees, and consultants for services rendered. Such issuances vest and expire according to terms established at the issuance date. In general, stock options granted to officers, directors and employees are recognized in the financial statements based on their grant date fair values, which are estimated using the Black-Scholes option-pricing model or the Monte Carlo simulation model. The grant date fair value of RSUs is estimated based on the closing stock price of the Company’s common stock on the date of grant. The Company accounts for forfeitures as they occur. The Company has granted stock options with service-based, performance-based, market-based, and both market-based and performance-based vesting conditions and granted RSUs with service-based and performance-based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stock options with service-based and performance-based vesting conditions, the grant date fair value of each grant is determined using the Black-Scholes option pricing model which requires a number of assumptions. Each of these assumptions is subjective and generally requires significant judgment and estimation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Expected Term – </w:t>
      </w:r>
      <w:r>
        <w:rPr>
          <w:rFonts w:ascii="Times New Roman;Times;serif" w:hAnsi="Times New Roman;Times;serif"/>
          <w:caps w:val="false"/>
          <w:smallCaps w:val="false"/>
          <w:sz w:val="20"/>
        </w:rPr>
        <w:t>The Company’s expected term represents the period that the Company’s stock awards are expected to be outstanding and is determined using the simplified method (based on the mid-point between the vesting date and the end of the contractual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Expected Volatility – </w:t>
      </w:r>
      <w:r>
        <w:rPr>
          <w:rFonts w:ascii="Times New Roman" w:hAnsi="Times New Roman"/>
          <w:caps w:val="false"/>
          <w:smallCaps w:val="false"/>
          <w:sz w:val="20"/>
        </w:rPr>
        <w:t>The computation of expected volatility is based on a calculation using the historical volatility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Risk-Free Interest Rate – </w:t>
      </w:r>
      <w:r>
        <w:rPr>
          <w:rFonts w:ascii="Times New Roman" w:hAnsi="Times New Roman"/>
          <w:caps w:val="false"/>
          <w:smallCaps w:val="false"/>
          <w:sz w:val="20"/>
        </w:rPr>
        <w:t>The risk-free interest rate is based on the Treasury Constant Maturities as provided by the Federal Reserve in effect at the time of grant for periods corresponding with the expected term of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i/>
          <w:caps w:val="false"/>
          <w:smallCaps w:val="false"/>
          <w:sz w:val="20"/>
        </w:rPr>
        <w:t>Expected Dividend – </w:t>
      </w:r>
      <w:r>
        <w:rPr>
          <w:rFonts w:ascii="Times New Roman" w:hAnsi="Times New Roman"/>
          <w:caps w:val="false"/>
          <w:smallCaps w:val="false"/>
          <w:sz w:val="20"/>
        </w:rPr>
        <w:t xml:space="preserve">The Company has never paid dividends on its common stock 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plans to pay dividends on its common stock. Therefore, the Company used an expected dividend yield of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Stock-based compensation expense for stock awards with service-based vesting conditions is recognized on a straight-line basis over the requisite service period, which is generally the vesting period. For stock awards with performance-based vesting conditions,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compensation expense until it is probable that the performance-based vesting condition will be achieved. The analysis to determine such probability involves estimates and judgements from management related to certain financial measures and achievements of strategic and operational milestones, which involve inherent risk and uncertainty regarding the future outcomes of the milestones. If actual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consistent with the Company’s estimates or assumptions,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exposed to changes in stock-based compensation expense that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stock awards with market-based vesting conditions, the conditions relate to the achievement of certain market capitalization targets of the Company. Using a Monte Carlo simulation model, the Company estimated the fair value of the market-based awards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For stock awards with both market-based and performance-based vesting conditions, the conditions relate to both the achievement of certain market capitalization targets of the Company, as well as the achievement of certain revenue and/or margin metrics. Using a Monte Carlo simulation model, the Company estimates the fair value of the market-based options on the grant date, along with a derived service period. Compensation expense for the awards is recognized over the requisite service period, which is the longer of the service period derived from the Monte Carlo simulation model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being achieved or the employee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Monte Carlo simulation models require the Company to make assumptions and judgements about the variables used in the calculations including the expected volatility, the risk-free interest rate, expected dividend yield, and the expected term.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when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portion, or all of the Company’s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accounts for income tax contingencies using a benefit recognition model. If it considers that a tax position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upon audit, based solely on the technical merits of the position, it recognizes the benefit. The Company measures the benefit by determining the amount that is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likely of being realized upon settlement, presuming that the tax position is examined by the appropriate taxing authority that has full knowledge of all relevant information. The Company is subject to taxation in the United States federal jurisdiction, and various state jurisdictions. The net operating loss and research and development credit carryforwards that are available for utilization in future years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examination by federal and state tax authorities. The Company’s policy is to recognize interest expense and penalties related to income tax matters as a component of income tax expense.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there were no significant accruals for interest related to unrecognized tax benefits or tax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displays comprehensive loss, and if applicable its components, as part of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Potential common shares that have an anti-dilutive effect (i.e., those that increase income per share or decrease loss per share) are excluded from the calculation of diluted net loss per share.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caps w:val="false"/>
          <w:smallCaps w:val="false"/>
        </w:rPr>
        <w:t> </w:t>
      </w:r>
      <w:r>
        <w:rPr>
          <w:rFonts w:ascii="Times New Roman" w:hAnsi="Times New Roman"/>
          <w:caps w:val="false"/>
          <w:smallCaps w:val="false"/>
          <w:sz w:val="20"/>
        </w:rPr>
        <w:t>Certain reclassifications have been made to the prior period presentation of other income within the condensed consolidated statements of operations and comprehensive loss to conform to current period presentation. Specifically, the presentation of “Other expense” has been reclassified out of “Interest income, net.” As a result of these changes, the presentation of these expenses in the comparative periods has been changed to conform to the current period. These reclassifications did </w:t>
      </w:r>
      <w:r>
        <w:rPr>
          <w:rStyle w:val="Emphasis"/>
          <w:rFonts w:ascii="Times New Roman" w:hAnsi="Times New Roman"/>
          <w:caps w:val="false"/>
          <w:smallCaps w:val="false"/>
          <w:sz w:val="20"/>
        </w:rPr>
        <w:t>not</w:t>
      </w:r>
      <w:r>
        <w:rPr>
          <w:rFonts w:ascii="Times New Roman" w:hAnsi="Times New Roman"/>
          <w:caps w:val="false"/>
          <w:smallCaps w:val="false"/>
          <w:sz w:val="20"/>
        </w:rPr>
        <w:t> have an impact on the Company’s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or the Company’s financial position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Recently Adopted Accounting Pronouncements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xml:space="preserve">): Measurement of Credit Losses for Accounts Receivable and Contract Assets, </w:t>
      </w:r>
      <w:r>
        <w:rPr>
          <w:rFonts w:ascii="Times New Roman" w:hAnsi="Times New Roman"/>
          <w:caps w:val="false"/>
          <w:smallCaps w:val="false"/>
          <w:sz w:val="20"/>
        </w:rPr>
        <w:t xml:space="preserve">which provides a practical expedient for entities to measure expected credit losses on current accounts receivable and current contract assets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The practical expedient assumes that current conditions as of the balance sheet date remain unchanged for the remaining life of the asset. The guidance is effective for interim and annual reporting periods beginning after </w:t>
      </w:r>
      <w:r>
        <w:rPr>
          <w:rStyle w:val="Emphasis"/>
          <w:rFonts w:ascii="Times New Roman" w:hAnsi="Times New Roman"/>
          <w:caps w:val="false"/>
          <w:smallCaps w:val="false"/>
          <w:sz w:val="20"/>
        </w:rPr>
        <w:t>December 15, 2025. </w:t>
      </w:r>
      <w:r>
        <w:rPr>
          <w:rFonts w:ascii="Times New Roman" w:hAnsi="Times New Roman"/>
          <w:caps w:val="false"/>
          <w:smallCaps w:val="false"/>
          <w:sz w:val="20"/>
        </w:rPr>
        <w:t xml:space="preserve">The Company adopted this guidance effective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condensed consolidated financial statements or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i/>
          <w:caps w:val="false"/>
          <w:smallCaps w:val="false"/>
          <w:sz w:val="20"/>
        </w:rPr>
        <w:t>Recent Accounting Pronouncements</w:t>
      </w:r>
      <w:r>
        <w:rPr>
          <w:rFonts w:ascii="Times New Roman" w:hAnsi="Times New Roman"/>
          <w:caps w:val="false"/>
          <w:smallCaps w:val="false"/>
          <w:sz w:val="20"/>
        </w:rPr>
        <w:t> </w:t>
      </w:r>
      <w:r>
        <w:rPr>
          <w:rStyle w:val="Emphasis"/>
          <w:rFonts w:ascii="Times New Roman" w:hAnsi="Times New Roman"/>
          <w:i/>
          <w:caps w:val="false"/>
          <w:smallCaps w:val="false"/>
          <w:sz w:val="20"/>
        </w:rPr>
        <w:t>Not</w:t>
      </w:r>
      <w:r>
        <w:rPr>
          <w:rFonts w:ascii="Times New Roman" w:hAnsi="Times New Roman"/>
          <w:caps w:val="false"/>
          <w:smallCaps w:val="false"/>
          <w:sz w:val="20"/>
        </w:rPr>
        <w:t> </w:t>
      </w:r>
      <w:r>
        <w:rPr>
          <w:rFonts w:ascii="Times New Roman" w:hAnsi="Times New Roman"/>
          <w:i/>
          <w:caps w:val="false"/>
          <w:smallCaps w:val="false"/>
          <w:sz w:val="20"/>
        </w:rPr>
        <w:t>Yet Adopted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Disaggregation of Income Statement Expenses</w:t>
      </w:r>
      <w:r>
        <w:rPr>
          <w:rFonts w:ascii="Times New Roman" w:hAnsi="Times New Roman"/>
          <w:caps w:val="false"/>
          <w:smallCaps w:val="false"/>
          <w:sz w:val="20"/>
        </w:rPr>
        <w:t xml:space="preserve">,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and interim periods beginning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Company is currently evaluating the impact of the new guidance on our condensed consolidated financial statements and related disclosures.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Measurement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measures and reports certain financial instruments as assets and liabilities at fair value on a recurring basis. The following tables set forth the fair value of the Company’s financial assets, which consist of cash equivalents measured and recognized at fair value (in thousands):</w:t>
      </w:r>
    </w:p>
    <w:p>
      <w:pPr>
        <w:pStyle w:val="TextBody"/>
        <w:bidi w:val="0"/>
        <w:spacing w:before="0" w:after="0"/>
        <w:ind w:left="0" w:right="0" w:hanging="0"/>
        <w:jc w:val="left"/>
        <w:rPr>
          <w:caps w:val="false"/>
          <w:smallCaps w:val="false"/>
        </w:rPr>
      </w:pPr>
      <w:r>
        <w:rPr>
          <w:caps w:val="false"/>
          <w:smallCaps w:val="false"/>
        </w:rPr>
        <w:t> </w:t>
      </w:r>
    </w:p>
    <w:tbl>
      <w:tblPr>
        <w:tblW w:w="6878" w:type="dxa"/>
        <w:jc w:val="left"/>
        <w:tblInd w:w="0" w:type="dxa"/>
        <w:tblLayout w:type="fixed"/>
        <w:tblCellMar>
          <w:top w:w="0" w:type="dxa"/>
          <w:left w:w="0" w:type="dxa"/>
          <w:bottom w:w="0" w:type="dxa"/>
          <w:right w:w="0" w:type="dxa"/>
        </w:tblCellMar>
      </w:tblPr>
      <w:tblGrid>
        <w:gridCol w:w="1700"/>
        <w:gridCol w:w="2210"/>
        <w:gridCol w:w="60"/>
        <w:gridCol w:w="125"/>
        <w:gridCol w:w="590"/>
        <w:gridCol w:w="60"/>
        <w:gridCol w:w="60"/>
        <w:gridCol w:w="171"/>
        <w:gridCol w:w="358"/>
        <w:gridCol w:w="60"/>
        <w:gridCol w:w="60"/>
        <w:gridCol w:w="171"/>
        <w:gridCol w:w="358"/>
        <w:gridCol w:w="60"/>
        <w:gridCol w:w="60"/>
        <w:gridCol w:w="125"/>
        <w:gridCol w:w="590"/>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22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968" w:type="dxa"/>
        <w:jc w:val="left"/>
        <w:tblInd w:w="0" w:type="dxa"/>
        <w:tblLayout w:type="fixed"/>
        <w:tblCellMar>
          <w:top w:w="0" w:type="dxa"/>
          <w:left w:w="0" w:type="dxa"/>
          <w:bottom w:w="0" w:type="dxa"/>
          <w:right w:w="0" w:type="dxa"/>
        </w:tblCellMar>
      </w:tblPr>
      <w:tblGrid>
        <w:gridCol w:w="1715"/>
        <w:gridCol w:w="2210"/>
        <w:gridCol w:w="60"/>
        <w:gridCol w:w="125"/>
        <w:gridCol w:w="590"/>
        <w:gridCol w:w="60"/>
        <w:gridCol w:w="60"/>
        <w:gridCol w:w="180"/>
        <w:gridCol w:w="379"/>
        <w:gridCol w:w="60"/>
        <w:gridCol w:w="60"/>
        <w:gridCol w:w="180"/>
        <w:gridCol w:w="379"/>
        <w:gridCol w:w="60"/>
        <w:gridCol w:w="60"/>
        <w:gridCol w:w="125"/>
        <w:gridCol w:w="590"/>
        <w:gridCol w:w="75"/>
      </w:tblGrid>
      <w:tr>
        <w:trPr/>
        <w:tc>
          <w:tcPr>
            <w:tcW w:w="171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0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22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Classification</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75,025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any credit losses related to its cash equivalents and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Additionally, the Company did not have any financial liabilities measured at fair value on a recurring basis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December 31, 2025.</w:t>
      </w:r>
    </w:p>
    <w:p>
      <w:pPr>
        <w:pStyle w:val="TextBody"/>
        <w:bidi w:val="0"/>
        <w:spacing w:before="0" w:after="0"/>
        <w:ind w:left="0" w:right="0" w:firstLine="540"/>
        <w:jc w:val="left"/>
        <w:rPr/>
      </w:pPr>
      <w:r>
        <w:rPr/>
        <w:t xml:space="preserve">  </w:t>
      </w:r>
    </w:p>
    <w:p>
      <w:pPr>
        <w:pStyle w:val="TextBody"/>
        <w:bidi w:val="0"/>
        <w:ind w:left="0" w:right="0" w:firstLine="540"/>
        <w:jc w:val="left"/>
        <w:rPr/>
      </w:pPr>
      <w:r>
        <w:rPr>
          <w:b/>
          <w:sz w:val="20"/>
        </w:rPr>
        <w:t xml:space="preserve">Note </w:t>
      </w:r>
      <w:r>
        <w:rPr>
          <w:rStyle w:val="Emphasis"/>
          <w:b/>
          <w:sz w:val="20"/>
        </w:rPr>
        <w:t>4.</w:t>
      </w:r>
      <w:r>
        <w:rPr>
          <w:b/>
          <w:sz w:val="20"/>
        </w:rPr>
        <w:t xml:space="preserve"> Accrued Liabilities</w:t>
      </w:r>
      <w:r>
        <w:rPr>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Accrued liabilities consisted of the following (in thousands):</w:t>
      </w:r>
    </w:p>
    <w:p>
      <w:pPr>
        <w:pStyle w:val="TextBody"/>
        <w:bidi w:val="0"/>
        <w:spacing w:before="0" w:after="0"/>
        <w:ind w:left="0" w:right="0" w:firstLine="540"/>
        <w:jc w:val="both"/>
        <w:rPr>
          <w:caps w:val="false"/>
          <w:smallCaps w:val="false"/>
        </w:rPr>
      </w:pPr>
      <w:r>
        <w:rPr>
          <w:caps w:val="false"/>
          <w:smallCaps w:val="false"/>
        </w:rPr>
        <w:t> </w:t>
      </w:r>
    </w:p>
    <w:tbl>
      <w:tblPr>
        <w:tblW w:w="5533" w:type="dxa"/>
        <w:jc w:val="left"/>
        <w:tblInd w:w="0" w:type="dxa"/>
        <w:tblLayout w:type="fixed"/>
        <w:tblCellMar>
          <w:top w:w="0" w:type="dxa"/>
          <w:left w:w="0" w:type="dxa"/>
          <w:bottom w:w="0" w:type="dxa"/>
          <w:right w:w="0" w:type="dxa"/>
        </w:tblCellMar>
      </w:tblPr>
      <w:tblGrid>
        <w:gridCol w:w="3560"/>
        <w:gridCol w:w="60"/>
        <w:gridCol w:w="136"/>
        <w:gridCol w:w="528"/>
        <w:gridCol w:w="60"/>
        <w:gridCol w:w="60"/>
        <w:gridCol w:w="215"/>
        <w:gridCol w:w="839"/>
        <w:gridCol w:w="75"/>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compensation-related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research and development services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services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severance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6,460</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w:t>
            </w:r>
          </w:p>
        </w:tc>
        <w:tc>
          <w:tcPr>
            <w:tcW w:w="7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the Company announced a strategic and organizational realignment to prioritize and accelerate the development of its nsPFA electrophysiology catheters and other cardiac devices for the treatment of atrial fibrillation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Realignment”). In connection with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Realignment, the Company recognized severance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termination expenses of $0.6 million, with $0.4 million in payments remitted as of </w:t>
      </w:r>
      <w:r>
        <w:rPr>
          <w:rStyle w:val="Emphasis"/>
          <w:rFonts w:ascii="Times New Roman" w:hAnsi="Times New Roman"/>
          <w:caps w:val="false"/>
          <w:smallCaps w:val="false"/>
          <w:sz w:val="20"/>
        </w:rPr>
        <w:t>June 30, 2026.</w:t>
      </w:r>
    </w:p>
    <w:p>
      <w:pPr>
        <w:pStyle w:val="TextBody"/>
        <w:bidi w:val="0"/>
        <w:ind w:left="0" w:right="0" w:firstLine="540"/>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has authorized a total of 50,000,000 shares of preferred stock, par value $0.001 per share, none of which were outstanding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Company’s Board of Directors (the “Board”) has the authority to issue preferred stock and to determine the rights, preferences, privileges, and restrictions, including voting rights, without any further vote or action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authorized a total of 500,000,000 shares of common stock, par value $0.001 per share.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At-The-Market Stock Offerings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the Company entered into a sales agreement with TD Securities LLC, as sales agent, to issue and sell shares of its common stock for an aggregate offering price of $60 million under an at-the-market (the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ATM”) offering program.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issued and sold 1,919,821 shares of common stock under the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ATM for net proceeds of $46.8 million, after deducting commissions and offering costs.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i/>
          <w:caps w:val="false"/>
          <w:smallCaps w:val="false"/>
          <w:sz w:val="20"/>
        </w:rPr>
        <w:t>2024</w:t>
      </w:r>
      <w:r>
        <w:rPr>
          <w:rFonts w:ascii="Times New Roman" w:hAnsi="Times New Roman"/>
          <w:b/>
          <w:i/>
          <w:caps w:val="false"/>
          <w:smallCaps w:val="false"/>
          <w:sz w:val="20"/>
        </w:rPr>
        <w:t xml:space="preserve"> Rights Offering and Subscription Rights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executed a rights offering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whereby the Company distributed non-transferable subscription rights to purchase up to an aggregate of six million units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Units”) with an aggregate offering value of up to $60 million 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charge to all holders of the Company's common stock.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resulted in the sale of six million 2024 Units, at a price of $10.00 per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Unit. Each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Unit consisted of one share of the Company’s common stock, par value $0.001 per share,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common stock. The common stock and warrants comprising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Units separated upon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and were issued individually. A total of 5,999,998 shares of common stock and warrants to acquire up to approximately an additional six million shares of common stock were issued in the offering. The Company received aggregate gross proceeds from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of $60 million. See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below for additional details of the warrants. Robert W. Duggan, the Company’s majority stockholder and Co-Chairman, purchased approximately 88% of the units offered through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2024</w:t>
      </w:r>
      <w:r>
        <w:rPr>
          <w:rFonts w:ascii="Times New Roman" w:hAnsi="Times New Roman"/>
          <w:b/>
          <w:i/>
          <w:caps w:val="false"/>
          <w:smallCaps w:val="false"/>
          <w:sz w:val="20"/>
        </w:rPr>
        <w:t xml:space="preserve"> Rights Offering Warrants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the Company issued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to purchase a total of 5,999,999 shares of its common stock at an exercise price of $11.00 per whole share, which equaled 110% of the subscription price for the Units. The aggregate number of shares of the Company’s common stock issuable upon the exercise of each set of warrants included in a given subscription for Units was rounded up to the nearest whole share. Warrants were exercisable immediately and expire on the fifth anniversary of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The warrants issued in the rights offering were redeemable by the Company for $0.01 per warrant, 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days’ written notice, if the volume-weighted average price (“VWAP”) of the Company’s common stock equaled or exceeded 150% of the exercise price, or $16.50, for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consecutive days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-half of the warrants while the other half of the warrants required the VWAP of the Company’s common stock to equal or exceed 200% of the exercise price, or $22.00, for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consecutive trading days.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the Company redeemed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of common stock warrants, pursuant to the 150% redemption feature, totaling 36,442 warrants, which would have entitled the holders to purchase up to 18,221 shares of common stock. None of these warrants are still outstanding. 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the Company delivered an irrevocable notice of redemption to redeem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tranche of common stock warrants as the VWAP of the Company’s common stock exceeded $22.00 per share over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consecutive trading days before the notice, with a stated redemption date of </w:t>
      </w:r>
      <w:r>
        <w:rPr>
          <w:rStyle w:val="Emphasis"/>
          <w:rFonts w:ascii="Times New Roman" w:hAnsi="Times New Roman"/>
          <w:caps w:val="false"/>
          <w:smallCaps w:val="false"/>
          <w:sz w:val="20"/>
        </w:rPr>
        <w:t>July 13,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were no outstanding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subject to the 150% redemption feature and there were 300,448 warrants outstanding subject to the 200% redemption feature, entitling holders to purchase up to 150,224 shares of common stock.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received gross proceeds of $0.2 million and $14.1 million, respectively, from exercises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Cumulatively,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has received total gross proceeds of $63.7 million from exercises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w:t>
      </w:r>
    </w:p>
    <w:p>
      <w:pPr>
        <w:pStyle w:val="TextBody"/>
        <w:bidi w:val="0"/>
        <w:spacing w:before="0" w:after="0"/>
        <w:ind w:left="0" w:right="0" w:firstLine="540"/>
        <w:jc w:val="both"/>
        <w:rPr>
          <w:caps w:val="false"/>
          <w:smallCaps w:val="false"/>
        </w:rPr>
      </w:pPr>
      <w:r>
        <w:rPr>
          <w:caps w:val="false"/>
          <w:smallCaps w:val="false"/>
        </w:rPr>
        <w:t> </w:t>
      </w:r>
    </w:p>
    <w:tbl>
      <w:tblPr>
        <w:tblW w:w="9022" w:type="dxa"/>
        <w:jc w:val="left"/>
        <w:tblInd w:w="0" w:type="dxa"/>
        <w:tblLayout w:type="fixed"/>
        <w:tblCellMar>
          <w:top w:w="0" w:type="dxa"/>
          <w:left w:w="0" w:type="dxa"/>
          <w:bottom w:w="0" w:type="dxa"/>
          <w:right w:w="0" w:type="dxa"/>
        </w:tblCellMar>
      </w:tblPr>
      <w:tblGrid>
        <w:gridCol w:w="3815"/>
        <w:gridCol w:w="60"/>
        <w:gridCol w:w="121"/>
        <w:gridCol w:w="1533"/>
        <w:gridCol w:w="80"/>
        <w:gridCol w:w="60"/>
        <w:gridCol w:w="218"/>
        <w:gridCol w:w="851"/>
        <w:gridCol w:w="60"/>
        <w:gridCol w:w="60"/>
        <w:gridCol w:w="284"/>
        <w:gridCol w:w="1805"/>
        <w:gridCol w:w="75"/>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caps w:val="false"/>
                <w:smallCaps w:val="false"/>
              </w:rPr>
              <w:t> </w:t>
            </w:r>
            <w:r>
              <w:rPr>
                <w:rStyle w:val="Emphasis"/>
                <w:rFonts w:ascii="Times New Roman;Times;serif" w:hAnsi="Times New Roman;Times;serif"/>
                <w:b/>
                <w:caps w:val="false"/>
                <w:smallCaps w:val="false"/>
                <w:sz w:val="18"/>
              </w:rPr>
              <w:t>Number of Warrants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Remaining Contractual Life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years)</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1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Redeemed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lef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outstanding as of June 30, 2026</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80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7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Times;serif" w:hAnsi="Times New Roman;Times;serif"/>
          <w:b/>
          <w:i/>
          <w:caps w:val="false"/>
          <w:smallCaps w:val="false"/>
          <w:sz w:val="20"/>
        </w:rPr>
        <w:t>2017</w:t>
      </w:r>
      <w:r>
        <w:rPr>
          <w:rFonts w:ascii="Times New Roman;Times;serif" w:hAnsi="Times New Roman;Times;serif"/>
          <w:b/>
          <w:i/>
          <w:caps w:val="false"/>
          <w:smallCaps w:val="false"/>
          <w:sz w:val="20"/>
        </w:rPr>
        <w:t xml:space="preserve">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2017, </w:t>
      </w:r>
      <w:r>
        <w:rPr>
          <w:rFonts w:ascii="Times New Roman" w:hAnsi="Times New Roman"/>
          <w:caps w:val="false"/>
          <w:smallCaps w:val="false"/>
          <w:sz w:val="20"/>
        </w:rPr>
        <w:t xml:space="preserve">the Company’s Board of Directors (the “Board”)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has a 10-year term, and provides for the grant of stock options, stock appreciation rights, restricted stock awards, RSUs, performance units, and performance shares to employees, directors and consultants of the Company and any parent or subsidiary of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 addition, shares remaining available under the Company’s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as amended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and shares reserved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administered by the Compensation Committee of the Board. The number of shares of the Company’s common stock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also include an annual increase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fiscal year, equal to the least of (i) 1,200,000 shares, (ii) 4% of the Company’s common stock outstanding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or (iii) such number of shares as determined by the Board. As a result of this provision, an additional 1,200,000 shares became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3,031,072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without stockholder approval and initially reserved 1,000,000 shares of the Company’s common stock for insurance pursuant to equity awards granted under the Inducement Plan. The Inducement Plan has a 10-year term and provides for the grant of equity-based awards, including non-statutory stock options, RSUs, restricted stock, stock appreciation rights, performance shares and performance units, and its terms are substantially similar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including with respect to treatment of equity awards in the event of a “merger” or “change in control” as defined under the Inducement Plan. Options issued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term up to ten years and have variable vesting provisions. New hire grants generally vest 25% per year starting upon the first anniversary of the grant. Equity-based awards issued under the Inducement Plan are only issuable to individuals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engaged as employees or non-employee directors of the Company prior to the Inducement Plan’s adoption date.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1,602,359 shares of common stock were available for issuance under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2017, </w:t>
      </w:r>
      <w:r>
        <w:rPr>
          <w:rFonts w:ascii="Times New Roman" w:hAnsi="Times New Roman"/>
          <w:caps w:val="false"/>
          <w:smallCaps w:val="false"/>
          <w:sz w:val="20"/>
        </w:rPr>
        <w:t xml:space="preserve">the Board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as of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or (iii) such number of shares as determined by the Board. As a result of this provision, an additional 450,000 shares became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on </w:t>
      </w:r>
      <w:r>
        <w:rPr>
          <w:rStyle w:val="Emphasis"/>
          <w:rFonts w:ascii="Times New Roman" w:hAnsi="Times New Roman"/>
          <w:caps w:val="false"/>
          <w:smallCaps w:val="false"/>
          <w:sz w:val="20"/>
        </w:rPr>
        <w:t>January 1, 2026.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1,265,365 shares of common stock were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Awards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granted stock options with service-based, performance-based, market-based, and both market-based and performance-based vesting conditions and has granted RSUs with service-based and performance-based vesting conditions. The Company grants service-based options and RSUs which vest and become exercisable, subject to the individual’s continued employment or service through the applicable vesting date. Service-based options and RSUs can have various vesting schedules, the most common vest schedules are for new hire stock option grants, which generally vest 25% per year starting upon the first anniversary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Performance-based stock options and RSUs granted to certain Company executives, employees and non-employees contain performance conditions related to financial measures and achievements of strategic and operational milestones. The options and RSUs will vest and become exercisable once the specific performance condition is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Market-based stock options granted to certain Company executives and other employees contain market conditions related to achievement of market capitalization targets. The options will vest and become exercisable once the specific market capitalization target is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Both market-based and performance-based stock options granted to certain Company executives contain market conditions related to the achievement of market capitalization targets as well as the achievement of revenue and/or margin metrics. The options will vest and become exercisable once both the specific market capitalization targets as well as the specific revenue and/or margin targets are fulfilled.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stock option activity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is as follows:</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9"/>
        <w:gridCol w:w="60"/>
        <w:gridCol w:w="77"/>
        <w:gridCol w:w="1230"/>
        <w:gridCol w:w="80"/>
        <w:gridCol w:w="60"/>
        <w:gridCol w:w="450"/>
        <w:gridCol w:w="1756"/>
        <w:gridCol w:w="60"/>
        <w:gridCol w:w="60"/>
        <w:gridCol w:w="308"/>
        <w:gridCol w:w="1967"/>
        <w:gridCol w:w="60"/>
        <w:gridCol w:w="60"/>
        <w:gridCol w:w="257"/>
        <w:gridCol w:w="1421"/>
        <w:gridCol w:w="80"/>
      </w:tblGrid>
      <w:tr>
        <w:trPr/>
        <w:tc>
          <w:tcPr>
            <w:tcW w:w="22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 Options 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Weighted-Average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Weighted-Average Remaining Life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Aggregate Intrinsic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5" w:type="dxa"/>
            <w:gridSpan w:val="2"/>
            <w:tcBorders/>
            <w:shd w:fill="FFFFFF" w:val="cle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8" w:type="dxa"/>
            <w:gridSpan w:val="2"/>
            <w:tcBorders/>
            <w:shd w:fill="FFFFFF" w:val="cle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 thousands)</w:t>
            </w:r>
          </w:p>
        </w:tc>
        <w:tc>
          <w:tcPr>
            <w:tcW w:w="80" w:type="dxa"/>
            <w:tcBorders/>
            <w:shd w:fill="FFFFFF" w:val="clear"/>
            <w:vAlign w:val="center"/>
          </w:tcPr>
          <w:p>
            <w:pPr>
              <w:pStyle w:val="TableContents"/>
              <w:bidi w:val="0"/>
              <w:spacing w:before="0" w:after="283"/>
              <w:jc w:val="left"/>
              <w:rPr/>
            </w:pPr>
            <w:r>
              <w:rPr/>
              <w:t> </w:t>
            </w:r>
          </w:p>
        </w:tc>
      </w:tr>
      <w:tr>
        <w:trPr/>
        <w:tc>
          <w:tcPr>
            <w:tcW w:w="22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Balances—December 31, 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13,086,288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ind w:left="0" w:right="0" w:hanging="0"/>
              <w:jc w:val="left"/>
              <w:rPr/>
            </w:pPr>
            <w:r>
              <w:rPr/>
              <w:t> </w:t>
            </w:r>
          </w:p>
        </w:tc>
        <w:tc>
          <w:tcPr>
            <w:tcW w:w="19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58,029</w:t>
            </w:r>
          </w:p>
        </w:tc>
        <w:tc>
          <w:tcPr>
            <w:tcW w:w="80" w:type="dxa"/>
            <w:tcBorders/>
            <w:shd w:fill="CCEE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ind w:left="0" w:right="0" w:hanging="0"/>
              <w:jc w:val="left"/>
              <w:rPr/>
            </w:pPr>
            <w:r>
              <w:rPr/>
              <w:t> </w:t>
            </w:r>
          </w:p>
        </w:tc>
        <w:tc>
          <w:tcPr>
            <w:tcW w:w="1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96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2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ind w:left="0" w:right="0" w:hanging="0"/>
              <w:jc w:val="left"/>
              <w:rPr/>
            </w:pPr>
            <w:r>
              <w:rPr/>
              <w:t> </w:t>
            </w:r>
          </w:p>
        </w:tc>
        <w:tc>
          <w:tcPr>
            <w:tcW w:w="1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2219"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Cancelled</w:t>
            </w:r>
          </w:p>
        </w:tc>
        <w:tc>
          <w:tcPr>
            <w:tcW w:w="60" w:type="dxa"/>
            <w:tcBorders/>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0"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(1,760,502</w:t>
            </w:r>
          </w:p>
        </w:tc>
        <w:tc>
          <w:tcPr>
            <w:tcW w:w="8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5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bottom w:val="single" w:sz="2" w:space="0" w:color="000000"/>
            </w:tcBorders>
            <w:tcMar>
              <w:bottom w:w="28" w:type="dxa"/>
            </w:tcMar>
            <w:vAlign w:val="center"/>
          </w:tcPr>
          <w:p>
            <w:pPr>
              <w:pStyle w:val="TableContents"/>
              <w:bidi w:val="0"/>
              <w:spacing w:before="0" w:after="283"/>
              <w:jc w:val="left"/>
              <w:rPr/>
            </w:pPr>
            <w:r>
              <w:rPr/>
              <w:t> </w:t>
            </w:r>
          </w:p>
        </w:tc>
        <w:tc>
          <w:tcPr>
            <w:tcW w:w="1967" w:type="dxa"/>
            <w:tcBorders>
              <w:bottom w:val="single" w:sz="2" w:space="0" w:color="000000"/>
            </w:tcBorders>
            <w:tcMar>
              <w:bottom w:w="28" w:type="dxa"/>
            </w:tcMar>
            <w:vAlign w:val="center"/>
          </w:tcPr>
          <w:p>
            <w:pPr>
              <w:pStyle w:val="TableContents"/>
              <w:bidi w:val="0"/>
              <w:spacing w:before="0" w:after="283"/>
              <w:jc w:val="right"/>
              <w:rPr/>
            </w:pPr>
            <w:r>
              <w:rPr>
                <w:rStyle w:val="Emphasis"/>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bottom w:val="single" w:sz="2" w:space="0" w:color="000000"/>
            </w:tcBorders>
            <w:tcMar>
              <w:bottom w:w="28" w:type="dxa"/>
            </w:tcMar>
            <w:vAlign w:val="center"/>
          </w:tcPr>
          <w:p>
            <w:pPr>
              <w:pStyle w:val="TableContents"/>
              <w:bidi w:val="0"/>
              <w:spacing w:before="0" w:after="283"/>
              <w:jc w:val="left"/>
              <w:rPr/>
            </w:pPr>
            <w:r>
              <w:rPr/>
              <w:t> </w:t>
            </w:r>
          </w:p>
        </w:tc>
        <w:tc>
          <w:tcPr>
            <w:tcW w:w="1421" w:type="dxa"/>
            <w:tcBorders>
              <w:bottom w:val="single" w:sz="2" w:space="0" w:color="000000"/>
            </w:tcBorders>
            <w:tcMar>
              <w:bottom w:w="28" w:type="dxa"/>
            </w:tcMar>
            <w:vAlign w:val="center"/>
          </w:tcPr>
          <w:p>
            <w:pPr>
              <w:pStyle w:val="TableContents"/>
              <w:bidi w:val="0"/>
              <w:spacing w:before="0" w:after="283"/>
              <w:jc w:val="right"/>
              <w:rPr/>
            </w:pPr>
            <w:r>
              <w:rPr>
                <w:rStyle w:val="Emphasis"/>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Balances—June 30, 2026</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11,670,734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Exercisable—June 30, 2026</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4,649,399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aggregate intrinsic value of stock options exercised was $14.6 million and $0.7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Intrinsic values of options exercised are calculated as the difference between the exercise price of the underlying options and the fair value of the common stock on the date of exercise. Intrinsic values of options outstanding are calculated as the difference between the exercise price of the underlying options and the fair value of the common stock as of the reporting date.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weighted-average grant date fair value of options granted was $16.03 and $15.46 per share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restricted stock unit activity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is as follows:</w:t>
      </w:r>
    </w:p>
    <w:p>
      <w:pPr>
        <w:pStyle w:val="TextBody"/>
        <w:bidi w:val="0"/>
        <w:spacing w:before="0" w:after="0"/>
        <w:ind w:left="160" w:right="0" w:hanging="0"/>
        <w:jc w:val="left"/>
        <w:rPr>
          <w:caps w:val="false"/>
          <w:smallCaps w:val="false"/>
        </w:rPr>
      </w:pPr>
      <w:r>
        <w:rPr>
          <w:caps w:val="false"/>
          <w:smallCaps w:val="false"/>
        </w:rPr>
        <w:t> </w:t>
      </w:r>
    </w:p>
    <w:tbl>
      <w:tblPr>
        <w:tblW w:w="6523" w:type="dxa"/>
        <w:jc w:val="left"/>
        <w:tblInd w:w="0" w:type="dxa"/>
        <w:tblLayout w:type="fixed"/>
        <w:tblCellMar>
          <w:top w:w="0" w:type="dxa"/>
          <w:left w:w="0" w:type="dxa"/>
          <w:bottom w:w="0" w:type="dxa"/>
          <w:right w:w="0" w:type="dxa"/>
        </w:tblCellMar>
      </w:tblPr>
      <w:tblGrid>
        <w:gridCol w:w="2540"/>
        <w:gridCol w:w="60"/>
        <w:gridCol w:w="157"/>
        <w:gridCol w:w="1827"/>
        <w:gridCol w:w="60"/>
        <w:gridCol w:w="60"/>
        <w:gridCol w:w="357"/>
        <w:gridCol w:w="1387"/>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2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RSUs Outstanding</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Shares of Common Stock</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Issuable for RSUs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Weighted-Average</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Grant Date Fair 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Balances—December 31, 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8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8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82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Balances—June 30, 2026</w:t>
            </w:r>
          </w:p>
        </w:tc>
        <w:tc>
          <w:tcPr>
            <w:tcW w:w="60" w:type="dxa"/>
            <w:tcBorders/>
            <w:shd w:fill="CCEEFF" w:val="clear"/>
            <w:vAlign w:val="center"/>
          </w:tcPr>
          <w:p>
            <w:pPr>
              <w:pStyle w:val="TableContents"/>
              <w:bidi w:val="0"/>
              <w:spacing w:before="0" w:after="283"/>
              <w:jc w:val="left"/>
              <w:rPr/>
            </w:pPr>
            <w:r>
              <w:rPr/>
              <w:t> </w:t>
            </w:r>
          </w:p>
        </w:tc>
        <w:tc>
          <w:tcPr>
            <w:tcW w:w="1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82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550,000</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7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in the condensed consolidated statements of operations and comprehensive loss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6744" w:type="dxa"/>
        <w:jc w:val="left"/>
        <w:tblInd w:w="0" w:type="dxa"/>
        <w:tblLayout w:type="fixed"/>
        <w:tblCellMar>
          <w:top w:w="0" w:type="dxa"/>
          <w:left w:w="0" w:type="dxa"/>
          <w:bottom w:w="0" w:type="dxa"/>
          <w:right w:w="0" w:type="dxa"/>
        </w:tblCellMar>
      </w:tblPr>
      <w:tblGrid>
        <w:gridCol w:w="3365"/>
        <w:gridCol w:w="60"/>
        <w:gridCol w:w="155"/>
        <w:gridCol w:w="604"/>
        <w:gridCol w:w="74"/>
        <w:gridCol w:w="74"/>
        <w:gridCol w:w="155"/>
        <w:gridCol w:w="604"/>
        <w:gridCol w:w="60"/>
        <w:gridCol w:w="60"/>
        <w:gridCol w:w="126"/>
        <w:gridCol w:w="490"/>
        <w:gridCol w:w="60"/>
        <w:gridCol w:w="60"/>
        <w:gridCol w:w="126"/>
        <w:gridCol w:w="59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p>
        </w:tc>
        <w:tc>
          <w:tcPr>
            <w:tcW w:w="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 not</w:t>
      </w:r>
      <w:r>
        <w:rPr>
          <w:rFonts w:ascii="Times New Roman" w:hAnsi="Times New Roman"/>
          <w:caps w:val="false"/>
          <w:smallCaps w:val="false"/>
          <w:sz w:val="20"/>
        </w:rPr>
        <w:t xml:space="preserve"> all of the performance conditions of the performance-based stock awards and the market-based and performance-based stock awards are probable to be achieved. Stock-based compensation expense has only been recognized for those conditions that are assumed to be probable.</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award type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6751" w:type="dxa"/>
        <w:jc w:val="left"/>
        <w:tblInd w:w="0" w:type="dxa"/>
        <w:tblLayout w:type="fixed"/>
        <w:tblCellMar>
          <w:top w:w="0" w:type="dxa"/>
          <w:left w:w="0" w:type="dxa"/>
          <w:bottom w:w="0" w:type="dxa"/>
          <w:right w:w="0" w:type="dxa"/>
        </w:tblCellMar>
      </w:tblPr>
      <w:tblGrid>
        <w:gridCol w:w="3365"/>
        <w:gridCol w:w="60"/>
        <w:gridCol w:w="155"/>
        <w:gridCol w:w="604"/>
        <w:gridCol w:w="74"/>
        <w:gridCol w:w="74"/>
        <w:gridCol w:w="155"/>
        <w:gridCol w:w="604"/>
        <w:gridCol w:w="60"/>
        <w:gridCol w:w="60"/>
        <w:gridCol w:w="125"/>
        <w:gridCol w:w="485"/>
        <w:gridCol w:w="80"/>
        <w:gridCol w:w="60"/>
        <w:gridCol w:w="125"/>
        <w:gridCol w:w="590"/>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Service-based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7,686</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Market-based options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Service-based RSUs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ESPP</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total unrecognized stock-based compensation expense and the weighted-average period in which the expense is expected to be recognized were as follows:</w:t>
      </w:r>
    </w:p>
    <w:p>
      <w:pPr>
        <w:pStyle w:val="TextBody"/>
        <w:bidi w:val="0"/>
        <w:spacing w:before="0" w:after="0"/>
        <w:ind w:left="0" w:right="0" w:firstLine="540"/>
        <w:jc w:val="both"/>
        <w:rPr>
          <w:caps w:val="false"/>
          <w:smallCaps w:val="false"/>
        </w:rPr>
      </w:pPr>
      <w:r>
        <w:rPr>
          <w:caps w:val="false"/>
          <w:smallCaps w:val="false"/>
        </w:rPr>
        <w:t> </w:t>
      </w:r>
    </w:p>
    <w:tbl>
      <w:tblPr>
        <w:tblW w:w="9209" w:type="dxa"/>
        <w:jc w:val="left"/>
        <w:tblInd w:w="0" w:type="dxa"/>
        <w:tblLayout w:type="fixed"/>
        <w:tblCellMar>
          <w:top w:w="0" w:type="dxa"/>
          <w:left w:w="0" w:type="dxa"/>
          <w:bottom w:w="0" w:type="dxa"/>
          <w:right w:w="0" w:type="dxa"/>
        </w:tblCellMar>
      </w:tblPr>
      <w:tblGrid>
        <w:gridCol w:w="4520"/>
        <w:gridCol w:w="60"/>
        <w:gridCol w:w="211"/>
        <w:gridCol w:w="1938"/>
        <w:gridCol w:w="60"/>
        <w:gridCol w:w="60"/>
        <w:gridCol w:w="236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Unrecognized</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Stock-Based Compensation</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60" w:type="dxa"/>
            <w:tcBorders/>
            <w:vAlign w:val="center"/>
          </w:tcPr>
          <w:p>
            <w:pPr>
              <w:pStyle w:val="TableContents"/>
              <w:bidi w:val="0"/>
              <w:spacing w:before="0" w:after="283"/>
              <w:ind w:left="0" w:right="0" w:hanging="0"/>
              <w:jc w:val="left"/>
              <w:rPr/>
            </w:pPr>
            <w:r>
              <w:rPr/>
              <w:t> </w:t>
            </w:r>
          </w:p>
        </w:tc>
        <w:tc>
          <w:tcPr>
            <w:tcW w:w="24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Weighted-Average</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Recognition Period</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ind w:left="0" w:right="0" w:hanging="0"/>
              <w:jc w:val="left"/>
              <w:rPr/>
            </w:pPr>
            <w:r>
              <w:rPr/>
              <w:t> </w:t>
            </w:r>
          </w:p>
        </w:tc>
        <w:tc>
          <w:tcPr>
            <w:tcW w:w="1938" w:type="dxa"/>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 thousands)</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0" w:type="dxa"/>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 years)</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Service-based options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28,893</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w:t>
            </w:r>
          </w:p>
        </w:tc>
      </w:tr>
      <w:tr>
        <w:trPr/>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Service-based RSUs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ind w:left="0" w:right="0" w:hanging="0"/>
              <w:jc w:val="left"/>
              <w:rPr/>
            </w:pPr>
            <w:r>
              <w:rPr/>
              <w:t> </w:t>
            </w:r>
          </w:p>
        </w:tc>
        <w:tc>
          <w:tcPr>
            <w:tcW w:w="193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Market-based options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and performance-based options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When probable of occurring</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Performance-based options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When probable of occurring</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Performance-based RSUs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When probable of occurring</w:t>
            </w:r>
          </w:p>
        </w:tc>
      </w:tr>
      <w:tr>
        <w:trPr/>
        <w:tc>
          <w:tcPr>
            <w:tcW w:w="45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unrecognized stock-based compensation expense</w:t>
            </w:r>
          </w:p>
        </w:tc>
        <w:tc>
          <w:tcPr>
            <w:tcW w:w="60" w:type="dxa"/>
            <w:tcBorders/>
            <w:shd w:fill="CCEEFF" w:val="clear"/>
            <w:vAlign w:val="center"/>
          </w:tcPr>
          <w:p>
            <w:pPr>
              <w:pStyle w:val="TableContents"/>
              <w:bidi w:val="0"/>
              <w:spacing w:before="0" w:after="283"/>
              <w:jc w:val="left"/>
              <w:rPr/>
            </w:pPr>
            <w:r>
              <w:rPr/>
              <w:t> </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3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73,876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0" w:type="dxa"/>
            <w:tcBorders/>
            <w:shd w:fill="CCEEFF" w:val="clear"/>
            <w:vAlign w:val="center"/>
          </w:tcPr>
          <w:p>
            <w:pPr>
              <w:pStyle w:val="TableContents"/>
              <w:bidi w:val="0"/>
              <w:spacing w:before="0" w:after="283"/>
              <w:jc w:val="right"/>
              <w:rPr/>
            </w:pPr>
            <w:r>
              <w:rPr>
                <w:rStyle w:val="Emphasis"/>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fair value of service-based stock options granted and the shares available for purchase under the ESPP were determined using the Black-Scholes option pricing model on the grant date and modification date. The Company estimated the fair value of market-based stock options and both market and performance-based stock options using a Monte Carlo simulation model on the grant date.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summarizes the range of assumptions used in calculating the fair value of the awards with stock options grouped by valuation methodology:</w:t>
      </w:r>
    </w:p>
    <w:p>
      <w:pPr>
        <w:pStyle w:val="TextBody"/>
        <w:bidi w:val="0"/>
        <w:spacing w:before="0" w:after="0"/>
        <w:ind w:left="0" w:right="0" w:firstLine="540"/>
        <w:jc w:val="both"/>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3363"/>
        <w:gridCol w:w="90"/>
        <w:gridCol w:w="1516"/>
        <w:gridCol w:w="60"/>
        <w:gridCol w:w="60"/>
        <w:gridCol w:w="1010"/>
        <w:gridCol w:w="60"/>
        <w:gridCol w:w="60"/>
        <w:gridCol w:w="1010"/>
        <w:gridCol w:w="60"/>
        <w:gridCol w:w="60"/>
        <w:gridCol w:w="1040"/>
      </w:tblGrid>
      <w:tr>
        <w:trPr/>
        <w:tc>
          <w:tcPr>
            <w:tcW w:w="3363" w:type="dxa"/>
            <w:tcBorders/>
            <w:vAlign w:val="center"/>
          </w:tcPr>
          <w:p>
            <w:pPr>
              <w:pStyle w:val="TableContents"/>
              <w:bidi w:val="0"/>
              <w:spacing w:before="0" w:after="283"/>
              <w:ind w:left="0" w:right="0" w:hanging="0"/>
              <w:jc w:val="left"/>
              <w:rPr/>
            </w:pPr>
            <w:r>
              <w:rPr/>
              <w:t> </w:t>
            </w:r>
          </w:p>
        </w:tc>
        <w:tc>
          <w:tcPr>
            <w:tcW w:w="27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60" w:type="dxa"/>
            <w:tcBorders/>
            <w:vAlign w:val="center"/>
          </w:tcPr>
          <w:p>
            <w:pPr>
              <w:pStyle w:val="TableContents"/>
              <w:bidi w:val="0"/>
              <w:spacing w:before="0" w:after="283"/>
              <w:ind w:left="0" w:right="0" w:hanging="0"/>
              <w:jc w:val="left"/>
              <w:rPr/>
            </w:pPr>
            <w:r>
              <w:rPr/>
              <w:t> </w:t>
            </w:r>
          </w:p>
        </w:tc>
        <w:tc>
          <w:tcPr>
            <w:tcW w:w="22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r>
      <w:tr>
        <w:trPr/>
        <w:tc>
          <w:tcPr>
            <w:tcW w:w="3363" w:type="dxa"/>
            <w:tcBorders/>
            <w:vAlign w:val="center"/>
          </w:tcPr>
          <w:p>
            <w:pPr>
              <w:pStyle w:val="TableContents"/>
              <w:bidi w:val="0"/>
              <w:spacing w:before="0" w:after="0"/>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Service-Based Stock Options</w:t>
            </w:r>
          </w:p>
        </w:tc>
        <w:tc>
          <w:tcPr>
            <w:tcW w:w="90"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r>
      <w:tr>
        <w:trPr/>
        <w:tc>
          <w:tcPr>
            <w:tcW w:w="33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90" w:type="dxa"/>
            <w:tcBorders/>
            <w:shd w:fill="FFFFFF" w:val="clear"/>
            <w:vAlign w:val="center"/>
          </w:tcPr>
          <w:p>
            <w:pPr>
              <w:pStyle w:val="TableContents"/>
              <w:bidi w:val="0"/>
              <w:spacing w:before="0" w:after="283"/>
              <w:ind w:left="0" w:right="0" w:hanging="0"/>
              <w:jc w:val="left"/>
              <w:rPr/>
            </w:pPr>
            <w:r>
              <w:rPr/>
              <w:t> </w:t>
            </w:r>
          </w:p>
        </w:tc>
        <w:tc>
          <w:tcPr>
            <w:tcW w:w="151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5.3 - 6.3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5.1 - 6.3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5.0 - 6.9</w:t>
            </w:r>
          </w:p>
        </w:tc>
      </w:tr>
      <w:tr>
        <w:trPr/>
        <w:tc>
          <w:tcPr>
            <w:tcW w:w="33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90"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 - 96%</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 - 96%</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 - 100%</w:t>
            </w:r>
          </w:p>
        </w:tc>
      </w:tr>
      <w:tr>
        <w:trPr/>
        <w:tc>
          <w:tcPr>
            <w:tcW w:w="33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90" w:type="dxa"/>
            <w:tcBorders/>
            <w:shd w:fill="FFFFFF" w:val="clear"/>
            <w:vAlign w:val="center"/>
          </w:tcPr>
          <w:p>
            <w:pPr>
              <w:pStyle w:val="TableContents"/>
              <w:bidi w:val="0"/>
              <w:spacing w:before="0" w:after="283"/>
              <w:ind w:left="0" w:right="0" w:hanging="0"/>
              <w:jc w:val="left"/>
              <w:rPr/>
            </w:pPr>
            <w:r>
              <w:rPr/>
              <w:t> </w:t>
            </w:r>
          </w:p>
        </w:tc>
        <w:tc>
          <w:tcPr>
            <w:tcW w:w="151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 - 4.1%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 - 4.3%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 - 4.1%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 - 4.6%</w:t>
            </w:r>
          </w:p>
        </w:tc>
      </w:tr>
      <w:tr>
        <w:trPr/>
        <w:tc>
          <w:tcPr>
            <w:tcW w:w="33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90"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40" w:type="dxa"/>
            <w:tcBorders/>
            <w:shd w:fill="CCEEFF" w:val="clear"/>
            <w:vAlign w:val="center"/>
          </w:tcPr>
          <w:p>
            <w:pPr>
              <w:pStyle w:val="TableContents"/>
              <w:bidi w:val="0"/>
              <w:spacing w:before="0" w:after="283"/>
              <w:jc w:val="center"/>
              <w:rPr/>
            </w:pPr>
            <w:r>
              <w:rPr>
                <w:rStyle w:val="Emphasis"/>
              </w:rPr>
              <w:t>—</w:t>
            </w:r>
          </w:p>
        </w:tc>
      </w:tr>
      <w:tr>
        <w:trPr/>
        <w:tc>
          <w:tcPr>
            <w:tcW w:w="4969" w:type="dxa"/>
            <w:gridSpan w:val="3"/>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18"/>
              </w:rPr>
              <w:t>Market-Based, and Market and Performance-Based Stock Options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40" w:type="dxa"/>
            <w:tcBorders/>
            <w:shd w:fill="FFFFFF" w:val="clear"/>
            <w:vAlign w:val="center"/>
          </w:tcPr>
          <w:p>
            <w:pPr>
              <w:pStyle w:val="TableContents"/>
              <w:bidi w:val="0"/>
              <w:spacing w:before="0" w:after="283"/>
              <w:jc w:val="center"/>
              <w:rPr/>
            </w:pPr>
            <w:r>
              <w:rPr>
                <w:rStyle w:val="Emphasis"/>
              </w:rPr>
              <w:t> </w:t>
            </w:r>
          </w:p>
        </w:tc>
      </w:tr>
      <w:tr>
        <w:trPr/>
        <w:tc>
          <w:tcPr>
            <w:tcW w:w="33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90"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6.5 - 7.2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6.5 - 7.2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5.5 - 8.9</w:t>
            </w:r>
          </w:p>
        </w:tc>
      </w:tr>
      <w:tr>
        <w:trPr/>
        <w:tc>
          <w:tcPr>
            <w:tcW w:w="33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90" w:type="dxa"/>
            <w:tcBorders/>
            <w:shd w:fill="FFFFFF" w:val="clear"/>
            <w:vAlign w:val="center"/>
          </w:tcPr>
          <w:p>
            <w:pPr>
              <w:pStyle w:val="TableContents"/>
              <w:bidi w:val="0"/>
              <w:spacing w:before="0" w:after="283"/>
              <w:ind w:left="0" w:right="0" w:hanging="0"/>
              <w:jc w:val="left"/>
              <w:rPr/>
            </w:pPr>
            <w:r>
              <w:rPr/>
              <w:t> </w:t>
            </w:r>
          </w:p>
        </w:tc>
        <w:tc>
          <w:tcPr>
            <w:tcW w:w="151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33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90"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 - 4.6%</w:t>
            </w:r>
          </w:p>
        </w:tc>
      </w:tr>
      <w:tr>
        <w:trPr/>
        <w:tc>
          <w:tcPr>
            <w:tcW w:w="33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90" w:type="dxa"/>
            <w:tcBorders/>
            <w:shd w:fill="FFFFFF" w:val="clear"/>
            <w:vAlign w:val="center"/>
          </w:tcPr>
          <w:p>
            <w:pPr>
              <w:pStyle w:val="TableContents"/>
              <w:bidi w:val="0"/>
              <w:spacing w:before="0" w:after="283"/>
              <w:ind w:left="0" w:right="0" w:hanging="0"/>
              <w:jc w:val="left"/>
              <w:rPr/>
            </w:pPr>
            <w:r>
              <w:rPr/>
              <w:t> </w:t>
            </w:r>
          </w:p>
        </w:tc>
        <w:tc>
          <w:tcPr>
            <w:tcW w:w="1516"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40" w:type="dxa"/>
            <w:tcBorders/>
            <w:shd w:fill="FFFFFF" w:val="clear"/>
            <w:vAlign w:val="center"/>
          </w:tcPr>
          <w:p>
            <w:pPr>
              <w:pStyle w:val="TableContents"/>
              <w:bidi w:val="0"/>
              <w:spacing w:before="0" w:after="283"/>
              <w:jc w:val="center"/>
              <w:rPr/>
            </w:pPr>
            <w:r>
              <w:rPr>
                <w:rStyle w:val="Emphasis"/>
              </w:rPr>
              <w:t>—</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ESPP</w:t>
            </w:r>
          </w:p>
        </w:tc>
        <w:tc>
          <w:tcPr>
            <w:tcW w:w="90"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0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0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040" w:type="dxa"/>
            <w:tcBorders/>
            <w:shd w:fill="CCEEFF" w:val="clear"/>
            <w:vAlign w:val="center"/>
          </w:tcPr>
          <w:p>
            <w:pPr>
              <w:pStyle w:val="TableContents"/>
              <w:bidi w:val="0"/>
              <w:spacing w:before="0" w:after="283"/>
              <w:jc w:val="center"/>
              <w:rPr/>
            </w:pPr>
            <w:r>
              <w:rPr/>
              <w:t> </w:t>
            </w:r>
          </w:p>
        </w:tc>
      </w:tr>
      <w:tr>
        <w:trPr/>
        <w:tc>
          <w:tcPr>
            <w:tcW w:w="33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90" w:type="dxa"/>
            <w:tcBorders/>
            <w:shd w:fill="FFFFFF" w:val="clear"/>
            <w:vAlign w:val="center"/>
          </w:tcPr>
          <w:p>
            <w:pPr>
              <w:pStyle w:val="TableContents"/>
              <w:bidi w:val="0"/>
              <w:spacing w:before="0" w:after="283"/>
              <w:ind w:left="0" w:right="0" w:hanging="0"/>
              <w:jc w:val="left"/>
              <w:rPr/>
            </w:pPr>
            <w:r>
              <w:rPr/>
              <w:t> </w:t>
            </w:r>
          </w:p>
        </w:tc>
        <w:tc>
          <w:tcPr>
            <w:tcW w:w="1516"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0.5 - 1.0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0.5 - 1.0</w:t>
            </w:r>
          </w:p>
        </w:tc>
      </w:tr>
      <w:tr>
        <w:trPr/>
        <w:tc>
          <w:tcPr>
            <w:tcW w:w="33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90"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 - 87%</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33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90" w:type="dxa"/>
            <w:tcBorders/>
            <w:shd w:fill="FFFFFF" w:val="clear"/>
            <w:vAlign w:val="center"/>
          </w:tcPr>
          <w:p>
            <w:pPr>
              <w:pStyle w:val="TableContents"/>
              <w:bidi w:val="0"/>
              <w:spacing w:before="0" w:after="283"/>
              <w:ind w:left="0" w:right="0" w:hanging="0"/>
              <w:jc w:val="left"/>
              <w:rPr/>
            </w:pPr>
            <w:r>
              <w:rPr/>
              <w:t> </w:t>
            </w:r>
          </w:p>
        </w:tc>
        <w:tc>
          <w:tcPr>
            <w:tcW w:w="1516"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pPr>
            <w:r>
              <w:rPr>
                <w:rStyle w:val="Emphasis"/>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 - 3.7%</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 - 4.3%</w:t>
            </w:r>
          </w:p>
        </w:tc>
      </w:tr>
      <w:tr>
        <w:trPr/>
        <w:tc>
          <w:tcPr>
            <w:tcW w:w="33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90"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10"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040" w:type="dxa"/>
            <w:tcBorders/>
            <w:shd w:fill="CCEEFF" w:val="clear"/>
            <w:vAlign w:val="center"/>
          </w:tcPr>
          <w:p>
            <w:pPr>
              <w:pStyle w:val="TableContents"/>
              <w:bidi w:val="0"/>
              <w:spacing w:before="0" w:after="283"/>
              <w:jc w:val="center"/>
              <w:rPr/>
            </w:pPr>
            <w:r>
              <w:rPr>
                <w:rStyle w:val="Emphasis"/>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caps w:val="false"/>
          <w:smallCaps w:val="false"/>
          <w:sz w:val="20"/>
        </w:rPr>
        <w:t xml:space="preserve">Note </w:t>
      </w:r>
      <w:r>
        <w:rPr>
          <w:rStyle w:val="Emphasis"/>
          <w:rFonts w:ascii="Times New Roman;Times;serif" w:hAnsi="Times New Roman;Times;serif"/>
          <w:b/>
          <w:caps w:val="false"/>
          <w:smallCaps w:val="false"/>
          <w:sz w:val="20"/>
        </w:rPr>
        <w:t>7.</w:t>
      </w:r>
      <w:r>
        <w:rPr>
          <w:rFonts w:ascii="Times New Roman;Times;serif" w:hAnsi="Times New Roman;Times;serif"/>
          <w:b/>
          <w:caps w:val="false"/>
          <w:smallCaps w:val="false"/>
          <w:sz w:val="20"/>
        </w:rPr>
        <w:t xml:space="preserve">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warrants converted into common stock are considered common stock equivalents. Potential common shares that have an anti-dilutive effect (i.e., those that increase income per share or decrease loss per share) are excluded from the calculation of diluted net loss per share.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outstanding equity instruments were excluded from the computation of diluted net loss per share for the periods presented because including them would have had an anti-dilutive effect:</w:t>
      </w:r>
    </w:p>
    <w:p>
      <w:pPr>
        <w:pStyle w:val="TextBody"/>
        <w:bidi w:val="0"/>
        <w:spacing w:before="0" w:after="0"/>
        <w:jc w:val="left"/>
        <w:rPr/>
      </w:pPr>
      <w:r>
        <w:rPr/>
        <w:t xml:space="preserve">  </w:t>
      </w:r>
    </w:p>
    <w:tbl>
      <w:tblPr>
        <w:tblW w:w="7635" w:type="dxa"/>
        <w:jc w:val="left"/>
        <w:tblInd w:w="0" w:type="dxa"/>
        <w:tblLayout w:type="fixed"/>
        <w:tblCellMar>
          <w:top w:w="0" w:type="dxa"/>
          <w:left w:w="0" w:type="dxa"/>
          <w:bottom w:w="0" w:type="dxa"/>
          <w:right w:w="0" w:type="dxa"/>
        </w:tblCellMar>
      </w:tblPr>
      <w:tblGrid>
        <w:gridCol w:w="5375"/>
        <w:gridCol w:w="60"/>
        <w:gridCol w:w="60"/>
        <w:gridCol w:w="950"/>
        <w:gridCol w:w="60"/>
        <w:gridCol w:w="60"/>
        <w:gridCol w:w="60"/>
        <w:gridCol w:w="950"/>
        <w:gridCol w:w="6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11,670,734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13,511,482</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converted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208,406</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shares issuable under the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26,532</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12,400,327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13,746,420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sz w:val="20"/>
        </w:rPr>
        <w:t xml:space="preserve">Note </w:t>
      </w:r>
      <w:r>
        <w:rPr>
          <w:rStyle w:val="Emphasis"/>
          <w:rFonts w:ascii="Times New Roman" w:hAnsi="Times New Roman"/>
          <w:b/>
          <w:sz w:val="20"/>
        </w:rPr>
        <w:t>8.</w:t>
      </w:r>
      <w:r>
        <w:rPr>
          <w:rFonts w:ascii="Times New Roman" w:hAnsi="Times New Roman"/>
          <w:b/>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conducts business as one operating and reportable segment relating to the research and development of the Company’s NPS technology. The Company’s chief executive officer, who is the chief operating decision maker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condensed consolidated statement of operations and comprehensive loss. All product sales are in the United States 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significant groupings of product revenue the CODM considers or reviews when making operating decisions and assessing performance.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To align with the significant expenses provided to the CODM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prior period significant expenses have been recast to conform with current period presentation. Previously facilities and IT costs were included within general and administration expenses. Beginning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facilities and IT costs are allocated across the significant expense categories based on the allocation methodology used within our GAAP income statement presentation. The recast of prior period information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condensed consolidated balance sheets, statements of operations, or statements of cash flows. See Item </w:t>
      </w:r>
      <w:r>
        <w:rPr>
          <w:rStyle w:val="Emphasis"/>
          <w:rFonts w:ascii="Times New Roman" w:hAnsi="Times New Roman"/>
          <w:caps w:val="false"/>
          <w:smallCaps w:val="false"/>
          <w:sz w:val="20"/>
        </w:rPr>
        <w:t>5</w:t>
      </w:r>
      <w:r>
        <w:rPr>
          <w:rFonts w:ascii="Times New Roman" w:hAnsi="Times New Roman"/>
          <w:caps w:val="false"/>
          <w:smallCaps w:val="false"/>
          <w:sz w:val="20"/>
        </w:rPr>
        <w:t> – Other Information for the reclassified presentation of the Company’s prior period segment reporting disclosure.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shows a reconciliation of the Company’s net loss, including the significant expense categories regularly provided to and reviewed by the CODM, as computed under U.S. GAAP to the Company’s total net loss in the condensed consolidated statements of operations (in thousands):</w:t>
      </w:r>
    </w:p>
    <w:p>
      <w:pPr>
        <w:pStyle w:val="TextBody"/>
        <w:bidi w:val="0"/>
        <w:spacing w:before="0" w:after="0"/>
        <w:ind w:left="0" w:right="0" w:firstLine="54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3395"/>
        <w:gridCol w:w="60"/>
        <w:gridCol w:w="125"/>
        <w:gridCol w:w="650"/>
        <w:gridCol w:w="80"/>
        <w:gridCol w:w="60"/>
        <w:gridCol w:w="125"/>
        <w:gridCol w:w="650"/>
        <w:gridCol w:w="80"/>
        <w:gridCol w:w="60"/>
        <w:gridCol w:w="125"/>
        <w:gridCol w:w="650"/>
        <w:gridCol w:w="80"/>
        <w:gridCol w:w="60"/>
        <w:gridCol w:w="125"/>
        <w:gridCol w:w="650"/>
        <w:gridCol w:w="9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cost of product revenue1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 platform research and engineering2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8,535</w:t>
            </w:r>
          </w:p>
        </w:tc>
        <w:tc>
          <w:tcPr>
            <w:tcW w:w="9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 manufacturing and engineering3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4,736</w:t>
            </w:r>
          </w:p>
        </w:tc>
        <w:tc>
          <w:tcPr>
            <w:tcW w:w="9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regulatory4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3,943</w:t>
            </w:r>
          </w:p>
        </w:tc>
        <w:tc>
          <w:tcPr>
            <w:tcW w:w="9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5,461</w:t>
            </w:r>
          </w:p>
        </w:tc>
        <w:tc>
          <w:tcPr>
            <w:tcW w:w="9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w:t>
            </w:r>
          </w:p>
        </w:tc>
        <w:tc>
          <w:tcPr>
            <w:tcW w:w="9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Other segment items7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11,426</w:t>
            </w:r>
          </w:p>
        </w:tc>
        <w:tc>
          <w:tcPr>
            <w:tcW w:w="9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w:t>
      </w:r>
    </w:p>
    <w:p>
      <w:pPr>
        <w:pStyle w:val="TextBody"/>
        <w:bidi w:val="0"/>
        <w:spacing w:before="0" w:after="0"/>
        <w:ind w:left="0" w:right="0" w:hanging="0"/>
        <w:jc w:val="both"/>
        <w:rPr/>
      </w:pPr>
      <w:r>
        <w:rPr>
          <w:rStyle w:val="Emphasis"/>
          <w:rFonts w:ascii="Times New Roman" w:hAnsi="Times New Roman"/>
          <w:i/>
          <w:caps w:val="false"/>
          <w:smallCaps w:val="false"/>
          <w:sz w:val="20"/>
        </w:rPr>
        <w:t>1.</w:t>
      </w:r>
      <w:r>
        <w:rPr>
          <w:rFonts w:ascii="Times New Roman" w:hAnsi="Times New Roman"/>
          <w:caps w:val="false"/>
          <w:smallCaps w:val="false"/>
          <w:sz w:val="20"/>
        </w:rPr>
        <w:t xml:space="preserve"> Adjusted cost of product revenue includes material costs, cash compensation costs, fees paid to consultants and outside service providers and organizations, and other expenses relating to manufacturing the Company’s commercial products.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stock-based compensation, depreciation, amortization — see descriptions of Other segment items in footnote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below.</w:t>
      </w:r>
    </w:p>
    <w:p>
      <w:pPr>
        <w:pStyle w:val="TextBody"/>
        <w:bidi w:val="0"/>
        <w:spacing w:before="0" w:after="0"/>
        <w:ind w:left="0" w:right="0" w:hanging="0"/>
        <w:jc w:val="both"/>
        <w:rPr/>
      </w:pPr>
      <w:r>
        <w:rPr>
          <w:rStyle w:val="Emphasis"/>
          <w:rFonts w:ascii="Times New Roman" w:hAnsi="Times New Roman"/>
          <w:i/>
          <w:caps w:val="false"/>
          <w:smallCaps w:val="false"/>
          <w:sz w:val="20"/>
        </w:rPr>
        <w:t>2.</w:t>
      </w:r>
      <w:r>
        <w:rPr>
          <w:rFonts w:ascii="Times New Roman" w:hAnsi="Times New Roman"/>
          <w:caps w:val="false"/>
          <w:smallCaps w:val="false"/>
          <w:sz w:val="20"/>
        </w:rPr>
        <w:t> Cross platform research and engineering includes compensation costs, fees paid to consultants and outside service providers and organizations, prototype spending and other expenses relating to the acquisition, design and development of the Company’s clinical stage devices.</w:t>
      </w:r>
    </w:p>
    <w:p>
      <w:pPr>
        <w:pStyle w:val="TextBody"/>
        <w:bidi w:val="0"/>
        <w:spacing w:before="0" w:after="0"/>
        <w:ind w:left="0" w:right="0" w:hanging="0"/>
        <w:jc w:val="both"/>
        <w:rPr/>
      </w:pPr>
      <w:r>
        <w:rPr>
          <w:rStyle w:val="Emphasis"/>
          <w:rFonts w:ascii="Times New Roman" w:hAnsi="Times New Roman"/>
          <w:i/>
          <w:caps w:val="false"/>
          <w:smallCaps w:val="false"/>
          <w:sz w:val="20"/>
        </w:rPr>
        <w:t>3.</w:t>
      </w:r>
      <w:r>
        <w:rPr>
          <w:rFonts w:ascii="Times New Roman" w:hAnsi="Times New Roman"/>
          <w:caps w:val="false"/>
          <w:smallCaps w:val="false"/>
          <w:sz w:val="20"/>
        </w:rPr>
        <w:t> R&amp;D manufacturing and engineering includes compensation costs, fees paid to consultants and outside service providers and organizations, and costs associated with the procurement of materials and the manufacturing of the Company’s clinical stage devices.</w:t>
      </w:r>
    </w:p>
    <w:p>
      <w:pPr>
        <w:pStyle w:val="TextBody"/>
        <w:bidi w:val="0"/>
        <w:spacing w:before="0" w:after="0"/>
        <w:ind w:left="0" w:right="0" w:hanging="0"/>
        <w:jc w:val="both"/>
        <w:rPr/>
      </w:pPr>
      <w:r>
        <w:rPr>
          <w:rStyle w:val="Emphasis"/>
          <w:rFonts w:ascii="Times New Roman" w:hAnsi="Times New Roman"/>
          <w:i/>
          <w:caps w:val="false"/>
          <w:smallCaps w:val="false"/>
          <w:sz w:val="20"/>
        </w:rPr>
        <w:t>4.</w:t>
      </w:r>
      <w:r>
        <w:rPr>
          <w:rFonts w:ascii="Times New Roman" w:hAnsi="Times New Roman"/>
          <w:caps w:val="false"/>
          <w:smallCaps w:val="false"/>
          <w:sz w:val="20"/>
        </w:rPr>
        <w:t> Clinical and regulatory includes compensation costs, fees paid to consultants and outside service providers and organizations, and costs associated with clinical trials and regulatory approvals required for the development of the Company’s clinical stage devices.</w:t>
      </w:r>
    </w:p>
    <w:p>
      <w:pPr>
        <w:pStyle w:val="TextBody"/>
        <w:bidi w:val="0"/>
        <w:spacing w:before="0" w:after="0"/>
        <w:ind w:left="0" w:right="0" w:hanging="0"/>
        <w:jc w:val="both"/>
        <w:rPr/>
      </w:pPr>
      <w:r>
        <w:rPr>
          <w:rStyle w:val="Emphasis"/>
          <w:rFonts w:ascii="Times New Roman" w:hAnsi="Times New Roman"/>
          <w:i/>
          <w:caps w:val="false"/>
          <w:smallCaps w:val="false"/>
          <w:sz w:val="20"/>
        </w:rPr>
        <w:t>5.</w:t>
      </w:r>
      <w:r>
        <w:rPr>
          <w:rFonts w:ascii="Times New Roman" w:hAnsi="Times New Roman"/>
          <w:caps w:val="false"/>
          <w:smallCaps w:val="false"/>
          <w:sz w:val="20"/>
        </w:rPr>
        <w:t> General and administrative includes compensation costs and fees paid to consultants and outside service providers and organizations in support of the administrative functions of the Company, including finance, legal, and human resources.</w:t>
      </w:r>
    </w:p>
    <w:p>
      <w:pPr>
        <w:pStyle w:val="TextBody"/>
        <w:bidi w:val="0"/>
        <w:spacing w:before="0" w:after="0"/>
        <w:ind w:left="0" w:right="0" w:hanging="0"/>
        <w:jc w:val="left"/>
        <w:rPr/>
      </w:pPr>
      <w:r>
        <w:rPr>
          <w:rStyle w:val="Emphasis"/>
          <w:rFonts w:ascii="Times New Roman" w:hAnsi="Times New Roman"/>
          <w:i/>
          <w:caps w:val="false"/>
          <w:smallCaps w:val="false"/>
          <w:sz w:val="20"/>
        </w:rPr>
        <w:t>6.</w:t>
      </w:r>
      <w:r>
        <w:rPr>
          <w:rFonts w:ascii="Times New Roman" w:hAnsi="Times New Roman"/>
          <w:caps w:val="false"/>
          <w:smallCaps w:val="false"/>
          <w:sz w:val="20"/>
        </w:rPr>
        <w:t> Sales and marketing includes compensation costs, fees paid to consultants and outside service providers and organizations, costs associated with marketing and sales strategy as well as execution of marketing and sales initiatives for the Company’s products.</w:t>
      </w:r>
    </w:p>
    <w:p>
      <w:pPr>
        <w:pStyle w:val="TextBody"/>
        <w:bidi w:val="0"/>
        <w:spacing w:before="0" w:after="0"/>
        <w:ind w:left="0" w:right="0" w:hanging="0"/>
        <w:jc w:val="left"/>
        <w:rPr/>
      </w:pPr>
      <w:r>
        <w:rPr>
          <w:rStyle w:val="Emphasis"/>
          <w:rFonts w:ascii="Times New Roman" w:hAnsi="Times New Roman"/>
          <w:i/>
          <w:caps w:val="false"/>
          <w:smallCaps w:val="false"/>
          <w:sz w:val="20"/>
        </w:rPr>
        <w:t>7.</w:t>
      </w:r>
      <w:r>
        <w:rPr>
          <w:rFonts w:ascii="Times New Roman" w:hAnsi="Times New Roman"/>
          <w:i/>
          <w:caps w:val="false"/>
          <w:smallCaps w:val="false"/>
          <w:sz w:val="20"/>
        </w:rPr>
        <w:t> </w:t>
      </w:r>
      <w:r>
        <w:rPr>
          <w:rFonts w:ascii="Times New Roman" w:hAnsi="Times New Roman"/>
          <w:caps w:val="false"/>
          <w:smallCaps w:val="false"/>
          <w:sz w:val="20"/>
        </w:rPr>
        <w:t>Other segment items includes stock-based compensation, depreciation and amortization.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all of the Company’s long-lived assets are located in the United States.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9.</w:t>
      </w:r>
      <w:r>
        <w:rPr>
          <w:rFonts w:ascii="Times New Roman" w:hAnsi="Times New Roman"/>
          <w:b/>
          <w:sz w:val="20"/>
        </w:rPr>
        <w:t xml:space="preserve"> Related Party Transactions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the Company’s Board of Directors approved resolutions permitting sales of common stock to its affiliates under the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ATM. Separately, Robert W. Duggan, the Company’s majority stockholder and Co-Chairman of the Company, and Mr. Paul LaViolette, the Chief Executive Officer and Co-Chairman of the Company, indicated their intent to purchase shares at prevailing market prices, subject to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binding commitments.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issued and sold 1,919,821 shares of common stock under the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ATM for net proceeds of $46.8 million, after deducting commissions and offering costs. Mr. Duggan and Mr. LaViolette purchased 675,233 shares of the common stock sold at market pricing in aggregate under the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ATM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Stockholders Equity for further details.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10.</w:t>
      </w:r>
      <w:r>
        <w:rPr>
          <w:rFonts w:ascii="Times New Roman" w:hAnsi="Times New Roman"/>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13, 2026, </w:t>
      </w: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the Company redeemed 50,607 warrants, pursuant to the irrevocable notice of redemption provided to warrant holders 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which would have entitled the holders to purchase up to 25,303 shares of common stock. In </w:t>
      </w:r>
      <w:r>
        <w:rPr>
          <w:rStyle w:val="Emphasis"/>
          <w:rFonts w:ascii="Times New Roman" w:hAnsi="Times New Roman"/>
          <w:caps w:val="false"/>
          <w:smallCaps w:val="false"/>
          <w:sz w:val="20"/>
        </w:rPr>
        <w:t xml:space="preserve">July 2026, </w:t>
      </w:r>
      <w:r>
        <w:rPr>
          <w:rFonts w:ascii="Times New Roman" w:hAnsi="Times New Roman"/>
          <w:caps w:val="false"/>
          <w:smallCaps w:val="false"/>
          <w:sz w:val="20"/>
        </w:rPr>
        <w:t xml:space="preserve">the Company received gross proceeds of $1.8 million related to exercises of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tranche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As of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remaining warrants outstanding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and the cumulative gross proceeds received from the exercise of all warrants was $65.5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Between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10, 2026, </w:t>
      </w:r>
      <w:r>
        <w:rPr>
          <w:rFonts w:ascii="Times New Roman" w:hAnsi="Times New Roman"/>
          <w:caps w:val="false"/>
          <w:smallCaps w:val="false"/>
          <w:sz w:val="20"/>
        </w:rPr>
        <w:t xml:space="preserve">the Company sold 388,949 shares of common stock for net proceeds of $10.7 million under the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ATM while the trading window remained open.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10" w:name="mda"/>
      <w:bookmarkEnd w:id="10"/>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2. 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The following discussion and analysis of our financial condition and results of operations should be read in conjunction with our condensed consolidated financial statements and the related notes included in this Quarterly Report on Form 10-Q and those in our Annual Report on Form 10-K, filed with the SEC on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 “Risk Factors” section of this Quarterly Report includes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and in parallel, designed a variety of applicators, or disposables, to explore the potential use of the nPulse platform in other medical specialties. Based on our preclinical experience and the potential to significantly improve outcomes for patients in a large and growing market, we decided to focus our primary efforts on the use of nsPFA energy and the nPulse platform in the treatment of atrial fibrillation (“AF”), where approximately 1.9 million patients in the United States are diagnosed annually. This potentially represents a greater than $3.0 billion addressable market within electrophysiology alone combined with long-term double-digit growth. Additionally, we are also pursuing the treatment of atrial fibrillation via a surgical approach as well as select other markets where nsPFA technology could have a profound positive impact on healthcare for both patients and providers, such as surgical soft tissue ablation.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March 2026, we announced a strategic realignment (“the 2026 Realignment”) to prioritize and accelerate the development of our nsPFA electrophysiology catheters and other cardiac devices for the treatment of AF. This initiative followed the release of our positive clinical data in February 2026 from our first in human feasibility study of our proprietary nPulse Cardiac Catheter System in patients with paroxysmal AF. In connection with the 2026 Realignment, we adjusted our capital allocation to prioritize the electrophysiology market development program and will reduce short term market development investments in cardiac surgery and reduce investments in sales and marketing for the Vybrance Percutaneous Electrode System to focus on additional market development, including generating clinical data for both expanded reimbursement coverage and regulatory label claims.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Our Cardiac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Atrial fibrillation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energy is uniquely suited to perform an integral role in the treatment of AF and that it will prove to be highly differentiated from other energy modalities in use today.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results of preclinical and clinical testing of our most advanced nPulse cardiac products, namely our endocardial ablation catheter and surgical ablation clamp, have exceeded our expectations and initial data have been presented at physician and industry conferences. While these devices serve different physicians, the application of nsPFA energy to safely and effectively ablate cardiac tissue to treat AF are the same, and we believe there will be important synergies realized through their contemporaneous development. The Company’s cardiac endocardial ablation catheter and cardiac surgical ablation clamp both generate our proprietary nsPFA pulses of electrical energy. Recently, we initiated pivotal studies to test both these devices for the treatment of AF and we discuss each of these clinical-stage products in more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nPulse</w:t>
      </w:r>
      <w:r>
        <w:rPr>
          <w:rFonts w:ascii="Times New Roman" w:hAnsi="Times New Roman"/>
          <w:caps w:val="false"/>
          <w:smallCaps w:val="false"/>
          <w:sz w:val="20"/>
        </w:rPr>
        <w:t> </w:t>
      </w:r>
      <w:r>
        <w:rPr>
          <w:rFonts w:ascii="Times New Roman" w:hAnsi="Times New Roman"/>
          <w:i/>
          <w:caps w:val="false"/>
          <w:smallCaps w:val="false"/>
          <w:sz w:val="20"/>
        </w:rPr>
        <w:t>Cardiac Catheter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nPulse Cardiac Catheter System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because of its safety profile and speed. However,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proprietary catheter has been in development for several years and we have been working with leaders in the electrophysiology field to test the catheter in preclinical studies. After seeing encouraging preclinical results, in December 2023, we initiated a first-in-human clinical study in Prague, Czech Republic, to test our nPulse Cardiac Catheter System in patients with AF and both the acute data and initial remapping data from this study were compelling. We therefore expanded the initial clinical protocol in 2024 to include participation by two additional sites, including a clinical site in Rome, Italy, with Dr. Andrea Natale M.D., F.A.C.C., F.H.R.S., F.E.S.C., a world recognized leader in the electrophysiology field and the current Executive Director at the Texas Cardiac Arrhythmia Institute. To date, seven clinical investigators at these European sites, including Dr. Natale and Dr. Vivek Reddy, Director of Cardiac Arrhythmia Services at the Mount Sinai Fuster Heart Hospital in New York, have enrolled and treated more than 175 patients in this first-in-human study. In February 2026, at the AF Symposium, Dr. Reddy presented 6- and 12-month follow up data for the first 150 patients from this study. These data show 96% procedural success of evaluable patients at one year as well as early indications of the disruptive market potential for our nPulse catheter, such as total procedure times in the study of approximately 65 minutes per patient. This long-term data was further reinforced at the 2026 Heart Rhythm meeting with data from a total of 177 patients. The 5 second Cohort (n=141) showed 96.2% procedural success by 24-hour holter at one year in addition to 90% Kaplan-Meier estimated freedom from all atrial arrhythmias at one year.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Given the compelling data seen in the first-in-human study of our nPulse Cardiac Catheter, in 2025 we submitted an Investigational Device Exemption (IDE) application for review by the FDA to conduct a single-arm, multicenter, prospective study designed to demonstrate primary safety and effectiveness of the nsPFA Cardiac Catheter System for the treatment of recurrent drug-resistant symptomatic paroxysmal AF. In December 2025, the FDA approved our IDE submission, and the first patients were treated in April 2026 at St. Bernards Medical Center in Jonesboro, Arkansas, under the leadership of Devi Nair, MD, Principal Investigator of the Arrhythmia Research Group. This IDE study is expected to enroll at least 164 evaluable pivotal patients at up to 30 sites, including sites outside the United States, and has enrolled more than half of its evaluable patients to date. We continue to believe we will need PMA approval from the FDA to market and sell our catheter with an AF indication in the United States. Upon PMA approval, we would expect to commercialize the nPulse Cardiac Catheter System in the United States, specifically as a treatment for AF, potentially through one or more strategic partnerships with electrophysiology market leaders.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nPulse</w:t>
      </w:r>
      <w:r>
        <w:rPr>
          <w:rFonts w:ascii="Times New Roman" w:hAnsi="Times New Roman"/>
          <w:caps w:val="false"/>
          <w:smallCaps w:val="false"/>
          <w:sz w:val="20"/>
        </w:rPr>
        <w:t> </w:t>
      </w:r>
      <w:r>
        <w:rPr>
          <w:rFonts w:ascii="Times New Roman" w:hAnsi="Times New Roman"/>
          <w:i/>
          <w:caps w:val="false"/>
          <w:smallCaps w:val="false"/>
          <w:sz w:val="20"/>
        </w:rPr>
        <w:t>Cardiac Surgical Clamp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nsPFA energy can provide important advantages over today’s thermal modalities in creating these ablation lines. For example, surgeons using the nPulse System should be able to deliver faster ablations and through thicker tissue than thermal modalities because of the nonthermal mechanism of action that nsPFA employs, which is not affected by heatsinks such as blood in the heart. In preclinical and clinical studies, our nsPFA Cardiac Clamp has consistently achieved transmural ablations in less than three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significantly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Today, we plan to pursue a PMA application for FDA approval to market the cardiac clamp specifically as a surgical way to treat both paroxysmal and persistent AF. Seeking an AF indication through a PMA application will require pivotal clinical data to support the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August 2024, we initiated a first-in-human clinical feasibility study of the nPulse Cardiac Surgical System in Europe. To date, we have enrolled more than 70 patients in this feasibility study of the cardiac clamp, a multi-center study of AF in Europe. All of the patients in our first-in-human study have tolerated the procedure well and acute clinical data have been encouraging. Three-month post procedure electroanatomical mapping results were presented at the European Heart Rhythm Association 2026 meeting to provide ablation effectiveness and durability results, with thirty-four patients showing durable and consistent pulmonary vein isolation and posterior box isolation, achieved safely with rapid ablation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September 2025, we received approval of our Investigational Device Exemption (IDE) to initiate our pivotal clinical trial of the cardiac surgical clamp and clinicians have commenced enrollment in the study. This single-arm prospective study is designed to demonstrate primary effectiveness of the nsPFA Cardiac Surgical System for the treatment of AF in concomitant surgical procedures. Up to twenty sites, including three outside the United States, are planned to enroll up to 136 patients. Upon PMA approval, we would expect to commercialize the nPulse Cardiac Surgical System in the United States specifically as a treatment for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nPulse Vybrance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Outside of our cardiac programs, our first product for soft tissue ablation in a surgical setting, the Vybrance Percutaneous Electrode System (the “Vybrance System” or the “Vybrance Percutaneous Electrode System”), consists of a disposable, percutaneous, needle electrode for use with our proprietary nPulse Console. This novel electrode is designed to harness and deliver the key advantages of nsPFA energy, enabling precise nonthermal removal of cellular tissue without inducing thermal necrosis.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years of preclinical development and testing, in June 2023, we initiated a first-in-human study using our proprietary nsPFA-enabled percutaneous electrode for the treatment of benign thyroid nodules.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 procedure showed treated portions of the benign thyroid nodules were mostly resorbed with no sign of scarring or fibrosis, which can be a side effect of other ablation modalities using thermal energies. In March 2026, long-term follow-up data from the study was presented at the North American Society for Interventional Thyroidology 2026 meeting showing an average of 74% volume reduction of treated benign thyroid nodules at 15-22 months, with no tissue regrowth and no serious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November 2023, we filed a premarket notification 510(k) with the FDA for clearance to commercialize our novel Vybrance System in the United States. In March 2024, we received FDA 510(k) clearance for our Vybrance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Since securing 510(k) clearance to market and sell the Vybrance System in the United States, we have engaged with experts in the field of soft tissue ablation to gather information to help shape our commercial endeavors. We initially placed our Vybrance System at sites in the United States under short-term evaluation or consulting agreements pursuant to which the sites have been performing initial patient treatments and evaluating the Vybrance System as well as providing valuable feedback and support. In the third quarter of 2025, we began entering into commercial agreements with a limited number of sites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 recently, in September 2025, we commenced a clinical trial (PRECISE BTN) to generate clinical evidence to demonstrate the safety and effectiveness of this less-invasive thyroid-preserving procedure and support commercialization of the Vybrance System in the United States. In this study, benign thyroid nodule soft tissue ablation procedures will be performed on up to 100 patients at up to four sites, an expansion from the original design of 50 patients. Study endpoints evaluated during the follow-up timepoints will include safety, targeted nodule volume reduction, symptom reduction, and improvements in quality of life and cosmesis over various follow-up periods. We expect to pursue more clinical evidenced-based milestones in connection with further market development of our Vybrance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The nPulse</w:t>
      </w:r>
      <w:r>
        <w:rPr>
          <w:rFonts w:ascii="Times New Roman" w:hAnsi="Times New Roman"/>
          <w:caps w:val="false"/>
          <w:smallCaps w:val="false"/>
          <w:sz w:val="20"/>
        </w:rPr>
        <w:t> </w:t>
      </w:r>
      <w:r>
        <w:rPr>
          <w:rFonts w:ascii="Times New Roman" w:hAnsi="Times New Roman"/>
          <w:i/>
          <w:caps w:val="false"/>
          <w:smallCaps w:val="false"/>
          <w:sz w:val="20"/>
        </w:rPr>
        <w:t>Console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nPulse Console is a tunable, software-enabled, console-based platform, designed to accommodate the clinical workflow preferred by physicians. The nPulse Console is configured to accept a variety of disposable applicators or electrodes across a range of clinical applications. In 2021, we received 510(k) clearance from the FDA for the nPulse System for dermatologic procedures requiring ablation and resurfacing of the skin and Conformité Européene (“CE”) marking approval, which allows for marketing of the system in the European Union (“EU”). However, in September 2022, we announced a shift in our focus from dermatology to cardiology and ceased all commercial sales efforts and marketing operations in dermatology, and in 2022 we stopped manufacturing new dermatologic treatment tips for the nPulse System. The nPulse Console is being used for our current efforts in the treatment of AF and as part of the Vybrance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nsPFA ablation, as well as NPS technology more broadly, has the potential to provide superior outcomes across a variety of medical disciplines and we may seek partnership opportunities to develop additional applications.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Financing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past few years, Robert Duggan, our majority stockholder and Co-Chairman, has made significant investments in our Company to fund its operations. In June 2024, for example, when we completed a rights offering of units to our existing stockholders to raise $60.0 million in aggregate, Mr. Duggan purchased approximately 88% of the shares offered through the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to maintain the Company as a 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40" w:right="0" w:firstLine="540"/>
        <w:jc w:val="both"/>
        <w:rPr>
          <w:rFonts w:ascii="Times New Roman" w:hAnsi="Times New Roman"/>
          <w:caps w:val="false"/>
          <w:smallCaps w:val="false"/>
          <w:sz w:val="20"/>
        </w:rPr>
      </w:pPr>
      <w:r>
        <w:rPr>
          <w:rFonts w:ascii="Times New Roman" w:hAnsi="Times New Roman"/>
          <w:caps w:val="false"/>
          <w:smallCaps w:val="false"/>
          <w:sz w:val="20"/>
        </w:rPr>
        <w:t>In February 2026, we entered into a sales agreement with TD Securities LLC, as sales agent, to issue and sell shares of our common stock for an aggregate offering price of $60 million under an at-the-market (the “February 2026 ATM”) offering program. During the three and six months ended June 30, 2026, we issued and sold 1,919,821 shares of common stock under the February 2026 ATM for net proceeds of $46.8 million, after deducting commissions and offering costs, of which 675,233 shares of the common stock were sold at market pricing in aggregate to Robert W. Duggan, the Company’s majority stockholder and Co-Chairman of the Company, and Mr. Paul LaViolette, the Chief Executive Officer and Co-Chairman of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financial statements have been prepared in accordance with U.S. generally accepted accounting principles (GAAP). The preparation of these condensed financial statements requires us to make estimates and assumptions that affect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liabilities, and equity and the amount of revenues and expenses, which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critical accounting policies are described in the section titled “Management’s Discussion and Analysis of Financial Condition and Results of Operations—Critical Accounting Policies and Estimates” in our Annual Report on Form 10-K filed with the SEC on February 19, 2026. In the first quarter of 2026, we modified the stock-based compensation policy as a result of granting restricted stock units, which was a new type of stock award issued by the Company. We continue to believe that the assumptions and estimates associated with our most critical accounting policies are those relating to revenue recognition, stock-based compensation, and accrued research and development expenses. Our significant accounting policies are more fully described in Note 2 to our condensed financial statements appearing elsewhere in this Quarterly Report on 10-Q. Additionally, the modified stock-based compensation policy is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stock-based compensation programs include stock options, restricted sock units (RSUs), and an employee stock purchase program. We periodically issue stock options and RSUs to officers, directors, employees, and consultants for their services to the Company. Such issuances vest and expire according to terms established at the issuance date. In general, stock options granted to officers, directors and employees are recognized in the financial statements based on their grant date fair values, which are estimated using the Black-Scholes option-pricing model or Monte Carlo simulation model. The grant date fair value of RSUs is estimated based on the closing stock price of our common stock on the date of grant. We account for forfeitures as they occur. We have granted stock options with service-based, performance-based, market-based, and both market-based and performance-based vesting conditions and granted RSUs with service-based and performance-based vesting conditions.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stock options with service-based and performance-based vesting conditions, the grant date fair value of each grant is determined using the Black-Scholes option pricing model which requires a number of assumptions. Each of these assumptions is subjective and generally requires significant judgment and estimation by management.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Expected Term – </w:t>
      </w:r>
      <w:r>
        <w:rPr>
          <w:rFonts w:ascii="Times New Roman" w:hAnsi="Times New Roman"/>
          <w:caps w:val="false"/>
          <w:smallCaps w:val="false"/>
          <w:sz w:val="20"/>
        </w:rPr>
        <w:t>Our expected term represents the period that our stock-based awards are expected to be outstanding and is determined using the simplified method (based on the mid-point between the vesting date and the end of the contractual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Expected Volatility – </w:t>
      </w:r>
      <w:r>
        <w:rPr>
          <w:rFonts w:ascii="Times New Roman" w:hAnsi="Times New Roman"/>
          <w:caps w:val="false"/>
          <w:smallCaps w:val="false"/>
          <w:sz w:val="20"/>
        </w:rPr>
        <w:t>The computation of expected volatility is based on a calculation using the historical volatility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Risk-Free Interest Rate – </w:t>
      </w:r>
      <w:r>
        <w:rPr>
          <w:rFonts w:ascii="Times New Roman" w:hAnsi="Times New Roman"/>
          <w:caps w:val="false"/>
          <w:smallCaps w:val="false"/>
          <w:sz w:val="20"/>
        </w:rPr>
        <w:t>The risk-free interest rate is based on the Treasury Constant Maturities as provided by the Federal Reserve in effect at the time of grant for periods corresponding with the expected term of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Expected Dividend – </w:t>
      </w:r>
      <w:r>
        <w:rPr>
          <w:rFonts w:ascii="Times New Roman" w:hAnsi="Times New Roman"/>
          <w:caps w:val="false"/>
          <w:smallCaps w:val="false"/>
          <w:sz w:val="20"/>
        </w:rPr>
        <w:t>We have never paid dividends on our common stock and have no plans to pay dividends on our common stock. Therefore, we used an expected dividend yield of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stock awards with service-based vesting conditions is recognized on a straight-line basis over the requisite service period, which is generally the vesting period. For stock awards with performance-based vesting conditions, compensation expense is not recognized until it is probable that the performance-based vesting condition will be achieved. The analysis to determine such probability involves estimates and judgements from management related to certain financial measures and achievements of strategic and operational milestones, which involves inherent risk and uncertainty regarding the future outcomes of the milestones. If actual results are not consistent with our estimates or assumptions, we may be exposed to changes in stock-based compensation expense that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stock awards with market-based vesting conditions, the conditions relate to the achievement of certain market capitalization targets of the Company. Using a Monte Carlo simulation model, we estimated the fair value of the market-based awards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recognition of stock-based compensation expense will accelerate to reflect the cumulative expense associated with the vested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stock awards with both market-based and performance-based vesting conditions, the vesting conditions relate to both the achievement of certain market capitalization targets of the Company, as well as the achievement of certain revenue and/or margin metrics. Using a Monte Carlo simulation model, we estimated the fair value of the market-based options on the grant date, along with a derived service period. Compensation expense for the awards is recognized over the requisite service period, which is the longer of the service period derived from the Monte Carlo simulation model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we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Monte Carlo simulation models require us to make assumptions and judgements about the variables used in the calculations including the expected volatility, the risk-free interest rate, expected dividend yield, and the expected term. The assumptions used in the option-pricing model represent our best estimates. If factors change and different assumptions are used, our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Refer to the “Recent Accounting Pronouncements” in Note 2 of the condensed consolidated financial statements included elsewhere in this Quarterly Report on Form 10-Q for additional disclosures around 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w:t>
      </w:r>
      <w:r>
        <w:rPr>
          <w:rFonts w:ascii="Times New Roman" w:hAnsi="Times New Roman"/>
          <w:b/>
          <w:i/>
          <w:caps w:val="false"/>
          <w:smallCaps w:val="false"/>
          <w:sz w:val="20"/>
        </w:rPr>
        <w:t>Three Months</w:t>
      </w:r>
      <w:r>
        <w:rPr>
          <w:rFonts w:ascii="Times New Roman" w:hAnsi="Times New Roman"/>
          <w:caps w:val="false"/>
          <w:smallCaps w:val="false"/>
          <w:sz w:val="20"/>
        </w:rPr>
        <w:t>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855"/>
        <w:gridCol w:w="60"/>
        <w:gridCol w:w="125"/>
        <w:gridCol w:w="650"/>
        <w:gridCol w:w="80"/>
        <w:gridCol w:w="60"/>
        <w:gridCol w:w="125"/>
        <w:gridCol w:w="650"/>
        <w:gridCol w:w="80"/>
        <w:gridCol w:w="60"/>
        <w:gridCol w:w="140"/>
        <w:gridCol w:w="615"/>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Three Months Ended</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4,888</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and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5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25,706</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5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20,275</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1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5,431</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(5,489)</w:t>
            </w:r>
          </w:p>
        </w:tc>
        <w:tc>
          <w:tcPr>
            <w:tcW w:w="8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Product revenue was $0.4 million for the three months ended June 30, 2026. There was no revenue for the three months ended June 30, 2025. The total revenue generated was in connection with the limited market release sales of the Vybrance Percutaneous Electrode System, with the first sale occurring in the third quarter of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 of product revenue was $0.3 million for the three months ended June 30, 2026. There was no cost of product revenue for the three months ended June 30,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by $4.9 million to $17.0 million for the three months ended June 30, 2026, compared to $12.1 million for the three months ended June 30, 2025. The increase was primarily driven by higher expenses of $2.2 million in clinical research and professional services, $2.1 million in compensation and other employee-related expenses, $0.2 million in stock-based compensation, and $0.4 million in supplies and research and development infrastructure. </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of compensation and other employee-related expenses for sales, marketing, executives, finance, legal, human resources, information technology, and administrative personnel, professional fees, patent fees and costs, insurance costs and other general corporate expenses.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by $0.3 million to $8.5 million for the three months ended June 30, 2026, compared to $8.2 million for the three months ended June 30, 2025. The increase was primarily driven by higher expenses of $0.8 million in compensation and other employee-related expenses and $0.1 million in professional services, partially offset by decreases of $0.4 million in stock-based compensation and $0.2 million in supplies and corporate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decreased by $0.5 million to $0.6 million for the three months ended June 30, 2026, compared to $1.1 million for the three months ended June 30, 2025, driven by lower cash equivalents and decreasing yield rates.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w:t>
      </w:r>
      <w:r>
        <w:rPr>
          <w:rFonts w:ascii="Times New Roman" w:hAnsi="Times New Roman"/>
          <w:b/>
          <w:i/>
          <w:caps w:val="false"/>
          <w:smallCaps w:val="false"/>
          <w:sz w:val="20"/>
        </w:rPr>
        <w:t>Six Months</w:t>
      </w:r>
      <w:r>
        <w:rPr>
          <w:rFonts w:ascii="Times New Roman" w:hAnsi="Times New Roman"/>
          <w:caps w:val="false"/>
          <w:smallCaps w:val="false"/>
          <w:sz w:val="20"/>
        </w:rPr>
        <w:t>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855"/>
        <w:gridCol w:w="60"/>
        <w:gridCol w:w="125"/>
        <w:gridCol w:w="650"/>
        <w:gridCol w:w="80"/>
        <w:gridCol w:w="60"/>
        <w:gridCol w:w="125"/>
        <w:gridCol w:w="650"/>
        <w:gridCol w:w="80"/>
        <w:gridCol w:w="60"/>
        <w:gridCol w:w="140"/>
        <w:gridCol w:w="615"/>
        <w:gridCol w:w="8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7,165</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Product revenue was $0.8 million for the six months ended June 30, 2026. There was no revenue for the six months ended June 30, 2025. The total revenue generated was in connection with the limited market release sales of the Vybrance Percutaneous Electrode System, with the first sale occurring in the third quarter of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 of product revenue was $0.6 million for the six months ended June 30, 2026. There was no cost of product revenue for the six months ended June 30,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by $7.2 million to $29.6 million for the six months ended June 30, 2026, compared to $22.4 million for the six months ended June 30, 2025. The increase was primarily driven by higher expenses of $3.9 million in clinical research and professional services, $3.6 million in compensation and other employee-related expenses, and $0.5 million in supplies and research and development infrastructure, partially offset by a decrease of $0.8 million in stock-based compensation resulting from forfeitures for an executive departure.</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of compensation and other employee-related expenses for sales, marketing, executives, finance, legal, human resources, information technology, and administrative personnel, professional fees, patent fees and costs, insurance costs and other general corporate expenses.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decreased by $0.9 million to $15.0 million for the six months ended June 30, 2026, compared to $15.9 million for the six months ended June 30, 2025. The decrease was primarily driven by $3.3 million in stock-based compensation resulting from forfeitures related to the 2026 Realignment and an executive departure and $0.3 million in supplies and corporate infrastructure, partially offset by increases of $1.5 million in compensation and other employee-related expenses, $0.6 million in professional services, and $0.6 million related to a legal settlement recognized in early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decreased by $1.2 million to $1.2 million for the six months ended June 30, 2026, compared to $2.4 million for the six months ended June 30, 2025, driven by lower cash equivalents and decreasing yield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funded our business primarily through the issuance of equity securities and debt. To date, we have generated only limited revenue from product sales and we have incurred significant operating losses each year since our inception. Because we intend to continue our investments into new product research and development and the capabilities needed for market development of our nPulse Vybrance Percutaneous Electrode System, we expect to continue to incur additional losses for the next several years. Accordingly, to fund our business, we may utilize some combination of public or private equity offerings, debt financings, or potential new revenue-generating collaborations with one or more investors or strategic partners. Over the past few years, Robert Duggan, our majority stockholder and Co-Chairman, has made significant investments in our Company to fund its operations. Mr. Duggan may or may not elect to participate in any number of future fundraisings by the Company, whether similar to those described herein or otherwise, or alternatively he may offer to provide additional debt financing as may be needed to maintain the Company as a 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June 30, 2026, we had cash and cash equivalents of $101.6 million. We believe that our existing financial resources are sufficient to fund our projected operating requirements for at least the next twelve months from the filing date of this Quarterly Report on Form 10-Q. However, we plan to raise additional capital in the near future. These expectations are based on our current operating and financing plans which are subject to change. The source, timing and availability of any future financing will depend largely upon market conditions and perceived progress in the Company’s commercialization efforts, on-going product development initiatives, as well as future clinical and regulatory developments concerning the nPulse System and our other NPS-based technologies. There can be no assurance, however, that any additional financing or any revenue-generating collaboration will be available when needed or that we will be able to obtain financing or enter into a collaboration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global economic instability caused by armed conflicts, tariffs and interest rates, together with other market factors, could have an adverse impact on potential sources of future financing.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and six months ended June 30, 2026, we issued and sold 1,919,821 shares of common stock under the February 2026 ATM for net proceeds of $46.8 million, after deducting commissions and offering costs. Between July 1, 2026 and July 10, 2026, during which the trading window remained open, we sold an additional 388,949 shares of common stock for net proceeds of $10.7 million under the February 2026 ATM.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2024, we executed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warrants issued in the rights offering were redeemable by us if the volume-weighted average price (“VWAP”) of our common stock equaled or exceeded 150% of the exercise price, or $16.50, for twenty consecutive days for one-half of the warrants while the other half of the warrants required the VWAP of our common stock to equal or exceed 200% of the exercise price, or $22.00, for twenty consecutive trading days. In February 2025, we redeemed the first tranche of common stock warrants, pursuant to the 150% redemption feature, totaling 36,442 warrants, which would have entitled the holders to purchase up to 18,221 shares of common stock. None of these warrants are still outstanding. In June 2026, we delivered an irrevocable notice of redemption to redeem the second tranche of common stock warrants as the VWAP of our common stock exceeded $22.00 per share over twenty consecutive trading days before the notice. Accordingly, pursuant to the 200% redemption feature, we redeemed 50,607 warrants on the redemption date, July 13, 2026, which would have entitled the holders to purchase up to 25,303 shares of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and 2025, we received gross proceeds of $0.2 million and $14.1 million, respectively, from exercises of the 2024 Rights Offering Warrants. In July 2026, we received gross proceeds of $1.8 million related to exercises of the second tranche of the 2024 Rights Offering Warrants. As of July 31, 2026, there were no remaining warrants outstanding under the 2024 Rights Offering Warrants and the cumulative gross proceeds received from the exercise of all warrants was $65.5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from time to time, we may raise additional equity or debt capital through private offerings of securities or through registered offerings of securities, such as offerings of debt or equity off of a shelf registration statement, including “at-the-market” offerings of common stock. In April 2024, we filed a shelf registration statement on Form S-3 (the “2024 Shelf”) that was declared effective by the SEC, and later amended through a Form S-3MEF filing to increase the shelf by 20%, for the potential offering, issuance, and sale by us of up to $60 million of our common stock, preferred stock, debt securities, depositary shares, warrants, subscription rights, purchase contracts, or units. In July 2024, we entered into a sales agreement under the 2024 Shelf with Canaccord Genuity LLC and Needham &amp; Company, LLC, as sales agent, to issue and sell shares of our common stock for an aggregate offering price of $60 million under an at-the-market offering program (the “2024 ATM”). However, in February 2026, we terminated the 2024 ATM and entered into the February 2026 ATM with TD Securities LLC, as sales agent, for an aggregate offering price of $60 million, of which approximately $1.0 million remains available as of the filing date of this Quarterly Report on Form 10-Q.</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February 2026, we filed a shelf registration statement on Form S-3 (the “2026 Shelf”) that was declared effective by the SEC for the potential offering, issuance, and sale by us of up to $200 million of our common stock, preferred stock, debt securities, depositary shares, warrants, subscription rights, purchase contracts, or units. In August 2026, and in connection with the 2026 Shelf, we entered into a sales agreement with Mizuho Securities USA LLC, as sales agent, to issue and sell shares of our common stock for an aggregate offering price of $75 million under an at-the-market (the “August 2026 ATM”) offering program, all of which remained available for sale as of the filing date of this Quarterly Report on Form 10-Q.</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the extent we raise additional capital through the sale of equity or convertible debt securities, the issuance of such securities will result in dilution to our stockholders.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cash flows as discussed herein are presented below:</w:t>
      </w:r>
    </w:p>
    <w:p>
      <w:pPr>
        <w:pStyle w:val="TextBody"/>
        <w:bidi w:val="0"/>
        <w:spacing w:before="0" w:after="0"/>
        <w:ind w:left="0" w:right="0" w:firstLine="540"/>
        <w:jc w:val="both"/>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4295"/>
        <w:gridCol w:w="60"/>
        <w:gridCol w:w="125"/>
        <w:gridCol w:w="650"/>
        <w:gridCol w:w="80"/>
        <w:gridCol w:w="60"/>
        <w:gridCol w:w="125"/>
        <w:gridCol w:w="650"/>
        <w:gridCol w:w="80"/>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Six Months Ended</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and cash equivalents (used in) provided by: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Operating Activities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net cash used in operating activities was $33.3 million, which consisted of a net loss of $43.2 million, partially offset by a net change of $8.4 million in non-cash changes and a net change of $1.6 million in net operating assets and liabilities. Non-cash charges consisted of stock-based compensation of $6.9 million, lease expense of $0.6 million, write-off of deferred issuance costs of $0.3 million related to the terminated at-the-market offering program in February 2026, and depreciation and amortization of $0.5 million. The net change in our operating assets and liabilities was primarily due to a net increase in liabilities of $2.1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operating activities was $26.3 million, which consisted of a net loss of $36.0 million and a net change of $2.3 million in net operating assets and liabilities, partially offset by $12.0 million in non-cash changes. The net change in our operating assets and liabilities was primarily due to a net decrease in liabilities of $1.9 million. Non-cash charges consisted of stock-based compensation of $10.9 million, lease expense of $0.6 million, and depreciation and amortization of $0.6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cs="Times New Roman"/>
          <w:iCs/>
          <w:caps w:val="false"/>
          <w:smallCaps w:val="false"/>
          <w:szCs w:val="20"/>
        </w:rPr>
        <w:t>﻿</w:t>
      </w:r>
      <w:r>
        <w:rPr>
          <w:rFonts w:ascii="Times New Roman" w:hAnsi="Times New Roman"/>
          <w:i/>
          <w:caps w:val="false"/>
          <w:smallCaps w:val="false"/>
          <w:sz w:val="20"/>
        </w:rPr>
        <w:t xml:space="preserve">Investing Activities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cash used in investing activities was $0.1 million of purchases of property and equipment.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cash used in investing activities was $0.2 million, which was primarily for the purchase of property and equipment.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cash provided by financing activities was $54.3 million, which was primarily from $46.4 million of proceeds from sales under the at-the-market offering program, net of issuance costs, $7.3 million of proceeds from the exercise of stock options, $0.5 million of proceeds from the issuance of common stock under our employee stock purchase plan, and $0.1 million of proceeds from the exercise of common stock warrants.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cash provided by financing activities was $14.8 million, primarily due to $14.1 million of proceeds from the exercise of common stock warrants, $0.4 million of proceeds from issuance of common stock under employee stock purchase plan, and $0.4 million of proceeds from the exercise of stock options.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Contractual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our business to the contractual obligations disclosed in our Annual Report on Form 10-K for the year ended December 31,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Off-Balance-Sheet Arrangements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June 30, 2026, we did not have any transactions, obligations or relationships that constitute off-balance sheet arrangements.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date, we have not incurred costs to defend lawsuits or settle claims related to these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and at-the-market stock offerings, debt financings, or co-development agreements and/or other alternatives.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 sufficient to support our operations. Even if we are able to generate revenue,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atrial fibrillation,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market risk from the information provided in our Annual Report on Form 10-K for the year ended December 31, 2025.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Chief Financial Officer have concluded that, as of June 30, 2026,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identified in connection with the evaluation required by Rule 13a-15(d) and 15d-15(d) of the Exchange Act, as amended, that occurred during the quarter ended June 30, 2026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Summary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Financial Position and Need for Additional Capital</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need to obtain additional funding to finance our operations and complete the development and commercialization of our products, which may result in further dilution to our investors, or require us to incur indebtedness, which could impair our liquidity position. If we do not receive substantial capital when needed, we may be forced to restrict our operations or delay, reduce or eliminate our product development programs.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 company.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principally a development-stage company with limited experience commercializing products. We have incurred significant losses since our inception. We anticipate that we will continue to incur losses for at least the next several years and may never generate profits from operations or maintain profitability if we do.</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Development and Commercialization of our Medical Products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device development and commercialization is a complex, time-consuming and expensive process. Our industry is fraught with risk and a high rate of failure.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can provide no assurance that our clinical product candidates, including our product candidates for the treatment of atrial fibrillation (“AF”), such as our nPulse Cardiac Clamp and our nPulse Cardiac Catheter, will obtain regulatory approval or that the results of clinical studies will be favorable.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had limited sales and marketing experience and can give no assurances that our devices will be adopted by surgeons or other physicians to treat any medical condition.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requirements may affect the scope and timeline of our trials and the potential market for our product candidates, including the possibility of significant delays to any product launch.</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Commercialization of our product candidates could be delayed or prevented if we experience any number of possible unforeseen events in connection with our clinical trials.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devices.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Industry and Market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substantial competition, which may result in others developing or commercializing competitive products before or more successfully than we do.</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compete against well-established incumbent technologies offering products in cardiology, oncology, and minimally invasive procedures. Many of these companies currently have greater financial, technical, research, and/or other resources than we do and have larger and more established manufacturing capabilities and marketing, sales, and support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pursue business development opportunities to expand or enhance our pipeline of potential products, including through potential acquisitions of and/or collaborations with other entities, which may not achieve intended results or could increase the number of our outstanding shares, result in a change of control or cause us to incur a material amount of indebtedness.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u w:val="single"/>
        </w:rPr>
      </w:pPr>
      <w:r>
        <w:rPr>
          <w:rFonts w:ascii="Times New Roman" w:hAnsi="Times New Roman"/>
          <w:b/>
          <w:sz w:val="20"/>
          <w:u w:val="single"/>
        </w:rPr>
        <w:t>Legal, Tax, Regulatory, and Compliance Risks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commercialize any of our product candidates is subject to substantial regulatory and legislative uncertainty, including as to pricing, reimbursement practices or other healthcare initiatives which could harm our business.</w:t>
            </w:r>
          </w:p>
        </w:tc>
      </w:tr>
    </w:tbl>
    <w:p>
      <w:pPr>
        <w:pStyle w:val="TextBody"/>
        <w:bidi w:val="0"/>
        <w:spacing w:before="0" w:after="0"/>
        <w:ind w:left="0" w:right="0" w:hanging="0"/>
        <w:jc w:val="both"/>
        <w:rPr/>
      </w:pPr>
      <w:r>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face costly legal claims such as litigation related to product liability or alleged intellectual property infringement.</w:t>
            </w:r>
          </w:p>
        </w:tc>
      </w:tr>
    </w:tbl>
    <w:p>
      <w:pPr>
        <w:pStyle w:val="TextBody"/>
        <w:bidi w:val="0"/>
        <w:spacing w:before="0" w:after="0"/>
        <w:ind w:left="0" w:right="0" w:hanging="0"/>
        <w:jc w:val="both"/>
        <w:rPr/>
      </w:pPr>
      <w:r>
        <w:rPr/>
        <w:t> </w:t>
      </w:r>
    </w:p>
    <w:tbl>
      <w:tblPr>
        <w:tblW w:w="8050" w:type="dxa"/>
        <w:jc w:val="left"/>
        <w:tblInd w:w="0" w:type="dxa"/>
        <w:tblLayout w:type="fixed"/>
        <w:tblCellMar>
          <w:top w:w="0" w:type="dxa"/>
          <w:left w:w="0" w:type="dxa"/>
          <w:bottom w:w="0" w:type="dxa"/>
          <w:right w:w="0" w:type="dxa"/>
        </w:tblCellMar>
      </w:tblPr>
      <w:tblGrid>
        <w:gridCol w:w="60"/>
        <w:gridCol w:w="170"/>
        <w:gridCol w:w="7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tariffs and changes at the U.S. FDA may adversely affect our operating costs and timelines.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u w:val="single"/>
        </w:rPr>
      </w:pPr>
      <w:r>
        <w:rPr>
          <w:rFonts w:ascii="Times New Roman" w:hAnsi="Times New Roman"/>
          <w:b/>
          <w:sz w:val="20"/>
          <w:u w:val="single"/>
        </w:rPr>
        <w:t>Risks Related to Our Intellectual Property, Cybersecurity and Data Privacy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rely upon patents to protect our technology. We may be unable to protect our intellectual property rights and we may be liable for infringing the intellectual property rights of others.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actual or perceived failure to comply with stringent and changing obligations related to data privacy and security or to any of our other legal compliance obligations could lead to regulatory investigations and actions, litigation, fines and penalties, disruptions to our business operations, reputational harm, loss of revenue and profits, and other adverse business impacts.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Corporate Governance and Employee Relations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success depends on our ability to retain our chief executive officers and other key executives and to attract, retain and motivate qualified personnel.</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Co-Chairman, Robert Duggan, owns approximately 70% of the voting power of the outstanding shares of our common stock and, as a result, investors may have limited ability to affect either the corporate governance of the Company or the taking of certain major decisions.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Substantial future sales of our shares of common stock in the public market, or the perception that these sales could occur, could cause the price of the shares to decline significantly, even if our business is doing well.</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prices of our shares of common stock may be volatile and fluctuate substantially, which could result in substantial losses for our stockholders.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Approximately 70% of our outstanding shares are owned by our Co-Chairman and his affiliates, which reduces liquidity of our stock. Historically, our trading volume on Nasdaq has been 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Because we have had a limited operating history and no significant revenue stream, it is difficult to evaluate the future of our business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novel ablation company with no significant revenue producing operations at present.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generated significant</w:t>
      </w:r>
      <w:r>
        <w:rPr>
          <w:rFonts w:ascii="Times New Roman" w:hAnsi="Times New Roman"/>
          <w:caps w:val="false"/>
          <w:smallCaps w:val="false"/>
          <w:sz w:val="20"/>
        </w:rPr>
        <w:t> </w:t>
      </w:r>
      <w:r>
        <w:rPr>
          <w:rFonts w:ascii="Times New Roman" w:hAnsi="Times New Roman"/>
          <w:b/>
          <w:i/>
          <w:caps w:val="false"/>
          <w:smallCaps w:val="false"/>
          <w:sz w:val="20"/>
        </w:rPr>
        <w:t>revenue, and we may never become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selling,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We can give no assurances that any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would likely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financial position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expect to continue to incur operating losses for the next several years as we implement our business plan. Currently, we have limited revenue from operations and we do not have arrangements in place for all the anticipated financing that will likely be required to fully implement our business plan. Our prior losses, combined with expected future losses, have had, and will continue to have, for the foreseeable future, an adverse effect on our stockholders’ equity and working capital.</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any such funds will be available on commercially reasonable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elect to work with a partner on one or more of our products or market development programs, which could lower the economic value of those programs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Our revenue</w:t>
      </w:r>
      <w:r>
        <w:rPr>
          <w:rFonts w:ascii="Times New Roman" w:hAnsi="Times New Roman"/>
          <w:caps w:val="false"/>
          <w:smallCaps w:val="false"/>
          <w:sz w:val="20"/>
        </w:rPr>
        <w:t> </w:t>
      </w:r>
      <w:r>
        <w:rPr>
          <w:rFonts w:ascii="Times New Roman" w:hAnsi="Times New Roman"/>
          <w:b/>
          <w:i/>
          <w:caps w:val="false"/>
          <w:smallCaps w:val="false"/>
          <w:sz w:val="20"/>
        </w:rPr>
        <w:t>and future profitability are entirely dependent upon one family of products, the nPulse</w:t>
      </w:r>
      <w:r>
        <w:rPr>
          <w:rFonts w:ascii="Times New Roman" w:hAnsi="Times New Roman"/>
          <w:caps w:val="false"/>
          <w:smallCaps w:val="false"/>
          <w:sz w:val="20"/>
        </w:rPr>
        <w:t> </w:t>
      </w:r>
      <w:r>
        <w:rPr>
          <w:rFonts w:ascii="Times New Roman" w:hAnsi="Times New Roman"/>
          <w:b/>
          <w:i/>
          <w:caps w:val="false"/>
          <w:smallCaps w:val="false"/>
          <w:sz w:val="20"/>
        </w:rPr>
        <w:t>System, and one platform technology, Nano-pulse Stimulation.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nPulse System, which consists of a console, connectors and end-effectors, and these products and all our potential products under development are based upon the same patented platform technology, Nano-pulse Stimulation (“NPS”). Our future revenue is therefore dependent on the success of this platform technology and our single family of products under development, all of which reply on NPS energy for therapeutic effect.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2025 we began marketing the Vybrance Percutaneous Electrode System primarily to Otolaryngologists, Endocrine Surgeons, and Interventional Radiologists (“surgeons”) who have so far been slow to adopt our Vybrance System potentially for a variety of reasons, such as:</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experience with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adequate reimbursement of patient costs or lack of evidence showing that procedures using our devices are reimbursable by third party payers;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conviction regarding evidence supporting cost benefits or cost effectiveness of our products over existing alternatives;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clinical data showing longer-term patient benefits; and</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perceived liability risks generally associated with the use of new products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our products, including our platform NPS technology, could be rendered obsolete or economically impractical by numerous factors, many of which are beyond our control,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entrance of new competitors into our markets;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technological advancements of alternative technologies;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key relationships with suppliers, group purchasing organizations, or end-user customers;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70"/>
        <w:gridCol w:w="3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or supply interruptions;</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170"/>
        <w:gridCol w:w="1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liability claims;</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tariffs;</w:t>
            </w:r>
          </w:p>
        </w:tc>
      </w:tr>
    </w:tbl>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and product market acceptance;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existing regulatory approvals or the imposition of new requirements to maintain such approvals or to receive new approvals; and</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70"/>
        <w:gridCol w:w="2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recalls or safety alerts.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fail to meet our publicly announced guidance or other expectations about our business and future operating results,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anticipated future performance. However, the Company’s business results may vary significantly from any such guidance or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Our operating results may fluctuate significantly, which makes our future operating results difficult to predict and could cause our operating results to fall below expectations; our product</w:t>
      </w:r>
      <w:r>
        <w:rPr>
          <w:rFonts w:ascii="Times New Roman" w:hAnsi="Times New Roman"/>
          <w:caps w:val="false"/>
          <w:smallCaps w:val="false"/>
          <w:sz w:val="20"/>
        </w:rPr>
        <w:t> </w:t>
      </w:r>
      <w:r>
        <w:rPr>
          <w:rFonts w:ascii="Times New Roman" w:hAnsi="Times New Roman"/>
          <w:b/>
          <w:i/>
          <w:caps w:val="false"/>
          <w:smallCaps w:val="false"/>
          <w:sz w:val="20"/>
        </w:rPr>
        <w:t>revenues are limited and our profit margins are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quarterly and annual operating results, including future revenue and profit margins, may fluctuate significantly, which makes it difficult for us to predict our future operating results. These fluctuations may occur due to a variety of factors, many of which are outside of our control and may be difficult to predict,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cost of, and level of investment in, research, development, and commercialization activities relating to our products and product candidates, which may change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60"/>
        <w:gridCol w:w="170"/>
        <w:gridCol w:w="8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receipt of approvals or clearances for our product candidates from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170"/>
        <w:gridCol w:w="4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status of enrollment for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coverage and reimbursement policies with respect to our product and product candidates, including the degree to which procedures using our products are covered and receive adequate reimbursement from third-party payors;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manufacturing our products, as well as building out our supply chain, which may vary depending on the quantity of production and which will vary significantly depending upon the terms of our agreements with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that we may incur to acquire, develop or commercialize additional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demand for our products and any product candidates, if approved or cleared, which may vary significantly over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including patent, employment, securities class action, stockholder derivative, general commercial, and other lawsuits;</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accounting pronouncements or changes in our accounting policies;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success or failure of nonclinical studies and clinical trials for our product candidates or competing product candidates, or any other change in the competitive landscape of our industry, including consolidation among our competitors or partners.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we may face pricing pressure that could reduce our revenues and margins, failure to achieve expected procedure volumes could adversely affect our revenue growth and gross margins, and our limited commercial history makes it difficult to forecast revenue growth. The cumulative effects of these factors could result in large fluctuations and unpredictability in our quarterly and annual operating results. As a result, comparing our operating results on a period-to-period basis may not be meaningful. Investors should not rely on our limited past results as an indication of our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Because we operate in highly competitive markets, we can expect to face competition from large</w:t>
      </w:r>
      <w:r>
        <w:rPr>
          <w:rFonts w:ascii="Times New Roman" w:hAnsi="Times New Roman"/>
          <w:caps w:val="false"/>
          <w:smallCaps w:val="false"/>
          <w:sz w:val="20"/>
        </w:rPr>
        <w:t> </w:t>
      </w:r>
      <w:r>
        <w:rPr>
          <w:rFonts w:ascii="Times New Roman" w:hAnsi="Times New Roman"/>
          <w:b/>
          <w:i/>
          <w:caps w:val="false"/>
          <w:smallCaps w:val="false"/>
          <w:sz w:val="20"/>
        </w:rPr>
        <w:t>well-established manufacturers of medical technologies, devices and similar products; we may not be able to compete effectively against companies with significantly more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several sources, such as pharmaceutical companies, medical device companies, generic drug companies, biotechnology companies, and academic and research institutions. Notably, all our medical products and products under development are for applications that are constantly under pressure from intense competition from rapidly evolving companies and new scientific discoveries. We compete against well-established incumbent medical device companies that already offer a wide range of commercial products to cardiac surgeons, cardiologists, electrophysiologists, oncologists, interventional radiologists, and others, including products for minimally invasive procedures. For example, Abbott Laboratories, AtriCure, Inc., Boston Scientific Corporation, Johnson &amp; Johnson (Biosense Webster), Medtronic plc, and several other companies all sell ablation-based surgical, minimally invasive, and catheter-based medical devices for the treatment of heart arrhythmias, including AF, as well as products for soft tissue ablation, which could be used to surgically ablate benign thyroid nodules. Additionally, many of these companies are also actively developing or already have microsecond PFA (micro-PFA) products for the treatment of AF. All of these companies currently have greater financial, technical, research, and/or other resources than we do and have larger and more established manufacturing capabilities and marketing, sales, and support functions, as well as broader and deeper customer relationships.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find ourselves in competition with one or more of these companies, all of which may have competitive advantages over us, such as:</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significantly greater name recognition;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relationships with healthcare professionals, customers, and third-party payers;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competitive products with greater efficacy or better safety profiles;</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distribution networks;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lines of products and the ability to offer rebates, higher discounts, or incentives to gain a competitive advantage;</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70"/>
        <w:gridCol w:w="7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greater experience in obtaining patents and regulatory approvals for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greater experience conducting new product research and development, manufacturing medical devices, conducting clinical trials, obtaining regulatory approval for products, and marketing approved products; and</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greater financial and human resources for product development, sales and marketing.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the market for the treatment of benign thyroid nodules is characterized by competition from established surgical procedures and minimally invasive thermal therapies. We compete primarily against the traditional surgical standard of care, including thyroid lobectomy and total thyroidectomy, as well as providers of thermal ablation technologies, most notably radiofrequency ablation (“RFA”) and microwave ablation (“MWA”). For example, thermal ablation companies such as STARMED (a subsidiary of TaeWoong Medical), Cambridge Medical, and Merit Medical Systems, Inc. all market RFA systems specifically designed for the treatment of thyroid nodules. These companies have longer histories in the market than we do, providing them with more established clinical track records, larger installed bases of equipment, and more mature sales and support functions. We will find ourselves in competition with the existing surgical standard of care as well as these companies, which may have competitive advantages over us,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status of thyroidectomy and lobectomy as the standard of care with proven clinical outcomes and physician familiarity;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370" w:type="dxa"/>
        <w:jc w:val="left"/>
        <w:tblInd w:w="0" w:type="dxa"/>
        <w:tblLayout w:type="fixed"/>
        <w:tblCellMar>
          <w:top w:w="0" w:type="dxa"/>
          <w:left w:w="0" w:type="dxa"/>
          <w:bottom w:w="0" w:type="dxa"/>
          <w:right w:w="0" w:type="dxa"/>
        </w:tblCellMar>
      </w:tblPr>
      <w:tblGrid>
        <w:gridCol w:w="60"/>
        <w:gridCol w:w="170"/>
        <w:gridCol w:w="9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more established clinical adoption within the endocrinology, otolaryngology, and general surgery communities;</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referral patterns with surgeons, specialized thyroid clinics, and hospitals;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extensive long-term clinical data and longitudinal studies supporting the efficacy and safety of surgical and thermal interventions; and</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established reimbursement pathways for surgical procedures and thermal ablation.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future success in this market will depend on our ability to differentiate our nPulse technology from these incumbent treatments. Until recently, surgery was the primary option for symptomatic benign thyroid nodules, but the adoption of thermal modalities like RFA has begun to change the landscape. However, thermal ablation relies on heat to destroy tissue, which presents inherent risks of collateral damage to critical structures near the thyroid, such as the recurrent laryngeal nerve, trachea, esophagus, and the carotid artery. We seek to establish nPulse technology as a competitive alternative to both surgical intervention and thermal ablation. While our clinical data suggests that our minimally invasive nonthermal solution should eliminate the need for surgical or thermal interventions for many patients, research and development by others may render our technology obsolete or lead to the development of other minimally-invasive therapies that are superior to our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until recently the standard of care in cardiac tissue ablation for the treatment of AF had been the use of thermal ablation modalities, primarily the use of radiofrequency ablation. But in the span of just a few years, Boston Scientific’s FARAPULSE cardiac catheter system, Medtronic’s Pulse Select system, and other PFA systems using micro-PFA technology have dramatically changed the competitive landscape for the endocardial treatment of AF. These micro-PFA devices already account for over half of all EP procedures in the United States, and the speed of technological development in electrophysiology has been remarkable. While we will seek to expand our technological capabilities to remain competitive, and even though our clinical data suggests that nsPFA should have competitive advantages over micro-PFA technologies, such as deeper and more efficient ablations, research and development by others may render our technology or product candidates obsolete or noncompetitive or result in treatments or cures superior to any therapy developed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rely on third parties for our sales, marketing, manufacturing, and/or distribution activities, and these third parties may not perform satisfactorily.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however. If we are unable to establish and maintain adequate sales, marketing, manufacturing, and distribution capabilities, independently or with others, we will not be able to generate product revenue and may not become profitable.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Paul LaViolette, our Chief Financial Officer, Jon Skinner, our Chief Operating Officer, Liane Teplitsky,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any key employee, the failure of any key employee to perform in their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commercialization efforts, business growth prospects, results of operations, and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successfully commercialize our NPS products. Given the scarcity of professionals with the scientific knowledge we require and the intense competition that exists for qualified personnel among life science businesses, we may not succeed in attracting or retaining the personnel we require to continue or grow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had limited experience selling the nPulse</w:t>
      </w:r>
      <w:r>
        <w:rPr>
          <w:rFonts w:ascii="Times New Roman" w:hAnsi="Times New Roman"/>
          <w:caps w:val="false"/>
          <w:smallCaps w:val="false"/>
          <w:sz w:val="20"/>
        </w:rPr>
        <w:t> </w:t>
      </w:r>
      <w:r>
        <w:rPr>
          <w:rFonts w:ascii="Times New Roman" w:hAnsi="Times New Roman"/>
          <w:b/>
          <w:i/>
          <w:caps w:val="false"/>
          <w:smallCaps w:val="false"/>
          <w:sz w:val="20"/>
        </w:rPr>
        <w:t>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nPulse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June 30, 2026, we had no international sales force and very few employees in the Unites States with sales and marketing experience. We have only just recently begun to market and sell our Vybrance Percutaneous Electrode System. We therefore have had limited experience marketing and selling the nPulse System and our revenue and cash flows have been limited, volatile and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few in number, we expect our direct sales representatives to develop long-lasting relationships with the surgeons they serve. Furthermore, the use of our NPS products will often require or benefit from direct support from us. Our future success will depend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slowly to become profitable. In addition, our future sales will depend on our ability to increase our marketing efforts and adequately address our customers’ needs. If we are unable to adequately address our customers’ needs,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Rapidly changing technology in life sciences could make the products we are developing obsolete.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their intended markets. Our inability to gain market acceptance of new products could harm our future operating results.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manage the anticipated growth of our business, our future revenue and operating results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Recent and future growth imposes significant added responsibilities on management, including the need to identify, recruit, train, and integrate additional employees. Rapid expansion of our workforce could result in less experienced people carrying out important activities at our Company,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must successfully educate and train surgeons and their staff on the proper use of the nPulse System; if our customers do not adopt our technology into their medical practices, or adopt our technology slower than expected, our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Although many surgeons may have adequate knowledge on how to use our novel nPulse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our strategy includes educating key opinion leaders in the industry. If these key opinion leaders determine that alternative technologies are more effective or that the benefits offered by our products are not sufficient to justify their cost, or if we encounter difficulty promoting adoption or establishing these systems as a standard of care, our ability to achieve market acceptance of the products we introduce could be significantly limited and our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components needed to manufacture the nPulse System and related applicators. Any problems experienced by these suppliers could result in a delay or interruption of their supply to us and, as a result, we may face delays in the development and commercialization 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nPulse System and for our products under development. We perform final assembly of our nPulse Console and other devices at our facility in California. The manufacture of the nPulse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their own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nPulse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 therefore this is an important factor in the overall commercialization plans of any proposed product and whether it will be accepted for use in the marketplace. Without insurance coverage and reimbursement for our planned products, we would expect to earn only limited revenue, if any revenue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nPulse Vybrance Percutaneous Electrode System or any of our other products or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nPulse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nPulse Vybrance Percutaneous Electrode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Product Development and Product-Related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Our nPulse</w:t>
      </w:r>
      <w:r>
        <w:rPr>
          <w:rFonts w:ascii="Times New Roman" w:hAnsi="Times New Roman"/>
          <w:caps w:val="false"/>
          <w:smallCaps w:val="false"/>
          <w:sz w:val="20"/>
        </w:rPr>
        <w:t> </w:t>
      </w:r>
      <w:r>
        <w:rPr>
          <w:rFonts w:ascii="Times New Roman" w:hAnsi="Times New Roman"/>
          <w:b/>
          <w:i/>
          <w:caps w:val="false"/>
          <w:smallCaps w:val="false"/>
          <w:sz w:val="20"/>
        </w:rPr>
        <w:t>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nPulse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nPulse System,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forced to recall such product and suspend the marketing of such product;</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their approvals of such product;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additional warnings on the label and/or narrow the indication of use for the product which could diminish the usage or otherwise limit the commercial success of such product;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may issue safety alerts, “Dear Healthcare Provider” letters, press releases, or other communications containing warnings about such product;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FDA may restrict distribution of our product and impose burdensome implementation requirements on us;</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the product is administered or conduct additional clinical trials;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harm caused to subjects or patients; and</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could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nPulse System or of any future particular planned product,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limited clinical experience treating AF with our nPulse Cardiac Catheter and our nPulse Cardiac Surgery Clamp and only limited clinical and commercial experience treating benign thyroid nodules with our Vybrance Percutaneous Electrode System; our past successes in dermatology may not translate into similar results in cardiology or in any other medical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Our long-term growth depends on our ability to develop marketable products to treat AF, tumors and nodules</w:t>
      </w:r>
      <w:r>
        <w:rPr>
          <w:rFonts w:ascii="Times New Roman" w:hAnsi="Times New Roman"/>
          <w:caps w:val="false"/>
          <w:smallCaps w:val="false"/>
          <w:sz w:val="20"/>
        </w:rPr>
        <w:t> </w:t>
      </w:r>
      <w:r>
        <w:rPr>
          <w:rFonts w:ascii="Times New Roman" w:hAnsi="Times New Roman"/>
          <w:b/>
          <w:i/>
          <w:caps w:val="false"/>
          <w:smallCaps w:val="false"/>
          <w:sz w:val="20"/>
        </w:rPr>
        <w:t>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products, potential products or technologies to third parties, possibly on terms that cannot sustain our current business, or curtail, suspend or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Interim</w:t>
      </w:r>
      <w:r>
        <w:rPr>
          <w:rFonts w:ascii="Times New Roman" w:hAnsi="Times New Roman"/>
          <w:caps w:val="false"/>
          <w:smallCaps w:val="false"/>
          <w:sz w:val="20"/>
        </w:rPr>
        <w:t> “</w:t>
      </w:r>
      <w:r>
        <w:rPr>
          <w:rFonts w:ascii="Times New Roman" w:hAnsi="Times New Roman"/>
          <w:b/>
          <w:i/>
          <w:caps w:val="false"/>
          <w:smallCaps w:val="false"/>
          <w:sz w:val="20"/>
        </w:rPr>
        <w:t>top-line</w:t>
      </w:r>
      <w:r>
        <w:rPr>
          <w:rFonts w:ascii="Times New Roman" w:hAnsi="Times New Roman"/>
          <w:caps w:val="false"/>
          <w:smallCaps w:val="false"/>
          <w:sz w:val="20"/>
        </w:rPr>
        <w:t>”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our first-in-human cardiac clamp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If we fail to maintain necessary regulatory clearance for our products, or if clearances or approvals for future devices and indications are delayed or not issued, the commercial prospects for our nPulse</w:t>
      </w:r>
      <w:r>
        <w:rPr>
          <w:rFonts w:ascii="Times New Roman" w:hAnsi="Times New Roman"/>
          <w:caps w:val="false"/>
          <w:smallCaps w:val="false"/>
          <w:sz w:val="20"/>
        </w:rPr>
        <w:t> </w:t>
      </w:r>
      <w:r>
        <w:rPr>
          <w:rFonts w:ascii="Times New Roman" w:hAnsi="Times New Roman"/>
          <w:b/>
          <w:i/>
          <w:caps w:val="false"/>
          <w:smallCaps w:val="false"/>
          <w:sz w:val="20"/>
        </w:rPr>
        <w:t>System and other NPS technologies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device design, development and manufacture;</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preclinical and clinical testing, labeling, packaging, and storage;</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premarketing clearance or approval;</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record keeping;</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device marketing, promotion and advertising, sales and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70"/>
        <w:gridCol w:w="9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surveillance, including reporting of deaths and serious injuries and recalls and correction and removals.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 warning letters, fines, injunctions, consent decrees, and civil penalties;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to repair, replace, refund, or recall our marketed devices, or government seizure of them;</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restrictions, partial suspension, or total shutdown of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refusing our requests for 510(k) clearance or premarket approval of new devices, new intended uses or modifications to existing devices;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withdrawing 510(k) clearance or premarket approvals that have already been granted; and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criminal prosecution.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our NPS technology platform has not been fully determined or validated.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Laboratory conditions differ from commercial conditions and field conditions, and the safety and effectiveness of our product candidates may depend on the technique of the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Observations and developments that may be achievable under laboratory circumstances may not be replicable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Moreover,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nPulse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safety and effectiveness of nsPFA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Risks Related to Intellectual Property, Cybersecurity,</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Data Privacy, &amp;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nPulse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be able to make products that are similar to our product candidates but that are not covered by the claims of the patents that we own or have exclusively licensed;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independently develop similar or alternative technologies without infringing on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 patents that we own or have exclusively licensed may not provide us with any competitive advantages, or may be held invalid or unenforceable, as a result of legal challenges by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develop additional proprietary technologies that are patentable;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may have an adverse effect on our business, for example by preventing us from marketing one or more of our product candidates for one or more indications.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intellectual property used in our products, others may be able to copy our innovations which may impair our ability to compete effectively in our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or destruction of sensitive, and/or proprietary data, including health-related and other personal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 and the risks appear to be worsening quickly as advances in artificial intelligence, such as Anthropic’s Claude Mythos, are quickly obsoleting certain protections previously available to us. Cyber threats are constantly evolving, are becoming more sophisticated and are being made by groups and individuals with a wide range of expertise and motives, and this increases the difficulty of detecting and successfully defending against them.</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such as by allowing most of our employees to work remotely, on a full-time basis or from time to time, which increases the risk of data breaches. Additionally, the prevalent use of mobile devices that access our sensitive data increases the risk of data breaches. The techniques used by criminal elements to attack computer systems are sophisticated, change frequently and may originate from less regulated and remote areas of the world, including countries that engage in state-sponsored cyber attacks. As a result, we may not be able to address these techniques proactively or implement adequate preventative measures.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Implementation of artificial intelligence and machine learning technologies may result in legal and regulatory risks, reputational harm, or other adverse consequences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incorporated, and continue to explore ways to further incorporate, artificial intelligence (“AI”) technologies, including generative AI and machine learning, into certain of our internal operations. AI tools are complex and rapidly evolving and may prove flawed, incomplete, biased, or inaccurate in their outputs, which could adversely affect business decisions, expose us to legal claims, and harm our reputation; additionally, employees using AI tools could inadvertently disclose Company confidential information or trade secrets. Also, as a small company with limited resources, we may be unable to access or deploy the most advanced AI tools available, potentially placing us at a competitive disadvantage relative to better-resourced competitors. Moreover, the regulatory landscape governing AI use is subject to rapid and ongoing change, and this risk is particularly acute for us as a medical device company operating in the healthcare industry, where AI regulation is developing especially quickly — including through the EU AI Act, emerging U.S. state AI laws, executive orders imposing transparency requirements on AI used in certified health information technology, and evolving FDA guidance. Our limited resources may make it especially difficult to monitor and achieve timely compliance with new or evolving obligations, and failure to do so could subject us to enforcement actions, fines,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products or any future products that we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products and the future sale of planned products and the use of these in human clinical studies. For example, we may be sued if our products or any of our product candidates, including any that are developed in combination therapies,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products or planned products caused injuries, we may incur substantial liabilities. Regardless of merit or eventual outcome, liability claims may result in, among other things:</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our product or any planned products that we may develop;</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 and significant negative media attention;</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patients from our clinical studies or cancellation of studies;</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costs to defend the related litigation and distraction to our management team;</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patients;</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revenue;</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investigations or enforcement actions; and</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60"/>
        <w:gridCol w:w="170"/>
        <w:gridCol w:w="5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commercialize any future products that we may develop.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nPulse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if we do not believe that an adverse event is related to our products,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nPulse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take a significant indeterminate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the expenditure of substantial resources;</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involve rigorous preclinical and clinical testing, and possibly post-market surveillance;</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involve modifications, repairs or replacements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design changes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result in limitations on the indicated uses of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result in our never being granted the regulatory approval or clearance we seek.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nPulse System. In addition, negative publicity and product liability claims resulting from any adverse regulatory action could have a material adverse effect on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Changes in healthcare policy could increase our costs, decrease our revenue, and impact sales of, and reimbursement for, our current and future products. For example, the Affordable Care Act substantially changed the way healthcare is financed by both governmental and private insurers, and significantly impacted our industry, while recent changes in U.S. federal law and policy, including the expiration of enhanced Affordable Care Act subsidies and reductions in Medicaid funding, as well as Congressional deadlock over healthcare funding, have increased the likelihood that fewer patients in the United States will be insured and that insured patients will face higher out-of-pocket costs, which could result in downward pressure on prices for medical products such as ours.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such as those that occurred in October and November 2025,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given changes to the U.S. government's policies and priorities since January 2025, there is substantial uncertainty as to how, if at all, the current administration will seek to modify or revise the requirements and policies of the FDA and other regulatory agencies with jurisdiction over our product candidates. There is also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federal funding of medical research could have substantial indirect impacts on our research activities.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anti-bribery, anti-corruption, and anti-money laundering laws, including the U.S. Foreign Corrupt Practices Act of 1977, or FCPA, and the U.K. Anti-Bribery Act, and similar anti-bribery laws in other non-U.S. jurisdictions, as well as export control laws, customs laws, sanctions laws and other laws governing our operations, all of which expose us to trade and economic sanctions and other restrictions imposed by the United States, the European Union, and other governments and organizations, as we grow our international presence and global operations; additionally, the FCPA imposes accounting standards and requirements on publicly traded U.S. corporations and their foreign affiliates, which are intended to prevent the diversion of corporate funds to the payment of bribes and other improper payments, and numerous other laws restrict, and in some cases prohibit, U.S. companies from directly or indirectly selling goods, technology or services to people or entities in certain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California Consumer Privacy Act (“CCPA”) and California Privacy Rights Act (“CPRA”), which require covered companies, such as companies with over $25 million in annual gross revenue, to, among other things, provide certain disclosures to California consumers and afford such consumers certain abilities to opt-out of certain sales of personal information, conduct and document data protection assessments for high-risk processing, maintain systems to respond to consumer requests, and provide detailed privacy notices explaining data collection, use, retention, and disclosure practices;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federal consumer protection and unfair competition laws, which broadly regulate marketplace activities and activities that potentially harm consumers;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Also, any material changes to any of the laws or regulations applicable to our business could harm our business, financial condition and results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bidi w:val="0"/>
        <w:spacing w:before="0" w:after="0"/>
        <w:ind w:left="0" w:right="0" w:hanging="0"/>
        <w:jc w:val="left"/>
        <w:rPr/>
      </w:pPr>
      <w:r>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not deem a technology or device to be reasonably safe or effective for any intended use or indication;</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interpret data from preclinical and clinical testing differently than we do;</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determine our manufacturing facility or processes do not comply with quality system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conclude that our products do not meet quality standards for durability, long-term reliability, biocompatibility, electromagnetic compatibility, or electrical safety; or</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change their approval or clearance policies or adopt new regulations in a manner that is adverse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nPulse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 that we seek in respect of the proposed product, and we will not be able to become profitable and provide an investment return to our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results of clinical trials of our planned products or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actions by regulatory bodies, such as the FDA, that affect our business or have the effect of delaying or rejecting approval or clearance of our planned products;</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fluctuations in our financial condition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our customers, partners or suppliers relating directly or indirectly to our products, services or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70"/>
        <w:gridCol w:w="7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or regulations applicable to the nPulse System or to our planned end-effectors;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us or our competitors of significant acquisitions, strategic partnerships, joint ventures, capital commitments, or achievement of significant milestones;</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existing products or new products that may emerge;</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the valuation of companies perceived by investors to be comparable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disputes or other developments related to proprietary rights, including patents, litigation matters or our ability to obtain intellectual property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230"/>
        <w:gridCol w:w="28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alleged security breaches;</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or expectations of additional financing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60"/>
        <w:gridCol w:w="170"/>
        <w:gridCol w:w="4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and volume fluctuations attributable to inconsistent trading volume levels of our shares;</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reports, guidance and ratings issued by securities or industry analysts;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overall conditions in our industry and market, including the negative impact of armed conflicts, health epidemics and climate change on the global economy and markets; and</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and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All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Co-Chairman of our Board, who beneficially owns approximately 70% of our common stock outstanding as of June 30, 2026. As a result, Mr. Duggan has control over corporate actions requiring stockholder approval, including the following actions: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or defeat the election of our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amend or prevent amendment of our certificate of incorporation or bylaws;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effect or prevent a merger, sale of assets or other corporate transaction; and</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control the outcome of any other matter submitted to our stockholders for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could be viewed unfavorably by minority stockholders, thereby hurting our stock price. For example, in November 2021, we engaged outside legal counsel to represent the Company even though the same legal counsel currently represents Mr. Duggan personally in other matters. In prior years, this legal counsel represented Mr. Duggan in certain related party transactions with the Company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is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Co-Chairman, and he beneficially owns approximately 70% of our common stock outstanding as of June 30, 2026.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that any action to be taken by our stockholders be effected at a duly called annual or special meeting and not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an advance notice procedure for stockholder approvals to be brought before an annual meeting of our stockholders, including proposed nominations of persons for election to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give our board of directors the ability to amend our bylaws by majority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armed conflicts, health epidemics and climate change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global financial markets and economy may also be adversely affected by the current or anticipated impact of military conflict, such as the ongoing Russian-Ukrainian war, the war on terrorism, and intensifying hostilities in the Middle East, as well as other geopolitical events. Sanctions imposed by the United States and other countries in response to such conflicts, including the Russian-Ukrainian war, as well as intensifying trade disruptions resulting from the armed conflict between the United States and Iran, may also adversely impact the financial markets and the global economy, and any economic countermeasures by the affected countries or others could exacerbate market and economic instability.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Recently, the U.S. government has been changing its approach to international trade policy and in some cases it has been renegotiating or terminating certain existing bilateral or multi-lateral trade agreements and treaties with foreign countries. In addition, the U.S. government has initiated or is considering imposing tariffs on certain foreign goods. Related to this action, certain foreign governments have instituted or are considering imposing tariffs on certain U.S. goods. It remains unclear what the U.S. government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the interpretations, estimates or judgments we use to prepare our financial statements prove to be incorrect, investors and others may lose confidence in our financial data,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facilities in California are located near known earthquake faults, and the occurrence of an earthquake or other catastrophic disaster could cause damage to our facilities and equipment, which could require us to cease or curtail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we completed no unregistered sale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default"/>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Default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item5"/>
      <w:bookmarkEnd w:id="19"/>
      <w:r>
        <w:rPr>
          <w:rFonts w:ascii="Times New Roman" w:hAnsi="Times New Roman"/>
          <w:b/>
          <w:caps w:val="false"/>
          <w:smallCaps w:val="false"/>
          <w:sz w:val="20"/>
        </w:rPr>
        <w:t>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none</w:t>
      </w:r>
      <w:r>
        <w:rPr>
          <w:rFonts w:ascii="Times New Roman" w:hAnsi="Times New Roman"/>
          <w:caps w:val="false"/>
          <w:smallCaps w:val="false"/>
          <w:sz w:val="20"/>
        </w:rPr>
        <w:t xml:space="preserv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adopted or terminated a “Rule 10b5-1 trading arrangement” or a “non-Rule 10b5-1 trading arrangement” 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further discussed in Note 8 “Segment Reporting” of the Company’s footnotes to our condensed consolidated financial statements, included elsewhere in this Quarterly Report on Form 10-Q, the Company recast prior period significant expenses to conform with current period presentation. Previously facilities and IT costs were included within general and administration expenses. Beginning April 1, 2026, facilities and IT costs are allocated across the significant expense categories based on the methodology used within our GAAP income statement presentation. The recast of prior period information had no impact on the Company's condensed consolidated balance sheets, statements of operations, or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information is intended to assist investors in making comparisons of the Company’s historical financial information with future financial information. The reported financial information below has been reclassified to conform to the current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tables below summarizes the reclassified presentation of the Company’s segment reporting:</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3380"/>
        <w:gridCol w:w="60"/>
        <w:gridCol w:w="125"/>
        <w:gridCol w:w="650"/>
        <w:gridCol w:w="80"/>
        <w:gridCol w:w="60"/>
        <w:gridCol w:w="125"/>
        <w:gridCol w:w="650"/>
        <w:gridCol w:w="8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cost of product revenue1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 platform research and engineering2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3,950</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 manufacturing and engineering3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regulatory4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Other segment items7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210" w:type="dxa"/>
        <w:jc w:val="left"/>
        <w:tblInd w:w="0" w:type="dxa"/>
        <w:tblLayout w:type="fixed"/>
        <w:tblCellMar>
          <w:top w:w="0" w:type="dxa"/>
          <w:left w:w="0" w:type="dxa"/>
          <w:bottom w:w="0" w:type="dxa"/>
          <w:right w:w="0" w:type="dxa"/>
        </w:tblCellMar>
      </w:tblPr>
      <w:tblGrid>
        <w:gridCol w:w="3380"/>
        <w:gridCol w:w="60"/>
        <w:gridCol w:w="125"/>
        <w:gridCol w:w="650"/>
        <w:gridCol w:w="80"/>
        <w:gridCol w:w="60"/>
        <w:gridCol w:w="125"/>
        <w:gridCol w:w="650"/>
        <w:gridCol w:w="8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 Ended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cost of product revenue1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 platform research and engineering2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15,644</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 manufacturing and engineering3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5,492</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regulatory4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12,187</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Other segment items7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14,764</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(72,781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(53,585</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1.</w:t>
      </w:r>
      <w:r>
        <w:rPr>
          <w:rFonts w:ascii="Times New Roman" w:hAnsi="Times New Roman"/>
          <w:caps w:val="false"/>
          <w:smallCaps w:val="false"/>
          <w:sz w:val="20"/>
        </w:rPr>
        <w:t> Adjusted cost of product revenue includes material costs, cash compensation costs, fees paid to consultants and outside service providers and organizations, and other expenses relating to manufacturing the Company’s commercial products. It does not include stock-based compensation, depreciation, amortization — see descriptions of Other segment items in footnote 7 below.</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2. </w:t>
      </w:r>
      <w:r>
        <w:rPr>
          <w:rFonts w:ascii="Times New Roman" w:hAnsi="Times New Roman"/>
          <w:caps w:val="false"/>
          <w:smallCaps w:val="false"/>
          <w:sz w:val="20"/>
        </w:rPr>
        <w:t>Cross platform research and engineering includes compensation costs, fees paid to consultants and outside service providers and organizations, prototype spending and other expenses relating to the acquisition, design and development of the Company’s clinical stage devices.</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3.</w:t>
      </w:r>
      <w:r>
        <w:rPr>
          <w:rFonts w:ascii="Times New Roman" w:hAnsi="Times New Roman"/>
          <w:caps w:val="false"/>
          <w:smallCaps w:val="false"/>
          <w:sz w:val="20"/>
        </w:rPr>
        <w:t> R&amp;D manufacturing and engineering includes compensation costs, fees paid to consultants and outside service providers and organizations, and costs associated with the procurement of materials and the manufacturing of the Company’s clinical stage devices.</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4.</w:t>
      </w:r>
      <w:r>
        <w:rPr>
          <w:rFonts w:ascii="Times New Roman" w:hAnsi="Times New Roman"/>
          <w:caps w:val="false"/>
          <w:smallCaps w:val="false"/>
          <w:sz w:val="20"/>
        </w:rPr>
        <w:t> Clinical and regulatory includes compensation costs, fees paid to consultants and outside service providers and organizations, and costs associated with clinical trials and regulatory approvals required for the development of the Company’s clinical stage devices.</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5.</w:t>
      </w:r>
      <w:r>
        <w:rPr>
          <w:rFonts w:ascii="Times New Roman" w:hAnsi="Times New Roman"/>
          <w:caps w:val="false"/>
          <w:smallCaps w:val="false"/>
          <w:sz w:val="20"/>
        </w:rPr>
        <w:t> General and administrative includes compensation costs and fees paid to consultants and outside service providers and organizations in support of the administrative functions of the Company, including finance, legal, and human resources.</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6.</w:t>
      </w:r>
      <w:r>
        <w:rPr>
          <w:rFonts w:ascii="Times New Roman" w:hAnsi="Times New Roman"/>
          <w:caps w:val="false"/>
          <w:smallCaps w:val="false"/>
          <w:sz w:val="20"/>
        </w:rPr>
        <w:t> Sales and marketing includes compensation costs, fees paid to consultants and outside service providers and organizations, costs associated with marketing and sales strategy as well as execution of marketing and sales initiatives for the Company's products.</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7. </w:t>
      </w:r>
      <w:r>
        <w:rPr>
          <w:rFonts w:ascii="Times New Roman" w:hAnsi="Times New Roman"/>
          <w:caps w:val="false"/>
          <w:smallCaps w:val="false"/>
          <w:sz w:val="20"/>
        </w:rPr>
        <w:t>Other segment items includes stock-based compensation,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2"/>
        <w:gridCol w:w="60"/>
        <w:gridCol w:w="9403"/>
      </w:tblGrid>
      <w:tr>
        <w:trPr/>
        <w:tc>
          <w:tcPr>
            <w:tcW w:w="742"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 xml:space="preserve">Exhibit </w:t>
            </w:r>
            <w:r>
              <w:rPr>
                <w:rFonts w:ascii="Times New Roman" w:hAnsi="Times New Roman"/>
                <w:caps w:val="false"/>
                <w:smallCaps w:val="false"/>
                <w:sz w:val="18"/>
              </w:rPr>
              <w:br/>
            </w:r>
            <w:r>
              <w:rPr>
                <w:rFonts w:ascii="Times New Roman" w:hAnsi="Times New Roman"/>
                <w:b/>
                <w:caps w:val="false"/>
                <w:smallCaps w:val="false"/>
                <w:sz w:val="18"/>
              </w:rPr>
              <w:t>Number</w:t>
            </w:r>
          </w:p>
        </w:tc>
        <w:tc>
          <w:tcPr>
            <w:tcW w:w="60" w:type="dxa"/>
            <w:tcBorders/>
            <w:tcMar>
              <w:bottom w:w="0" w:type="dxa"/>
            </w:tcMar>
            <w:vAlign w:val="center"/>
          </w:tcPr>
          <w:p>
            <w:pPr>
              <w:pStyle w:val="TableContents"/>
              <w:bidi w:val="0"/>
              <w:spacing w:before="0" w:after="283"/>
              <w:jc w:val="left"/>
              <w:rPr/>
            </w:pPr>
            <w:r>
              <w:rPr/>
              <w:t> </w:t>
            </w:r>
          </w:p>
        </w:tc>
        <w:tc>
          <w:tcPr>
            <w:tcW w:w="9403"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b/>
                <w:caps w:val="false"/>
                <w:smallCaps w:val="false"/>
                <w:sz w:val="18"/>
              </w:rPr>
              <w:t>Exhibit Description</w:t>
            </w:r>
            <w:r>
              <w:rPr>
                <w:rFonts w:ascii="Times New Roman" w:hAnsi="Times New Roman"/>
                <w:caps w:val="false"/>
                <w:smallCaps w:val="false"/>
                <w:sz w:val="18"/>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pPr>
            <w:hyperlink w:anchor="ex_964660.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742" w:type="dxa"/>
            <w:tcBorders/>
            <w:tcMar>
              <w:bottom w:w="0" w:type="dxa"/>
            </w:tcMar>
            <w:vAlign w:val="center"/>
          </w:tcPr>
          <w:p>
            <w:pPr>
              <w:pStyle w:val="TableContents"/>
              <w:bidi w:val="0"/>
              <w:spacing w:before="0" w:after="283"/>
              <w:jc w:val="left"/>
              <w:rPr/>
            </w:pPr>
            <w:r>
              <w:rPr/>
              <w:t>31.2</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hyperlink w:anchor="ex_964661.htm">
              <w:r>
                <w:rPr>
                  <w:rStyle w:val="InternetLink"/>
                </w:rPr>
                <w:t>Certification of Chief Financial Officer pursuant to Section 302 of the Sarbanes-Oxley Act of 2002.</w:t>
              </w:r>
            </w:hyperlink>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pPr>
            <w:hyperlink w:anchor="ex_964662.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r>
      <w:tr>
        <w:trPr/>
        <w:tc>
          <w:tcPr>
            <w:tcW w:w="742" w:type="dxa"/>
            <w:tcBorders/>
            <w:tcMar>
              <w:bottom w:w="0" w:type="dxa"/>
            </w:tcMar>
            <w:vAlign w:val="center"/>
          </w:tcPr>
          <w:p>
            <w:pPr>
              <w:pStyle w:val="TableContents"/>
              <w:bidi w:val="0"/>
              <w:spacing w:before="0" w:after="283"/>
              <w:jc w:val="left"/>
              <w:rPr/>
            </w:pPr>
            <w:r>
              <w:rPr/>
              <w:t>32.2*</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hyperlink w:anchor="ex_964663.htm">
              <w:r>
                <w:rPr>
                  <w:rStyle w:val="InternetLink"/>
                </w:rPr>
                <w:t>Certification of the Chief Financial Officer pursuant to Section 906 of the Sarbanes-Oxley Act of 2002 (18 U.S.C. Section 1350).</w:t>
              </w:r>
            </w:hyperlink>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certifications attached as Exhibit 32.1 and Exhibit 32.2 that accompanies this Quarterly Report are deemed furnished and not filed with the Securities and Exchange Commission and are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1934, the registrant has duly caused this report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2060"/>
        <w:gridCol w:w="365"/>
        <w:gridCol w:w="4355"/>
        <w:gridCol w:w="60"/>
      </w:tblGrid>
      <w:tr>
        <w:trPr/>
        <w:tc>
          <w:tcPr>
            <w:tcW w:w="2060" w:type="dxa"/>
            <w:tcBorders/>
            <w:vAlign w:val="center"/>
          </w:tcPr>
          <w:p>
            <w:pPr>
              <w:pStyle w:val="TableContents"/>
              <w:bidi w:val="0"/>
              <w:spacing w:before="0" w:after="283"/>
              <w:jc w:val="left"/>
              <w:rPr/>
            </w:pPr>
            <w:r>
              <w:rPr/>
              <w:t> </w:t>
            </w:r>
          </w:p>
        </w:tc>
        <w:tc>
          <w:tcPr>
            <w:tcW w:w="472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3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b/>
              </w:rPr>
            </w:pPr>
            <w:r>
              <w:rPr>
                <w:b/>
              </w:rPr>
              <w:t>Paul A. LaViolette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President and Chief</w:t>
            </w:r>
            <w:r>
              <w:rPr>
                <w:rFonts w:ascii="Times New Roman" w:hAnsi="Times New Roman"/>
                <w:caps w:val="false"/>
                <w:smallCaps w:val="false"/>
                <w:sz w:val="20"/>
              </w:rPr>
              <w:t> </w:t>
            </w:r>
            <w:r>
              <w:rPr>
                <w:rFonts w:ascii="Times New Roman" w:hAnsi="Times New Roman"/>
                <w:b/>
                <w:caps w:val="false"/>
                <w:smallCaps w:val="false"/>
                <w:sz w:val="20"/>
              </w:rPr>
              <w:t>Executive</w:t>
            </w:r>
            <w:r>
              <w:rPr>
                <w:rFonts w:ascii="Times New Roman" w:hAnsi="Times New Roman"/>
                <w:caps w:val="false"/>
                <w:smallCaps w:val="false"/>
                <w:sz w:val="20"/>
              </w:rPr>
              <w:t> </w:t>
            </w:r>
            <w:r>
              <w:rPr>
                <w:rFonts w:ascii="Times New Roman" w:hAnsi="Times New Roman"/>
                <w:b/>
                <w:caps w:val="false"/>
                <w:smallCaps w:val="false"/>
                <w:sz w:val="20"/>
              </w:rPr>
              <w:t>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6, 2026</w:t>
            </w:r>
          </w:p>
        </w:tc>
        <w:tc>
          <w:tcPr>
            <w:tcW w:w="365" w:type="dxa"/>
            <w:tcBorders/>
            <w:vAlign w:val="center"/>
          </w:tcPr>
          <w:p>
            <w:pPr>
              <w:pStyle w:val="TableContents"/>
              <w:bidi w:val="0"/>
              <w:spacing w:before="0" w:after="283"/>
              <w:jc w:val="left"/>
              <w:rPr/>
            </w:pPr>
            <w:r>
              <w:rPr/>
              <w:t>By:</w:t>
            </w:r>
          </w:p>
        </w:tc>
        <w:tc>
          <w:tcPr>
            <w:tcW w:w="4355" w:type="dxa"/>
            <w:tcBorders>
              <w:bottom w:val="single" w:sz="2" w:space="0" w:color="000000"/>
            </w:tcBorders>
            <w:tcMar>
              <w:bottom w:w="28" w:type="dxa"/>
            </w:tcMar>
            <w:vAlign w:val="center"/>
          </w:tcPr>
          <w:p>
            <w:pPr>
              <w:pStyle w:val="TableContents"/>
              <w:bidi w:val="0"/>
              <w:spacing w:before="0" w:after="283"/>
              <w:jc w:val="left"/>
              <w:rPr/>
            </w:pPr>
            <w:r>
              <w:rPr/>
              <w:t>/s/ Jon Skinner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b/>
              </w:rPr>
            </w:pPr>
            <w:r>
              <w:rPr>
                <w:b/>
              </w:rPr>
              <w:t>Jon Skinner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Chief</w:t>
            </w:r>
            <w:r>
              <w:rPr>
                <w:rFonts w:ascii="Times New Roman" w:hAnsi="Times New Roman"/>
                <w:sz w:val="20"/>
              </w:rPr>
              <w:t> </w:t>
            </w:r>
            <w:r>
              <w:rPr>
                <w:rFonts w:ascii="Times New Roman" w:hAnsi="Times New Roman"/>
                <w:b/>
                <w:sz w:val="20"/>
              </w:rPr>
              <w:t>Financial</w:t>
            </w:r>
            <w:r>
              <w:rPr>
                <w:rFonts w:ascii="Times New Roman" w:hAnsi="Times New Roman"/>
                <w:sz w:val="20"/>
              </w:rPr>
              <w:t> </w:t>
            </w:r>
            <w:r>
              <w:rPr>
                <w:rFonts w:ascii="Times New Roman" w:hAnsi="Times New Roman"/>
                <w:b/>
                <w:sz w:val="20"/>
              </w:rPr>
              <w:t>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Financial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6, 2026</w:t>
            </w:r>
          </w:p>
        </w:tc>
        <w:tc>
          <w:tcPr>
            <w:tcW w:w="365" w:type="dxa"/>
            <w:tcBorders/>
            <w:vAlign w:val="center"/>
          </w:tcPr>
          <w:p>
            <w:pPr>
              <w:pStyle w:val="TableContents"/>
              <w:bidi w:val="0"/>
              <w:spacing w:before="0" w:after="283"/>
              <w:jc w:val="left"/>
              <w:rPr/>
            </w:pPr>
            <w:r>
              <w:rPr/>
              <w:t>By:</w:t>
            </w:r>
          </w:p>
        </w:tc>
        <w:tc>
          <w:tcPr>
            <w:tcW w:w="4355" w:type="dxa"/>
            <w:tcBorders>
              <w:bottom w:val="single" w:sz="2" w:space="0" w:color="000000"/>
            </w:tcBorders>
            <w:tcMar>
              <w:bottom w:w="28" w:type="dxa"/>
            </w:tcMar>
            <w:vAlign w:val="center"/>
          </w:tcPr>
          <w:p>
            <w:pPr>
              <w:pStyle w:val="TableContents"/>
              <w:bidi w:val="0"/>
              <w:spacing w:before="0" w:after="283"/>
              <w:jc w:val="left"/>
              <w:rPr/>
            </w:pPr>
            <w:r>
              <w:rPr/>
              <w:t>/s/ Steven Weber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b/>
              </w:rPr>
            </w:pPr>
            <w:r>
              <w:rPr>
                <w:b/>
              </w:rPr>
              <w:t>Steven Weber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VP of Accounting and Global Corporate Controller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66 </w:t>
      </w:r>
    </w:p>
    <w:p>
      <w:pPr>
        <w:pStyle w:val="TextBody"/>
        <w:bidi w:val="0"/>
        <w:spacing w:before="0" w:after="0"/>
        <w:ind w:left="0" w:right="0" w:hanging="0"/>
        <w:jc w:val="right"/>
        <w:rPr>
          <w:rFonts w:ascii="Times New Roman" w:hAnsi="Times New Roman"/>
          <w:b/>
          <w:caps w:val="false"/>
          <w:smallCaps w:val="false"/>
          <w:sz w:val="20"/>
        </w:rPr>
      </w:pPr>
      <w:bookmarkStart w:id="22" w:name="ex_964660.htm"/>
      <w:bookmarkStart w:id="23" w:name="ksex_964660"/>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Paul A. LaViolette, certify that: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w:t>
            </w:r>
            <w:bookmarkStart w:id="24" w:name="led395676F20233241682357414418"/>
            <w:bookmarkEnd w:id="24"/>
            <w:r>
              <w:rPr>
                <w:rFonts w:ascii="Times New Roman;Times;serif" w:hAnsi="Times New Roman;Times;serif"/>
                <w:caps w:val="false"/>
                <w:smallCaps w:val="false"/>
                <w:sz w:val="20"/>
              </w:rPr>
              <w:t>June 30, 2026 of Pulse Biosciences,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2060"/>
        <w:gridCol w:w="320"/>
        <w:gridCol w:w="3125"/>
        <w:gridCol w:w="60"/>
      </w:tblGrid>
      <w:tr>
        <w:trPr/>
        <w:tc>
          <w:tcPr>
            <w:tcW w:w="2060" w:type="dxa"/>
            <w:tcBorders/>
            <w:vAlign w:val="center"/>
          </w:tcPr>
          <w:p>
            <w:pPr>
              <w:pStyle w:val="TableContents"/>
              <w:bidi w:val="0"/>
              <w:spacing w:before="0" w:after="283"/>
              <w:jc w:val="left"/>
              <w:rPr/>
            </w:pPr>
            <w:r>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Paul A. LaViolette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caps w:val="false"/>
          <w:smallCaps w:val="false"/>
          <w:sz w:val="20"/>
        </w:rPr>
      </w:pPr>
      <w:bookmarkStart w:id="25" w:name="ex_964661.htm"/>
      <w:bookmarkStart w:id="26" w:name="ksex_964661"/>
      <w:bookmarkEnd w:id="25"/>
      <w:bookmarkEnd w:id="26"/>
      <w:r>
        <w:rPr>
          <w:rFonts w:ascii="Times New Roman;Times;serif" w:hAnsi="Times New Roman;Time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Jon Skinner, certify that: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for the quarter ended </w:t>
            </w:r>
            <w:bookmarkStart w:id="27" w:name="led395676F2025551749126614443"/>
            <w:bookmarkEnd w:id="27"/>
            <w:r>
              <w:rPr>
                <w:rFonts w:ascii="Times New Roman" w:hAnsi="Times New Roman"/>
                <w:caps w:val="false"/>
                <w:smallCaps w:val="false"/>
                <w:sz w:val="20"/>
              </w:rPr>
              <w:t>June 30, 2026 of Pulse Biosciences,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060"/>
        <w:gridCol w:w="320"/>
        <w:gridCol w:w="2285"/>
        <w:gridCol w:w="60"/>
      </w:tblGrid>
      <w:tr>
        <w:trPr/>
        <w:tc>
          <w:tcPr>
            <w:tcW w:w="2060" w:type="dxa"/>
            <w:tcBorders/>
            <w:vAlign w:val="center"/>
          </w:tcPr>
          <w:p>
            <w:pPr>
              <w:pStyle w:val="TableContents"/>
              <w:bidi w:val="0"/>
              <w:spacing w:before="0" w:after="283"/>
              <w:jc w:val="left"/>
              <w:rPr/>
            </w:pPr>
            <w:r>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964662.htm"/>
      <w:bookmarkStart w:id="29" w:name="ksex_964662"/>
      <w:bookmarkEnd w:id="28"/>
      <w:bookmarkEnd w:id="2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Pulse Biosciences, Inc. (the “Company”) on Form 10-Q for the period ended </w:t>
      </w:r>
      <w:bookmarkStart w:id="30" w:name="led395676F20233241682357328176"/>
      <w:bookmarkEnd w:id="30"/>
      <w:r>
        <w:rPr>
          <w:rFonts w:ascii="Times New Roman" w:hAnsi="Times New Roman"/>
          <w:caps w:val="false"/>
          <w:smallCaps w:val="false"/>
          <w:sz w:val="20"/>
        </w:rPr>
        <w:t>June 30, 2026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060"/>
        <w:gridCol w:w="60"/>
        <w:gridCol w:w="3125"/>
        <w:gridCol w:w="60"/>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Paul A. LaViolette</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1" w:name="ex_964663.htm"/>
      <w:bookmarkStart w:id="32" w:name="ksex_964663"/>
      <w:bookmarkEnd w:id="31"/>
      <w:bookmarkEnd w:id="32"/>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the Quarterly Report of Pulse Biosciences, Inc. (the “Company”) on Form 10-Q for the period ended </w:t>
      </w:r>
      <w:bookmarkStart w:id="33" w:name="led395676F2025551749126649955"/>
      <w:bookmarkEnd w:id="33"/>
      <w:r>
        <w:rPr>
          <w:rFonts w:ascii="Times New Roman;Times;serif" w:hAnsi="Times New Roman;Times;serif"/>
          <w:caps w:val="false"/>
          <w:smallCaps w:val="false"/>
          <w:sz w:val="20"/>
        </w:rPr>
        <w:t>June 30, 2026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060"/>
        <w:gridCol w:w="60"/>
        <w:gridCol w:w="2285"/>
        <w:gridCol w:w="60"/>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101/000143774925026209/plse20250630_10q.htm&quot; \l &quot;Part1" TargetMode="External"/><Relationship Id="rId3" Type="http://schemas.openxmlformats.org/officeDocument/2006/relationships/hyperlink" Target="http://www.sec.gov/Archives/edgar/data/1625101/000143774925026209/plse20250630_10q.htm&quot; \l &quot;part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44094</Words>
  <Characters>247310</Characters>
  <CharactersWithSpaces>292815</CharactersWithSpaces>
  <Paragraphs>5774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