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60" w:right="1280" w:hanging="3652"/>
        <w:spacing w:after="0" w:line="266" w:lineRule="auto"/>
        <w:tabs>
          <w:tab w:leader="none" w:pos="8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72"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p>
      <w:pPr>
        <w:jc w:val="center"/>
        <w:ind w:right="-19"/>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3" w:lineRule="exact"/>
        <w:rPr>
          <w:sz w:val="24"/>
          <w:szCs w:val="24"/>
          <w:color w:val="auto"/>
        </w:rPr>
      </w:pPr>
    </w:p>
    <w:tbl>
      <w:tblPr>
        <w:tblLayout w:type="fixed"/>
        <w:tblInd w:w="1320" w:type="dxa"/>
        <w:tblCellMar>
          <w:top w:w="0" w:type="dxa"/>
          <w:left w:w="0" w:type="dxa"/>
          <w:bottom w:w="0" w:type="dxa"/>
          <w:right w:w="0" w:type="dxa"/>
        </w:tblCellMar>
      </w:tblPr>
      <w:tr>
        <w:trPr>
          <w:trHeight w:val="389"/>
        </w:trPr>
        <w:tc>
          <w:tcPr>
            <w:tcW w:w="6380" w:type="dxa"/>
            <w:vAlign w:val="bottom"/>
          </w:tcPr>
          <w:p>
            <w:pPr>
              <w:jc w:val="center"/>
              <w:ind w:left="2123"/>
              <w:spacing w:after="0"/>
              <w:rPr>
                <w:sz w:val="20"/>
                <w:szCs w:val="20"/>
                <w:color w:val="auto"/>
              </w:rPr>
            </w:pPr>
            <w:r>
              <w:rPr>
                <w:rFonts w:ascii="Times New Roman" w:cs="Times New Roman" w:eastAsia="Times New Roman" w:hAnsi="Times New Roman"/>
                <w:sz w:val="32"/>
                <w:szCs w:val="32"/>
                <w:b w:val="1"/>
                <w:bCs w:val="1"/>
                <w:color w:val="auto"/>
              </w:rPr>
              <w:t>Pulse Biosciences, Inc.</w:t>
            </w:r>
          </w:p>
        </w:tc>
        <w:tc>
          <w:tcPr>
            <w:tcW w:w="1440" w:type="dxa"/>
            <w:vAlign w:val="bottom"/>
          </w:tcPr>
          <w:p>
            <w:pPr>
              <w:spacing w:after="0"/>
              <w:rPr>
                <w:sz w:val="24"/>
                <w:szCs w:val="24"/>
                <w:color w:val="auto"/>
              </w:rPr>
            </w:pPr>
          </w:p>
        </w:tc>
      </w:tr>
      <w:tr>
        <w:trPr>
          <w:trHeight w:val="216"/>
        </w:trPr>
        <w:tc>
          <w:tcPr>
            <w:tcW w:w="6380" w:type="dxa"/>
            <w:vAlign w:val="bottom"/>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40" w:type="dxa"/>
            <w:vAlign w:val="bottom"/>
          </w:tcPr>
          <w:p>
            <w:pPr>
              <w:spacing w:after="0"/>
              <w:rPr>
                <w:sz w:val="18"/>
                <w:szCs w:val="18"/>
                <w:color w:val="auto"/>
              </w:rPr>
            </w:pP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9"/>
              </w:rPr>
              <w:t>601 Brickell Key Drive, Suite 1080</w:t>
            </w:r>
          </w:p>
        </w:tc>
        <w:tc>
          <w:tcPr>
            <w:tcW w:w="1440" w:type="dxa"/>
            <w:vAlign w:val="bottom"/>
          </w:tcPr>
          <w:p>
            <w:pPr>
              <w:spacing w:after="0"/>
              <w:rPr>
                <w:sz w:val="24"/>
                <w:szCs w:val="24"/>
                <w:color w:val="auto"/>
              </w:rPr>
            </w:pP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33131</w:t>
            </w:r>
          </w:p>
        </w:tc>
      </w:tr>
      <w:tr>
        <w:trPr>
          <w:trHeight w:val="216"/>
        </w:trPr>
        <w:tc>
          <w:tcPr>
            <w:tcW w:w="6380" w:type="dxa"/>
            <w:vAlign w:val="bottom"/>
          </w:tcPr>
          <w:p>
            <w:pPr>
              <w:jc w:val="center"/>
              <w:ind w:right="3303"/>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16"/>
        </w:trPr>
        <w:tc>
          <w:tcPr>
            <w:tcW w:w="6380" w:type="dxa"/>
            <w:vAlign w:val="bottom"/>
          </w:tcPr>
          <w:p>
            <w:pPr>
              <w:jc w:val="center"/>
              <w:ind w:left="2123"/>
              <w:spacing w:after="0"/>
              <w:rPr>
                <w:sz w:val="20"/>
                <w:szCs w:val="20"/>
                <w:color w:val="auto"/>
              </w:rPr>
            </w:pPr>
            <w:r>
              <w:rPr>
                <w:rFonts w:ascii="Times New Roman" w:cs="Times New Roman" w:eastAsia="Times New Roman" w:hAnsi="Times New Roman"/>
                <w:sz w:val="18"/>
                <w:szCs w:val="18"/>
                <w:b w:val="1"/>
                <w:bCs w:val="1"/>
                <w:color w:val="auto"/>
                <w:w w:val="99"/>
              </w:rPr>
              <w:t>(510) 906-4600</w:t>
            </w:r>
          </w:p>
        </w:tc>
        <w:tc>
          <w:tcPr>
            <w:tcW w:w="1440" w:type="dxa"/>
            <w:vAlign w:val="bottom"/>
          </w:tcPr>
          <w:p>
            <w:pPr>
              <w:spacing w:after="0"/>
              <w:rPr>
                <w:sz w:val="18"/>
                <w:szCs w:val="18"/>
                <w:color w:val="auto"/>
              </w:rPr>
            </w:pPr>
          </w:p>
        </w:tc>
      </w:tr>
      <w:tr>
        <w:trPr>
          <w:trHeight w:val="238"/>
        </w:trPr>
        <w:tc>
          <w:tcPr>
            <w:tcW w:w="6380" w:type="dxa"/>
            <w:vAlign w:val="bottom"/>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72" w:right="339" w:bottom="1440" w:gutter="0" w:footer="0" w:header="0"/>
        </w:sectPr>
      </w:pPr>
    </w:p>
    <w:p>
      <w:pPr>
        <w:spacing w:after="0" w:line="22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PLSE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080" w:space="720"/>
            <w:col w:w="1920" w:space="720"/>
            <w:col w:w="3800"/>
          </w:cols>
          <w:pgMar w:left="320" w:top="472" w:right="339" w:bottom="1440" w:gutter="0" w:footer="0" w:header="0"/>
          <w:type w:val="continuous"/>
        </w:sectPr>
      </w:pPr>
    </w:p>
    <w:p>
      <w:pPr>
        <w:spacing w:after="0" w:line="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2"/>
        </w:trPr>
        <w:tc>
          <w:tcPr>
            <w:tcW w:w="23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right="1320"/>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October 31, 2025: 67,767,578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10"/>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240" w:type="dxa"/>
            <w:vAlign w:val="bottom"/>
            <w:gridSpan w:val="4"/>
            <w:vMerge w:val="restart"/>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60" w:type="dxa"/>
            <w:vAlign w:val="bottom"/>
            <w:tcBorders>
              <w:bottom w:val="single" w:sz="8" w:color="0000EE"/>
            </w:tcBorders>
            <w:gridSpan w:val="8"/>
            <w:vMerge w:val="continue"/>
          </w:tcPr>
          <w:p>
            <w:pPr>
              <w:spacing w:after="0"/>
              <w:rPr>
                <w:sz w:val="15"/>
                <w:szCs w:val="15"/>
                <w:color w:val="auto"/>
              </w:rPr>
            </w:pPr>
          </w:p>
        </w:tc>
        <w:tc>
          <w:tcPr>
            <w:tcW w:w="3240" w:type="dxa"/>
            <w:vAlign w:val="bottom"/>
            <w:gridSpan w:val="4"/>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7400" w:type="dxa"/>
            <w:vAlign w:val="bottom"/>
            <w:gridSpan w:val="13"/>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Nine-Months Ended September 30, 2025</w:t>
            </w:r>
          </w:p>
        </w:tc>
        <w:tc>
          <w:tcPr>
            <w:tcW w:w="360" w:type="dxa"/>
            <w:vAlign w:val="bottom"/>
          </w:tcPr>
          <w:p>
            <w:pPr>
              <w:spacing w:after="0"/>
              <w:rPr>
                <w:sz w:val="17"/>
                <w:szCs w:val="17"/>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6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2024</w:t>
            </w:r>
          </w:p>
        </w:tc>
        <w:tc>
          <w:tcPr>
            <w:tcW w:w="9560" w:type="dxa"/>
            <w:vAlign w:val="bottom"/>
            <w:gridSpan w:val="21"/>
            <w:vMerge w:val="restart"/>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7"/>
                <w:szCs w:val="7"/>
                <w:color w:val="auto"/>
              </w:rPr>
            </w:pPr>
          </w:p>
        </w:tc>
        <w:tc>
          <w:tcPr>
            <w:tcW w:w="660" w:type="dxa"/>
            <w:vAlign w:val="bottom"/>
            <w:tcBorders>
              <w:bottom w:val="single" w:sz="8" w:color="0000EE"/>
            </w:tcBorders>
            <w:gridSpan w:val="2"/>
            <w:vMerge w:val="continue"/>
          </w:tcPr>
          <w:p>
            <w:pPr>
              <w:spacing w:after="0"/>
              <w:rPr>
                <w:sz w:val="7"/>
                <w:szCs w:val="7"/>
                <w:color w:val="auto"/>
              </w:rPr>
            </w:pPr>
          </w:p>
        </w:tc>
        <w:tc>
          <w:tcPr>
            <w:tcW w:w="9560" w:type="dxa"/>
            <w:vAlign w:val="bottom"/>
            <w:gridSpan w:val="21"/>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Nine-Months Ended September 30, 2025 and 2024</w:t>
            </w:r>
          </w:p>
        </w:tc>
        <w:tc>
          <w:tcPr>
            <w:tcW w:w="2280" w:type="dxa"/>
            <w:vAlign w:val="bottom"/>
            <w:gridSpan w:val="3"/>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Nine-Months Ended September 30, 2025 and 2024</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80" w:type="dxa"/>
            <w:vAlign w:val="bottom"/>
            <w:gridSpan w:val="2"/>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3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4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0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10"/>
          </w:tcPr>
          <w:p>
            <w:pPr>
              <w:jc w:val="center"/>
              <w:ind w:right="34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6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2340" w:type="dxa"/>
            <w:vAlign w:val="bottom"/>
            <w:gridSpan w:val="6"/>
          </w:tcPr>
          <w:p>
            <w:pPr>
              <w:spacing w:after="0"/>
              <w:rPr>
                <w:sz w:val="17"/>
                <w:szCs w:val="17"/>
                <w:color w:val="auto"/>
              </w:rPr>
            </w:pPr>
          </w:p>
        </w:tc>
        <w:tc>
          <w:tcPr>
            <w:tcW w:w="2760" w:type="dxa"/>
            <w:vAlign w:val="bottom"/>
            <w:tcBorders>
              <w:top w:val="single" w:sz="8" w:color="0000EE"/>
            </w:tcBorders>
            <w:gridSpan w:val="4"/>
          </w:tcPr>
          <w:p>
            <w:pPr>
              <w:spacing w:after="0"/>
              <w:rPr>
                <w:sz w:val="17"/>
                <w:szCs w:val="17"/>
                <w:color w:val="auto"/>
              </w:rPr>
            </w:pPr>
          </w:p>
        </w:tc>
        <w:tc>
          <w:tcPr>
            <w:tcW w:w="34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80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10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 Upon Senior Securities</w:t>
            </w:r>
          </w:p>
        </w:tc>
        <w:tc>
          <w:tcPr>
            <w:tcW w:w="2080" w:type="dxa"/>
            <w:vAlign w:val="bottom"/>
            <w:tcBorders>
              <w:top w:val="single" w:sz="8" w:color="0000EE"/>
            </w:tcBorders>
            <w:gridSpan w:val="5"/>
          </w:tcPr>
          <w:p>
            <w:pPr>
              <w:spacing w:after="0"/>
              <w:rPr>
                <w:sz w:val="17"/>
                <w:szCs w:val="17"/>
                <w:color w:val="auto"/>
              </w:rPr>
            </w:pPr>
          </w:p>
        </w:tc>
        <w:tc>
          <w:tcPr>
            <w:tcW w:w="55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6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52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104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24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33" w:lineRule="auto"/>
        <w:rPr>
          <w:sz w:val="20"/>
          <w:szCs w:val="20"/>
          <w:color w:val="auto"/>
        </w:rPr>
      </w:pPr>
      <w:r>
        <w:rPr>
          <w:rFonts w:ascii="Times New Roman" w:cs="Times New Roman" w:eastAsia="Times New Roman" w:hAnsi="Times New Roman"/>
          <w:sz w:val="18"/>
          <w:szCs w:val="18"/>
          <w:color w:val="auto"/>
        </w:rPr>
        <w:t xml:space="preserve">“Pulse Biosciences,” the Pulse logos and other trademarks or service marks that we use in connection with the operation of our business appearing in this quarterly report on Form 10-Q (this "Quarterly Report"), including nPulse, Vybrance, CellFX, Nano-pulse Stimulation, nsPFA, nano-PFA, and NPS, are the property of Pulse Biosciences, Inc. Solely for your convenience, some of our trademarks and trade names referred to in this Quarterly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118,038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r>
      <w:tr>
        <w:trPr>
          <w:trHeight w:val="209"/>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7,163</w:t>
            </w: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r>
      <w:tr>
        <w:trPr>
          <w:trHeight w:val="263"/>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7,027</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7,543</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67,738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65,926 shares as of September 30, 2025 and December 31, 2024, respectively</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538,474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505,296</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(445,848)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(390,500)</w:t>
            </w: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11,393</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7,703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33,794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21,674</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8,781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5,952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24,699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14,322</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67,385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61,066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57,169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(55,348)</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16,487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6,793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0"/>
        </w:trPr>
        <w:tc>
          <w:tcPr>
            <w:tcW w:w="800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in relation to rights offering, net of issuance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59,649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 net of issuance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costs in relation to at-the-market equity offering</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purchases included in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in 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 from exercises of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47,700</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5640" w:type="dxa"/>
            <w:vAlign w:val="bottom"/>
            <w:gridSpan w:val="4"/>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9"/>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67,278</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530,883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(426,463)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104,487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(19,385)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538,474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(445,848)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65,926</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505,296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(390,500)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114,862</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$16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(55,348)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67,738</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538,474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(445,848)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92,694</w:t>
            </w:r>
          </w:p>
        </w:tc>
        <w:tc>
          <w:tcPr>
            <w:tcW w:w="0" w:type="dxa"/>
            <w:vAlign w:val="bottom"/>
          </w:tcPr>
          <w:p>
            <w:pPr>
              <w:spacing w:after="0"/>
              <w:rPr>
                <w:sz w:val="1"/>
                <w:szCs w:val="1"/>
                <w:color w:val="auto"/>
              </w:rPr>
            </w:pPr>
          </w:p>
        </w:tc>
      </w:tr>
      <w:tr>
        <w:trPr>
          <w:trHeight w:val="413"/>
        </w:trPr>
        <w:tc>
          <w:tcPr>
            <w:tcW w:w="128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55,228</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385,349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(358,435)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26,969</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in connection with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offering, net of issuance costs of $364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 offering,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of $24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450,184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(371,115)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55,144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in connection with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offering, net of issuance costs of $364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 offering,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of $24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equity-classified subscription rights as part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offering (Note 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450,184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(371,115)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ablation company committed to health innovation using its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energy when used to ablate cellular tissue, can be used to treat a variety of medical conditions for which an optimal solution remains unfulfilled. The Company developed its proprietary nPulse System (formerly known as CellFX), a novel nsPFA delivery platform, and commercialized the initial application of its nsPFA energy to treat benign lesions of the skin. In parallel, the Company has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its preclinical experience and the potential to significantly improve outcomes for patients in a large and growing market, the Company decided in 2022 to focus its primary efforts on the use of nsPFA energy and the nPulse platform in the treatment of atrial fibrillation ("AF") and in a select few other markets where it could have a profound positive impact on healthcare for both patients and providers, such as surgical soft tissue ablation.</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incorporated in the State of Delaware. It is located in Miami, Florida, and continues to maintain its offices in Hayward,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website at www.pulsebiosciences.com where general information about the Company is available.</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need for additional capital. The Company does not currently have any material cash flows from operations. It has recently commenced revenue-generating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consistent with the Company’s December 31, 2024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2024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2024. The results of operations for the three and nine-months ended September 30, 2025, are not necessarily indicative of the results to be expected for the entire year 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stock-based compensation, the valuation of equity-classified subscription rights,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significant accounting policies are described in the Company’s Annual Report on Form 10-K for the year ended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continually evaluates the accounting policies and estimates used in preparing the consolidated financial statements.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and the estimate of expense may be revised periodically. In October 2024, the Board approved changes to the vesting conditions of certain outstanding common stock option awards so that the performance-based vesting criteria of those particular awards were modified to either time-based or market-based vesting criteria.</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2024, the Company issued certain stock options with market-based vesting conditions and modified certain performance-based stock option awards to market-based options. These vesting conditions relate to the achievement of certain market capitalization targets of the Company. Using a Monte Carlo simulation model, the Company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first quarter of 2025, the Company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Monte Carlo simulation models require the Company to make assumptions and judgements about the variables used in the calculations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for a detailed discussion of the Company’s stock plans and stock-based compensation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Valuation of Inventory</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nine-months ended September 30, 2025, the Company determined that costs had future economic benefit subsequent to receiving FDA approval, and as such, it began to capitalize inventory in preparation of its limited market release of percutaneous electrodes for its Vybrance Percutaneous Electrode System. Prior to capitalizing inventory, all direct and indirect manufacturing costs were charged to research and development expenses in the period incurred or written off as excess and obsolete inventory in 2022, including previously manufactured consoles.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During the nine-months ended September 30, 2025, there was no reduction to the balance of inventory for excessive and obsolete inventory.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a contract with a customer when the rights and obligations of the parties are identifiable, the contract has commercial substance, and the collectability of the consideration to be received from the customer is considered probable. Contracts with customers are for the sale of the nPulse Vybrance system, which includes system components, software, and system accessories. Instruments and other accessories may also be included with the system or may be sold on a standalone basis. These products are considered performance obligations to the extent they are separately identifiable from other products in the contract and when the customer can either benefit from the product on its own or with other goods or services that are readily available to the customer.</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recognizes revenue at a point in time when it satisfies performance obligations by transferring control of promised goods to its customers. Transfer of control occurs based on shipping terms as contractually negotiated. The amount of revenue recognized is equal to the consideration to which the Company expects to be entitled in exchange for the promised goods. Though some products may be sold on a stand-alone basis, initial customer contracts will likely involve the bundling of products which will be delivered concurrently to the customer for a single price. The initial limited market release period will also include evaluation agreements with customers that allow either the Company or the customer to terminate the contract at any point without penalty. The termination right limits the effective contract term to the period for which the contract was not terminated. The Company generally extends payment terms to customers after the Company performs a necessary credit evaluation to ensure future collectability of the outstanding balance. Payment generally occurs within a relatively short period of time after delivery of products.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transaction price is the consideration to which the Company expects to be entitled in exchange for providing the promised goods to customers. Though most customer orders are for a fixed amount of consideration, the Company evaluates the possible impact of variable consideration in determining the transaction price, in particular the possibility of future returns.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contract execution and updated each quarter for any changes in circumstances (e.g., changes in estimated return amount).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there are multiple performance obligations present, the total transaction price shall be allocated to each of the performance obligations based upon the relative standalone selling price (“SSP”) of those performance obligations. The Company establishes SSPs based on multiple factors including prices charged by the Company for similar offerings, product-specific business objectives, and the estimated cost to provide the performance obligation.</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activities are not considered to be a separate performance obligation. The Company has made an accounting policy election to account for shipping and handling activities as fulfillment activities when these activities occur after the customer obtains control of the product.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determined that certain promises in the multiple-element arrangements, such as installation, training, and certain ancillary products, are immaterial in the context of the contract and do not represent separate performance obligations to which transaction price is allocated.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utilizes the practical expedient under ASC 606 and does not disclose unsatisfied performance obligations for contracts as the contracts generally have an original duration of less than one year. Additionally, the Company does not currently have significant contract assets or deferred revenue.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does not incur contract origination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the same for all periods presented because all warrants, stock options and restricted stock units outstanding are anti-dilutive.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02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205,953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5,857,680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13,303,744</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12,327,332</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13,509,697</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18,185,012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presentation of the cash flows from operating activities within the condensed consolidated statements of cash flows to conform to current period presentation. Specifically, the presentation of operating lease expenses has been reclassified from “Right-of-use assets” within “Changes in operating assets and liabilities” to “Non-cash lease expense” within “Adjustments to reconcile net loss to net cash used in operating activities”. Additionally, certain reclassifications have been made to the prior period presentation of other income within the condensed consolidated statements of operations and comprehensive loss to conform to current period presentation. Specifically, the presentation of "Other expense" has been reclassified out of "Interest income, net." As a result of these changes, the presentation of these expenses in the comparative periods has been changed to conform to the current period. These reclassifications did not have an impact on the Company’s results of operations and total cash flows from operating activities for the three and nine-months ended September 30, 2025 and 2024, respectively, or the Company's financial position as of September 30, 2025 and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This ASU should be applied on a prospective basis although retrospective application is permitted. While the Company is still evaluating the full impact of the adoption of this ASU, it does not expect it to have a material impact on its consolidated financial statements and related disclosures.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to measure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Accounting Standards Codification 606, Revenue from Contracts with Customers. The practical expedient assumes that current conditions as of the balance sheet date do not change for the remaining life of the asset. The guidance is effective for the Company's interim and annual periods beginning in 2026. The Company is currently evaluating the impact of the new guidance.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One Big Beautiful Bill Act ("OBBBA") was enacted. The Company does not anticipate a material impact to income tax expense for the year ended December 31, 2025 as a result of OBBBA.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which are directly observable for the asset or liability or indirectly observable through corroboration with observable market data. The Company did not classify any of its investments within Level 2 of the fair value hierarchy.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instruments measured on a recurring basis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respectively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60" w:type="dxa"/>
            <w:vAlign w:val="bottom"/>
            <w:tcBorders>
              <w:top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113,776</w:t>
            </w:r>
          </w:p>
        </w:tc>
      </w:tr>
      <w:tr>
        <w:trPr>
          <w:trHeight w:val="20"/>
        </w:trPr>
        <w:tc>
          <w:tcPr>
            <w:tcW w:w="3140" w:type="dxa"/>
            <w:vAlign w:val="bottom"/>
            <w:shd w:val="clear" w:color="auto" w:fill="CCEE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113,776</w:t>
            </w:r>
          </w:p>
        </w:tc>
      </w:tr>
      <w:tr>
        <w:trPr>
          <w:trHeight w:val="20"/>
        </w:trPr>
        <w:tc>
          <w:tcPr>
            <w:tcW w:w="3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280" w:hanging="5039"/>
        <w:spacing w:after="0" w:line="532" w:lineRule="auto"/>
        <w:rPr>
          <w:sz w:val="20"/>
          <w:szCs w:val="20"/>
          <w:color w:val="auto"/>
        </w:rPr>
      </w:pPr>
      <w:r>
        <w:rPr>
          <w:rFonts w:ascii="Times New Roman" w:cs="Times New Roman" w:eastAsia="Times New Roman" w:hAnsi="Times New Roman"/>
          <w:sz w:val="18"/>
          <w:szCs w:val="18"/>
          <w:color w:val="auto"/>
        </w:rPr>
        <w:t>The Company did not have any financial liabilities measured on a recurring basis as of September 30, 2025 or December 31, 2024.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right="8460" w:hanging="492"/>
        <w:spacing w:after="0" w:line="532" w:lineRule="auto"/>
        <w:tabs>
          <w:tab w:leader="none" w:pos="19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each of the three-months ended September 30, 2025 and 2024, and $0.3 million and $0.4 million for the nine-months ended September 30, 2025 and 2024,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straight-line over an estimated useful life of 12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(7,264)</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(6,765)</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schedule of the amortization of intangible assets for the remainder of 2025 and the succeeding final year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65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9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9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trial fees and costs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8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as the consideration paid exceeded the fair value of the net tangible assets and the intangible assets acquired.</w:t>
      </w:r>
    </w:p>
    <w:p>
      <w:pPr>
        <w:spacing w:after="0" w:line="1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reviews goodwill for impairment at least annually or whenever any events or circumstances indicate that it is more likely than not that the fair value of a reporting unit is less than its carrying amount. As of September 30, 2025, there were no indicators of impairment and it was determined that no impairment of goodwill existed.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and Subscription Rights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28, 2024, the Company announced that its Board unanimously approved plans to initiate a rights offering, whereby the Company would distribute non-transferable subscription rights at no charge to all holders of the Company's common stock, par value $0.001 per share (the "Common Stock"), as of the close of business on a record date to be determined. On May 20, 2024, the Company announced that the Board had set May 31, 2024 as the record date (the "Record Date"). All holders of Common Stock as of the Record Date received non-transferable subscription rights to purchase up to an aggregate of six million units (the "2024 Units") with an aggregate offering value of up to $60 million (the "2024 Rights Offering") at a price per 2024 Unit equal to the lesser of: (i) $10 (the "Initial Price") and (ii) the volume weighted average price of the Common Stock for the ten trading day period through and including the expiration date, June 26, 2024 (the "Expiration Date"), of the Rights Offering (the "Alternate Price"). Each subscription right entitled the holder to purchase 0.10864186 2024 Units for each share of Common Stock owned as of the Record Date. Each 2024 Unit consisted of one share of Common Stock and two warrants, each being a warrant to purchase one-half of one share of Common Stock. The subscription rights were to expire and have no value if they were not exercised prior to the Expiration Date. The Company determined that the equity-classified subscription rights represent a pro-rata distribution issued to existing stockholders as of the Record Date, which is based on a purchase price of $10 per 2024 Unit as compared to (1) the price of $11.55 per one share of Common Stock on the Record Date, plus (2) the value of the warrants on the Record Date. The Company determined the fair value of the equity-classified subscription rights as of the Record Date, which involved the use of a Monte Carlo simulation model to value the underlying warrants. The Monte Carlo simulation model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See 2024 Rights Offering Warrants below for additional details of the warrants. Robert W. Duggan, the Company’s majority stockholder and Co-Chairman, purchased approximately 88% of the units offered through the 2024 Rights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the 2024 Rights Offering, the Company issued 2024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2024 Rights Offering. Half of the warrants issued in the rights offering were redeemable for $0.01 per underlying share of common stock, on not less than thirty days’ written notice, if the volume-weighted average price ("VWAP") of the Company’s common stock equaled or exceeded 150% of the exercise price for the warrants, or $16.50, for twenty consecutive trading days. In December 2024, the Company delivered an irrevocable notice of redemption to redeem this first tranche of common stock warrants because the VWAP of the Company's common stock over the twenty consecutive trading days before the notice was $18.85. Accordingly, pursuant to the 150% redemption feature, the Company redeemed 18,221 warrants on the redemption date, February 5, 2025, and none of these warrants are still outstanding. The other half of the warrants issued in the rights offering remain redeemable for $0.01 per underlying share of common stock, on not less than thirty days’ written notice, but only if the VWAP of the Company’s common stock equals or exceeds 200% of the exercise price for the warrants, or $22.00, for twenty consecutive trading days. As of September 30, 2025, there were no outstanding 2024 Rights Offering Warrants subject to the 150% redemption feature and there were 411,907 outstanding 2024 Rights Offering Warrants subject to the 200% redemption feature, entitling holders to purchase up to approximately 205,953 shares of common stock. During the nine-months ended September 30, 2025, we have received a total of $14.1 million in gross proceeds from exercises of the 2024 Rights Offering Warrants. Cumulatively, as of September 30, 2025, we have received a total of $63.5 million in gross proceeds from exercises of the 2024 Rights Offering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 and 2017 Inducement Equity Incentive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Equity Incentive Plan (the “2017 Plan”).</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restricted stock units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at both January 1, 2025 and 2024, the number of shares of common stock available under the 2017 Plan increased by 1,200,000, respectively, pursuant to the evergreen provision of the 2017 Plan. Under the evergreen provision of the 2017 Plan, the share increase is determined based on the least of (i) 1,200,000 shares, (ii) 4% of the Company’s common stock outstanding at December 31 of the immediately preceding year, or (iii) such number of shares as determined by the Board. Additionally, the number of shares of common stock available under the 2017 Plan increased by 1,375,000 shares as a result of a stockholder vote held at a special meeting of stockholders in December 2023. On September 30, 2025, the Company's stockholders approved an amendment to the 2017 Plan, which provided for an increase in the number of shares of common stock reserved for issuance thereunder by 2,000,000 shares. As of September 30, 2025, a total of 1,072,564 of common stock remained available for issuance under the 2017 Plan.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stock option grants to non-executive employees generally vest 25% per year starting upon the first anniversary of the grant. New hire stock option grants to executive employees may contain time-based, performance-based, and/or market-based vesting. Equity-based awards issued under the Inducement Plan are only issuable to individuals not previously engaged as employees or individuals returning to employment with the Company following a bona-fide period of non-employment. 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September 30, 2025, 2,328,709 shares of common stock remained available for issuance under the Inducement Plan.</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nine-months ended September 30,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10,979,332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2,884,343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18.67</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(493,431)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September 30, 2025</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13,303,744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September 30, 2025</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4,806,075</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13.44</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 As of September 30, 2025, and December 31, 2024, time-based options outstanding were 8,939,677 and 8,075,265 shares, respectively. During the nine-months ended September 30, 2025, the Company granted 1,424,343 time-based options with an aggregate grant date fair value of $20.9 million.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 As of September 30, 2025 and December 31, 2024, performance-based options outstanding were 442,678 shares. There were no performance-based options granted during the nine-months ended September 30, 2025.</w:t>
      </w:r>
    </w:p>
    <w:p>
      <w:pPr>
        <w:spacing w:after="0" w:line="180"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time-based and performance-based stock options granted were determined using the Black-Scholes option pricing model. The following summarizes the range of assumptions used in calculating the fair value of the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5.0 - 6.9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200" w:type="dxa"/>
            <w:vAlign w:val="bottom"/>
          </w:tcPr>
          <w:p>
            <w:pPr>
              <w:spacing w:after="0"/>
              <w:rPr>
                <w:sz w:val="18"/>
                <w:szCs w:val="18"/>
                <w:color w:val="auto"/>
              </w:rPr>
            </w:pP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93% - 100%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4.0% - 4.6%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00" w:type="dxa"/>
            <w:vAlign w:val="bottom"/>
            <w:shd w:val="clear" w:color="auto" w:fill="CCEEFF"/>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Market-based Options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achievement of certain market capitalization targets. The options will vest and become exercisable once the specific market capitalization targets are fulfilled. As of September 30, 2025, and December 31, 2024, market-based options outstanding were 2,721,389 and 2,461,389 shares, respectively. During the nine-months ended September 30, 2025, the Company granted 260,000 market-based options with an aggregate grant date fair value of $4.0 million.</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market-based stock options granted were determined using the Monte Carlo simulation model. The following summarizes the range of assumptions used in calculating the fair value of the awards: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46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2.2 - 4.5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2.2 - 4.2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2.2 - 7.0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2.2 - 5.8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- 4.6%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- 4.4%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 and Performance-based Options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the achievement of certain market capitalization targets as well as the achievement of certain revenue and margin metrics. The options will vest and become exercisable once both the specific market capitalization targets as well as the specific revenue and margin targets are fulfilled. As of September 30, 2025, market and performance-based options outstanding were 1,200,000 shares. There were no market and performance-based options outstanding as of December 31, 2024. During the nine-months ended September 30, 2025, the Company granted 1,200,000 market and performance-based options with an aggregate grant date fair value of $18.9 million. There were no market and performance-based options granted during the three-months ended September 30, 2025.</w:t>
      </w:r>
    </w:p>
    <w:p>
      <w:pPr>
        <w:spacing w:after="0" w:line="18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As of September 30, 2025, the Company determined it is not probable that any of the performance conditions in these grants will be achieved and therefore did not recognize any associated stock-based compensation expense during the nine-months ended September 30, 2025. The Company will reassess the probability of these performance conditions at each reporting period. The fair value of market-based stock options granted was determined using the Monte Carlo simulation model. The following summarizes the range of assumptions used in calculating the fair value of the awards: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4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22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r>
      <w:tr>
        <w:trPr>
          <w:trHeight w:val="210"/>
        </w:trPr>
        <w:tc>
          <w:tcPr>
            <w:tcW w:w="46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6.1 - 8.9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 - 4.6%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620" w:type="dxa"/>
            <w:vAlign w:val="bottom"/>
          </w:tcPr>
          <w:p>
            <w:pPr>
              <w:spacing w:after="0"/>
              <w:rPr>
                <w:sz w:val="24"/>
                <w:szCs w:val="24"/>
                <w:color w:val="auto"/>
              </w:rPr>
            </w:pPr>
          </w:p>
        </w:tc>
        <w:tc>
          <w:tcPr>
            <w:tcW w:w="16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Employee Stock Purchase Plan (the “2017 ESPP”).</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January 2025 and 2024, the Company reserved an additional 450,000 shares, respectively, under the 2017 ESPP pursuant to the evergreen provision. During the nine-months ended September 30, 2025, the Company issued 44,596 shares of common stock under the 2017 ESPP. As of September 30, 2025, 851,183 shares of common stock remained available for issuance under the 2017 ESPP.</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ESPP grants was determined using the Black-Scholes option pricing model. The following summarizes the range of assumptions used in calculating the fair value of the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34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462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0.5 - 1.0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0.5 - 1.0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0.5 - 1.0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0.5 - 1.0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 - 4.0%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 - 5.3%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 - 4.3%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 - 5.3%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20" w:type="dxa"/>
            <w:vAlign w:val="bottom"/>
            <w:gridSpan w:val="5"/>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1,874</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9,106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3,735</w:t>
            </w:r>
          </w:p>
        </w:tc>
        <w:tc>
          <w:tcPr>
            <w:tcW w:w="80" w:type="dxa"/>
            <w:vAlign w:val="bottom"/>
            <w:shd w:val="clear" w:color="auto" w:fill="CCEEFF"/>
          </w:tcPr>
          <w:p>
            <w:pPr>
              <w:spacing w:after="0"/>
              <w:rPr>
                <w:sz w:val="19"/>
                <w:szCs w:val="19"/>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none of the performance conditions of the performance-based and market and performance-based options are probable to be achieved, and as such, no expense has been recognized during the three and nine-months ended September 30, 2025.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20" w:type="dxa"/>
            <w:vAlign w:val="bottom"/>
            <w:gridSpan w:val="5"/>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Time-based options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w:t>
            </w:r>
          </w:p>
        </w:tc>
        <w:tc>
          <w:tcPr>
            <w:tcW w:w="9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4,581</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facilities for its principal operations in Hayward, California, and office facilities for its corporate headquarters in Miami, Florida. These lease arrangements are both classified as operating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cash paid for operating lease liabilities (in thousands):</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as of September 30, 2025, were as follows:</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Rent expense, including common area maintenance charges, was approximately $0.6 million for each of the three-months ended September 30, 2025 and 2024, and approximately $1.9 million and $1.8 million for the nine-months ended September 30, 2025 and 2024,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229" w:lineRule="exact"/>
        <w:rPr>
          <w:sz w:val="20"/>
          <w:szCs w:val="20"/>
          <w:color w:val="auto"/>
        </w:rPr>
      </w:pPr>
    </w:p>
    <w:p>
      <w:pPr>
        <w:jc w:val="both"/>
        <w:ind w:left="10" w:firstLine="486"/>
        <w:spacing w:after="0" w:line="253"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relating to the research and development of the Company’s NPS technology. The Company's chief executive officer, who is the chief operating decision maker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condensed consolidated statement of operations and comprehensive loss. All product sales are in the United States and there are no significant groupings of product revenue the CODM considers or reviews when making operating decisions and assessing performance.</w:t>
      </w:r>
    </w:p>
    <w:p>
      <w:pPr>
        <w:spacing w:after="0" w:line="194" w:lineRule="exact"/>
        <w:rPr>
          <w:sz w:val="20"/>
          <w:szCs w:val="20"/>
          <w:color w:val="auto"/>
        </w:rPr>
      </w:pPr>
    </w:p>
    <w:p>
      <w:pPr>
        <w:ind w:left="10" w:right="200" w:firstLine="486"/>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as computed under U.S. GAAP to the Company’s total net loss in the statements of operations (in thousands).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Adjusted cost of product revenue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Cross platform research and engineering</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R&amp;D manufacturing and engineering</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3,498</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Clinical and regulatory</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5"/>
                <w:szCs w:val="25"/>
                <w:color w:val="auto"/>
                <w:vertAlign w:val="superscript"/>
              </w:rPr>
              <w:t>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10,378</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5"/>
                <w:szCs w:val="25"/>
                <w:color w:val="auto"/>
                <w:vertAlign w:val="superscript"/>
              </w:rPr>
              <w:t>6</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7,684</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w:t>
            </w: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(34,200)</w:t>
            </w:r>
          </w:p>
        </w:tc>
      </w:tr>
      <w:tr>
        <w:trPr>
          <w:trHeight w:val="198"/>
        </w:trPr>
        <w:tc>
          <w:tcPr>
            <w:tcW w:w="20" w:type="dxa"/>
            <w:vAlign w:val="bottom"/>
          </w:tcPr>
          <w:p>
            <w:pPr>
              <w:spacing w:after="0"/>
              <w:rPr>
                <w:sz w:val="17"/>
                <w:szCs w:val="17"/>
                <w:color w:val="auto"/>
              </w:rPr>
            </w:pPr>
          </w:p>
        </w:tc>
        <w:tc>
          <w:tcPr>
            <w:tcW w:w="59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bl>
    <w:p>
      <w:pPr>
        <w:jc w:val="both"/>
        <w:ind w:left="10" w:hanging="10"/>
        <w:spacing w:after="0" w:line="249" w:lineRule="auto"/>
        <w:tabs>
          <w:tab w:leader="none" w:pos="27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cost of product revenue includes material costs, cash compensation costs, fees paid to consultants and outside service providers and organizations, and other expenses relating to manufacturing the Company’s commercial products. It does not include stock-based compensation, depreciation, amortization, IT and facilities costs - see descriptions of Other segment items in footnote 7 and General and administrative in footnote 5 below.</w:t>
      </w:r>
    </w:p>
    <w:p>
      <w:pPr>
        <w:spacing w:after="0" w:line="3" w:lineRule="exact"/>
        <w:rPr>
          <w:rFonts w:ascii="Times New Roman" w:cs="Times New Roman" w:eastAsia="Times New Roman" w:hAnsi="Times New Roman"/>
          <w:sz w:val="18"/>
          <w:szCs w:val="18"/>
          <w:i w:val="1"/>
          <w:iCs w:val="1"/>
          <w:color w:val="auto"/>
        </w:rPr>
      </w:pP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2 </w:t>
      </w:r>
      <w:r>
        <w:rPr>
          <w:rFonts w:ascii="Times New Roman" w:cs="Times New Roman" w:eastAsia="Times New Roman" w:hAnsi="Times New Roman"/>
          <w:sz w:val="18"/>
          <w:szCs w:val="18"/>
          <w:color w:val="auto"/>
        </w:rPr>
        <w:t>Cross platform research and engineering includes compensation costs, fees paid to consultants and outside service providers and organizations, prototype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and other expenses relating to the acquisition, design and development of the Company’s clinical stage devices.</w:t>
      </w:r>
    </w:p>
    <w:p>
      <w:pPr>
        <w:ind w:left="10" w:right="2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3 </w:t>
      </w:r>
      <w:r>
        <w:rPr>
          <w:rFonts w:ascii="Times New Roman" w:cs="Times New Roman" w:eastAsia="Times New Roman" w:hAnsi="Times New Roman"/>
          <w:sz w:val="18"/>
          <w:szCs w:val="18"/>
          <w:color w:val="auto"/>
        </w:rPr>
        <w:t>R&amp;D manufacturing and engineering includes compensation costs, fees paid to consultants and outside service providers and organizations, and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procurement of materials and the manufacturing of the Company’s clinical stage devices.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4 </w:t>
      </w:r>
      <w:r>
        <w:rPr>
          <w:rFonts w:ascii="Times New Roman" w:cs="Times New Roman" w:eastAsia="Times New Roman" w:hAnsi="Times New Roman"/>
          <w:sz w:val="18"/>
          <w:szCs w:val="18"/>
          <w:color w:val="auto"/>
        </w:rPr>
        <w:t>Clinical and regulatory includes compensation costs, fees paid to consultants and outside service providers and organizations, and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trials and regulatory approvals required for the development of the Company’s clinical stage devices.</w:t>
      </w:r>
    </w:p>
    <w:p>
      <w:pPr>
        <w:ind w:left="10" w:right="2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5 </w:t>
      </w:r>
      <w:r>
        <w:rPr>
          <w:rFonts w:ascii="Times New Roman" w:cs="Times New Roman" w:eastAsia="Times New Roman" w:hAnsi="Times New Roman"/>
          <w:sz w:val="18"/>
          <w:szCs w:val="18"/>
          <w:color w:val="auto"/>
        </w:rPr>
        <w:t>General and administrative includes compensation costs and fees paid to consultants and outside service providers and organizations in support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of the Company, including finance, legal, human resources, IT and facilities.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6 </w:t>
      </w:r>
      <w:r>
        <w:rPr>
          <w:rFonts w:ascii="Times New Roman" w:cs="Times New Roman" w:eastAsia="Times New Roman" w:hAnsi="Times New Roman"/>
          <w:sz w:val="18"/>
          <w:szCs w:val="18"/>
          <w:color w:val="auto"/>
        </w:rPr>
        <w:t>Sales and marketing includes compensation costs, fees paid to consultants and outside service providers and organizations,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sales strategy as well as execution of marketing and sales initiatives for the Company's products.</w:t>
      </w:r>
    </w:p>
    <w:p>
      <w:pPr>
        <w:ind w:left="1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18"/>
          <w:szCs w:val="18"/>
          <w:color w:val="auto"/>
        </w:rPr>
        <w:t>Other segment items includes stock-based compensation, depreciation and amortization.</w:t>
      </w:r>
    </w:p>
    <w:p>
      <w:pPr>
        <w:spacing w:after="0" w:line="207"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8"/>
          <w:szCs w:val="18"/>
          <w:color w:val="auto"/>
        </w:rPr>
        <w:t>As of September 30, 2025, all of the Company’s long-lived assets are located in the United States.</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Robert W. Duggan, the Company’s majority stockholder and Co-Chairman, purchased approximately 88% of the units offered through the 2024 Rights Offering. See Note 6 for further details.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In parallel, we have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nPulse platform in the treatment of atrial fibrillation and in a select few other markets where it could have a profound positive impact on healthcare for both patients and providers, such as surgical soft tissue ablation.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nPulse Vybrance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Vybrance Percutaneous Electrode System, consists of a disposable, percutaneous, needle electrode for use with our proprietary nPulse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 procedure showed treated portions of the benign thyroid nodules were mostly resorbed with no sign of scarring or fibrosis by ultrasound, which can be a side effect of other ablation modalities using thermal energies.</w:t>
      </w:r>
    </w:p>
    <w:p>
      <w:pPr>
        <w:spacing w:after="0" w:line="1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Vybrance Percutaneous Electrode System in the United States. In March 2024, we received FDA 510(k) clearance for our Vybrance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Having secured 510(k) clearance to market and sell the Vybrance Percutaneous Electrode System in the United States with different sizes of percutaneous electrode needles, we have engaged with experts in the field of soft tissue ablation to gather information that will help shape our future commercial endeavors. To date, we have placed our nPulse System at nine sites in the United States under short-term evaluation and related consulting agreements pursuant to which the sites have been performing initial patient treatments and evaluating the nPulse System (“Pilot Program”) as well as initial commercial accounts. To date, the clinicians have completed more than 200 patient procedures inclusive of our Pilot Program, the PRECISE BTN clinical trial, and our first commercial procedures. We expect to pursue more clinical evidenced-based milestones throughout 2025 in connection with evaluating the limited market release of our percutaneous electrodes.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 recently, in September 2025, we commenced a clinical trial (PRECISE BTN) to generate clinical evidence to demonstrate the safety and effectiveness of this less-invasive thyroid preserving procedure and support planned commercialization of the Vybrance Percutaneous Electrode System in the United States. In the study, benign thyroid nodule soft tissue ablation procedures will be performed on up to 50 patients at up to four sites. Study endpoints evaluated during the follow-up timepoints will include safety, targeted nodule volume reduction, symptom reduction, and improvements in quality of life and cosmesis over various follow-up periods. Enrollment rates have been encouraging, with over twenty patients treated to date and expect to complete enrollment in Q1 2026.</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energy is uniquely suited to perform an integral role for this application and that it will prove to be highly differentiated from standard thermal energy modalities in use today.</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nPulse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nPulse Cardiac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50"/>
        <w:spacing w:after="0" w:line="253" w:lineRule="auto"/>
        <w:rPr>
          <w:sz w:val="20"/>
          <w:szCs w:val="20"/>
          <w:color w:val="auto"/>
        </w:rPr>
      </w:pPr>
      <w:r>
        <w:rPr>
          <w:rFonts w:ascii="Times New Roman" w:cs="Times New Roman" w:eastAsia="Times New Roman" w:hAnsi="Times New Roman"/>
          <w:sz w:val="18"/>
          <w:szCs w:val="18"/>
          <w:color w:val="auto"/>
        </w:rPr>
        <w:t>We believe our nsPFA energy can provide important advantages over today’s thermal modalities in creating these ablation lines. For example, surgeons using the nPulse System should be able to deliver faster ablations and through thicker tissue than thermal modalities because of the nonthermal mechanism of action that nsPFA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significantly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w:t>
      </w:r>
    </w:p>
    <w:p>
      <w:pPr>
        <w:spacing w:after="0" w:line="194" w:lineRule="exact"/>
        <w:rPr>
          <w:sz w:val="20"/>
          <w:szCs w:val="20"/>
          <w:color w:val="auto"/>
        </w:rPr>
      </w:pPr>
    </w:p>
    <w:p>
      <w:pPr>
        <w:jc w:val="both"/>
        <w:ind w:left="20" w:firstLine="450"/>
        <w:spacing w:after="0" w:line="253" w:lineRule="auto"/>
        <w:rPr>
          <w:sz w:val="20"/>
          <w:szCs w:val="20"/>
          <w:color w:val="auto"/>
        </w:rPr>
      </w:pPr>
      <w:r>
        <w:rPr>
          <w:rFonts w:ascii="Times New Roman" w:cs="Times New Roman" w:eastAsia="Times New Roman" w:hAnsi="Times New Roman"/>
          <w:sz w:val="18"/>
          <w:szCs w:val="18"/>
          <w:color w:val="auto"/>
        </w:rPr>
        <w:t>Over the last several years, we have been developing our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Today, we plan to pursue a PMA application for FDA approval to market the cardiac clamp specifically as a surgical way to treat AF. Seeking an AF indication through a PMA application will require pivotal clinical data to support the application. We have received approval of our IDE to initiate our pivotal clinical trial of the cardiac surgical clamp and have treated our first patient. This single-arm, prospective study is designed to demonstrate primary effectiveness of the nsPFA Cardiac Surgical System for the treatment of AF in concomitant surgical procedures. Up to twenty sites, including two outside the United States, are planned to enroll up to 136 patients. With PMA approval, we expect that we would then commercialize the nPulse Cardiac Surgical System in the United States specifically as a treatment for AF. Separately, we have already enrolled 44 patients in our first-in-human clinical feasibility study of the cardiac clamp, a multi-site study of AF in the Netherlands and Poland. All of the patients in our first-in-human study have tolerated the procedure well and acute data have been encouraging. The data have served to provide an initial safety profile in support of the IDE submission for the pivotal clinical trial of our cardiac surgical ablation clamp as a surgical way to treat AF.</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nPulse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nPulse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endocardial catheter ablation device will have many of the same advantages that the surgical ablation clamp appears to have with respect to both performance and safety compared to standard thermal modalities. Our nPulse Cardiac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50"/>
        <w:spacing w:after="0" w:line="253"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nPulse 360° Cardiac Catheter in patients with AF and both acute data and remapping data from this study have been promising. We therefore expanded the initial clinical protocol in 2024 to include participation by two additional sites. In May 2025, we initiated a clinical study in Rome, Italy, with Dr. Andrea Natale M.D., F.A.C.C., F.H.R.S., F.E.S.C., a world recognized leader in the world of electrophysiology and the current Executive Director at the Texas Cardiac Arrhythmia Institute. Total enrollment consists of 150 patients treated to date. Investigators have successfully remapped more than 90 of the study participants and we have been encouraged by the results seen in the study. Therefore, given the compelling data to date, we have submitted our IDE for review by the FDA and expect to resolve several remaining open items over the next couple of months and will be in position to commence the study in Q1 2026. We continue to believe we will need PMA approval from the FDA in order to market and sell our catheter in the United States.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nPulse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nPulse Console is a tunable, software-enabled, console-based platform, designed to accommodate the clinical workflow preferred by physicians. The nPulse System is configured to accept a variety of disposable applicators or electrodes across a range of clinical applications. In February 2021, we received 510(k) clearance from the FDA for the nPulse System for dermatologic procedures requiring ablation and resurfacing of the skin. In January 2021, we received Conformité Européene (“CE”) marking approval for the nPulse System, which allows for marketing of the system in the European Union (“EU”). Shortly after these regulatory clearances, we began commercializing the nPulse System in dermatology for the treatment of benign skin lesions. However, in September 2022, we announced a shift in our focus from dermatology to cardiology and soft tissue ablation. We have ceased all commercial sales and marketing operations in dermatology. At the present time, we continue to support our remaining commercial users and remain open to a potential commercial partnership. The nPulse System is being used for our current efforts in the treatment of AF and as part of the Vybrance Percutaneous Electrode System.</w:t>
      </w:r>
    </w:p>
    <w:p>
      <w:pPr>
        <w:spacing w:after="0" w:line="188"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Co-Chairman, has made significant investments in our Company to fund its operations. In June 2024, we completed a rights offering of units (each unit comprising a share of our common stock and two warrants, each to purchase a one-half share of our common stock) to our existing stockholders, which raised $60.0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spacing w:after="0" w:line="187"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The source, timing and availability of any future financing will depend largely upon market conditions and perceived progress in the Company’s commercialization efforts, on-going product development initiatives, as well as future clinical and regulatory developments concerning the nPulse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the Middle East and Ukraine, tariffs and interest rates, together with other market factors, could have an adverse impact on potential sources of future financing.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As such, we believe that the assumptions and estimates associated with our most critical accounting policies relate to stock-based compensation and income taxes. Our critical accounting policies and estimates are more fully described in our Annual Report on Form 10-K for the year ended December 31, 2024. Additionally, a modification to the stock-based compensation policy is described as follows: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first quarter of 2025, we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we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we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Monte Carlo simulation models require us to make assumptions and judgements about the variables used in the calculations including the expected volatility, the risk-free interest rate, cost of equity, and the expected term. The assumptions used in the option-pricing model represent our best estimates. If factors change and different assumptions are used, our stock-based compensation expense could be materially different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Refer to the “Recent Accounting Pronouncements” in Note 2 of the condensed consolidated financial statements included elsewhere in this Quarterly Report on Form 10-Q for additional disclosures around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Geographical Information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one operating and reporting segment and reports segment information in accordance with ASC 280, Segment Reporting. The Company’s Chief Executive Officer, who is the chief operating decision maker ("CODM"), reviews financial information on an aggregate basis for allocating and evaluating financial performance; however, the CODM is regularly provided with more detailed expense information than what is included in the Condensed Consolidated Statement of Operations and Comprehensive Loss. See Note 8 for further details of the Company's segment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three-months ended September 30, 2025 and 2024</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11,393</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8,781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20,453</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(20,367)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1,001</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982</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(19,385)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Product revenue was $0.1 million for the three-months ended September 30, 2025. There was no revenue for the three-months ended September 30, 2024. The total revenue generated was in connection with the limited market release commercial sales of the Vybrance Percutaneous Electrode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 Revenue</w:t>
      </w:r>
    </w:p>
    <w:p>
      <w:pPr>
        <w:spacing w:after="0" w:line="229" w:lineRule="exact"/>
        <w:rPr>
          <w:sz w:val="20"/>
          <w:szCs w:val="20"/>
          <w:color w:val="auto"/>
        </w:rPr>
      </w:pPr>
    </w:p>
    <w:p>
      <w:pPr>
        <w:jc w:val="both"/>
        <w:ind w:right="520" w:firstLine="486"/>
        <w:spacing w:after="0" w:line="312" w:lineRule="auto"/>
        <w:rPr>
          <w:sz w:val="20"/>
          <w:szCs w:val="20"/>
          <w:color w:val="auto"/>
        </w:rPr>
      </w:pPr>
      <w:r>
        <w:rPr>
          <w:rFonts w:ascii="Times New Roman" w:cs="Times New Roman" w:eastAsia="Times New Roman" w:hAnsi="Times New Roman"/>
          <w:sz w:val="17"/>
          <w:szCs w:val="17"/>
          <w:color w:val="auto"/>
        </w:rPr>
        <w:t>Cost of product revenue was $0.3 million for the three-months ended September 30, 2025. There was no cost of product revenue for the three-months ended September 30, 2024. The first commercial sales of our Vybrance Percutaneous Electrode System occurred in the third quarter of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$3.7 million to $11.4 million for the three-months ended September 30, 2025, compared to $7.7 million during the same period in 2024 primarily due to increases of $1.5 million in paid services and external research, $1.1 million in stock-based compensation, and $1.1 million in compensation and other employee-related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other employee-related expenses for sales, marketing, executives, finance, legal, human resources, information technology, and administrative personnel, professional fees, patent fees and costs, insurance costs and other general corporate expenses. Selling, general and administrative expenses increased by $2.8 million to $8.8 million for the three-months ended September 30, 2025, compared to $6.0 million during the same period in 2024 primarily due to increases of $1.5 million in stock-based compensation, $1.0 million in compensation and other employee-related expenses, and $0.3 million in promotional costs.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for the three-months ended September 30, 2025, was flat when compared to the same period in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nine-months ended September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33,794</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24,699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58,772</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(58,686)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3,385</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3,338</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(55,348)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(21,148)</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20" w:firstLine="486"/>
        <w:spacing w:after="0" w:line="282" w:lineRule="auto"/>
        <w:rPr>
          <w:sz w:val="20"/>
          <w:szCs w:val="20"/>
          <w:color w:val="auto"/>
        </w:rPr>
      </w:pPr>
      <w:r>
        <w:rPr>
          <w:rFonts w:ascii="Times New Roman" w:cs="Times New Roman" w:eastAsia="Times New Roman" w:hAnsi="Times New Roman"/>
          <w:sz w:val="18"/>
          <w:szCs w:val="18"/>
          <w:color w:val="auto"/>
        </w:rPr>
        <w:t>Product revenue was $0.1 million for the nine-months ended September 30, 2025. There was no revenue for the nine-months ended September 30, 2024. The total revenue generated was in connection with the limited market release commercial sales of the Vybrance Percutaneous Electrode System.</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 Revenue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product revenue was $0.3 million for the nine-months ended September 30, 2025. There was no cost of product revenue for the nine-months ended September 30, 2024. The first commercial sales of our Vybrance Percutaneous Electrode System occurred in the third quarter of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w:t>
      </w:r>
    </w:p>
    <w:p>
      <w:pPr>
        <w:spacing w:after="0" w:line="162"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Research and development expenses increased by $12.1 million to $33.8 million for the nine-months ended September 30, 2025, compared to $21.7 million during the same period in 2024 primarily due to increases of $4.3 million in stock-based compensation, $3.8 million in paid services and external research, $3.2 million in compensation and other employee-related expenses, $0.5 million in supplies, and $0.2 million in facilities and IT expenses.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other related employee expenses for sales, marketing, executives, finance, legal, human resources, information technology, and administrative personnel, professional fees, patent fees and costs, insurance costs and other general corporate expenses. Selling, general and administrative expenses increased by $10.4 million to $24.7 million for the nine-months ended September 30, 2025, compared to $14.3 million during the same period in 2024 primarily due to increases of $5.4 million in stock-based compensation, $3.9 million in compensation and other employee-related expenses, and $1.6 million in paid services, promotional, and general administrative costs. These increases were partially offset by a decrease of $0.6 million driven by funds received from an insurance claim in relation to a legal settlement.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increased by $1.6 million to $3.4 million for the nine-months ended September 30, 2025, compared to $1.8 million during the same period in 2024 driven by increased returns on higher cash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we have generated limited revenue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spacing w:after="0" w:line="17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September 30, 2025, there were no outstanding 2024 Rights Offering Warrants subject to the 150% redemption feature and there were 411,907 outstanding 2024 Rights Offering Warrants subject to the 200% redemption feature, entitling holders to purchase up to approximately 205,953 shares of common stock. During the nine-months ended September 30, 2025, we have received a total of $14.1 million in gross proceeds from exercises of the 2024 Rights Offering Warrants. Cumulatively, as of September 30, 2025, we have received a total of $63.5 million in gross proceeds from exercises of the 2024 Rights Offering Warrants.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cash flows as discussed herein are presented below:</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8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5"/>
                <w:szCs w:val="15"/>
                <w:color w:val="auto"/>
              </w:rPr>
            </w:pPr>
          </w:p>
        </w:tc>
        <w:tc>
          <w:tcPr>
            <w:tcW w:w="11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(39,367)</w:t>
            </w:r>
          </w:p>
        </w:tc>
        <w:tc>
          <w:tcPr>
            <w:tcW w:w="580" w:type="dxa"/>
            <w:vAlign w:val="bottom"/>
            <w:gridSpan w:val="2"/>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(27,199)</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(22,824)</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34,668</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we have generated limited revenue and used cash in our operating activities. As a result, we have incurred significant operating losses in each year since our inception and we may continue to incur additional losses for the next several years. As of September 30, 2025, we had cash and cash equivalents of $95.2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These expectations are based on our current operating and financing plans which are subject to change. Until we are able to generate sustainable product revenue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nine-months ended September 30, 2025, we used cash in the amount of $39.4 million in operating activities. The difference between cash used in operating activities and net loss consisted primarily of stock-based compensation, depreciation and amortization, with a decrease in accrued expenses and increases in prepaid expenses and other current assets, inventory, and accounts payable.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nine-months ended September 30, 2024, we used cash in the amount of $27.2 million in operating activities. The difference between cash used in operating activities and net loss consisted primarily of stock-based compensation, depreciation and amortization, as well as a decrease in accounts payable and an increase in prepaid expenses and other 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investing activities consist primarily of investment purchases, sales and maturities and capital expenditures.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nine-months ended September 30, 2025, we used cash in the amount of $0.2 million in investing activities which was driven primarily by the purchase of property and equipment.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nine-months ended September 30, 2024, we used cash in the amount of $0.1 million in investing activities which was driven by the purchase of property and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nine-months ended September 30, 2025, cash provided by financing activities was $16.8 million, primarily due to $14.1 million of proceeds from the exercise of warrants, $2.1 million of proceeds from the exercise of stock options, and $0.6 million of proceeds from issuance of common stock under employee stock purchase plan.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nine-months ended September 30, 2024, cash provided by financing activities was $61.9 million, primarily due to $59.6 million of net proceeds from the 2024 Rights Offering, $1.5 million of proceeds from the exercise of warrants, $0.5 million of proceeds from issuance of common stock under employee stock purchase plan and $0.5 million of proceeds from the exercise of stock options, offset by $0.2 million of deferred issuance costs in relation to a future at-the-market equity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to the contractual obligations disclosed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date, we have not incurred costs to defend lawsuits or settle claims related to these indemnification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 sufficient to support our operations. Even if we are able to generate revenue,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2024.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Chief Financial Officer have concluded that, as of September 30, 2025,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as amended, that occurred during the quarter ended September 30, 2025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80" w:hanging="328"/>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commercialization of our products.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80" w:hanging="328"/>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 company.</w:t>
      </w:r>
    </w:p>
    <w:p>
      <w:pPr>
        <w:spacing w:after="0" w:line="175" w:lineRule="exact"/>
        <w:rPr>
          <w:rFonts w:ascii="Times New Roman" w:cs="Times New Roman" w:eastAsia="Times New Roman" w:hAnsi="Times New Roman"/>
          <w:sz w:val="18"/>
          <w:szCs w:val="18"/>
          <w:color w:val="auto"/>
        </w:rPr>
      </w:pPr>
    </w:p>
    <w:p>
      <w:pPr>
        <w:jc w:val="both"/>
        <w:ind w:left="680" w:hanging="328"/>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p>
      <w:pPr>
        <w:spacing w:after="0" w:line="17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may result in further dilution to our investors, or incur indebtedness. The servicing of future debt may impair our liquidity position.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such as our nPulse Cardiac Clamp and our nPulse 360° Cardiac Catheter,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very limited sales and marketing experience and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product candidates could be delayed or prevented if we experience any number of possible unforeseen events in connection with our clinical trials.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competitive products before or more successfully than we do.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minimally invasive procedures. Many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result in a change of control or cause us to incur a material amount of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such as litigation related to product liability or alleged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and changes at the U.S. FDA may adversely affect our operating costs and timelines.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U.S. and foreign anti-corruption, anti-money laundering, export control, sanctions, and other trade laws and regulations. We can face serious consequences for violations of these laws and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officers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Co-Chairman owns approximately 72%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of our outstanding shares are owned by our Co-Chairman, Robert Duggan, and his affiliates, which can reduce liquidity of our stock. Historically, our trading volume on Nasdaq has been 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We are a novel ablation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selling,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left="40" w:firstLine="486"/>
        <w:spacing w:after="0" w:line="261"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92"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future profitability are entirely dependent upon one family of products, the nPulse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nPulse System, which consists of a console, connectors and end-effectors,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market the Vybrance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720" w:hanging="328"/>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of patient costs or lack of evidence showing that procedures using our devices are reimbursable by third party payers;</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left="60"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any such guidance or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62" w:lineRule="exact"/>
        <w:rPr>
          <w:sz w:val="20"/>
          <w:szCs w:val="20"/>
          <w:color w:val="auto"/>
        </w:rPr>
      </w:pPr>
    </w:p>
    <w:p>
      <w:pPr>
        <w:ind w:left="720" w:right="20" w:hanging="328"/>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 internationally or in the United States, such as the U.S. FDA;</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jc w:val="both"/>
        <w:ind w:left="720" w:hanging="328"/>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7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left="60" w:firstLine="486"/>
        <w:spacing w:after="0" w:line="255"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several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89" w:lineRule="exact"/>
        <w:rPr>
          <w:sz w:val="20"/>
          <w:szCs w:val="20"/>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740" w:hanging="328"/>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Paul LaViolette, our Chief Financial Officer, Jon Skinner,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83" w:lineRule="exact"/>
        <w:rPr>
          <w:sz w:val="20"/>
          <w:szCs w:val="20"/>
          <w:color w:val="auto"/>
        </w:rPr>
      </w:pPr>
    </w:p>
    <w:p>
      <w:pPr>
        <w:jc w:val="both"/>
        <w:ind w:left="2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selling the nPulse System.</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nPulse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2024, we had no international sales force and very few employees in the Unites States with sales and marketing experience. We have only just recently begun to hire employees to help market and sell our Vybrance Percutaneous Electrode System. We therefore have had limited experience marketing and selling the nPulse System and our revenue and cash flows have been volatile and difficult to predict.</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1" w:name="page42"/>
    <w:bookmarkEnd w:id="41"/>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62" w:lineRule="exact"/>
        <w:rPr>
          <w:sz w:val="20"/>
          <w:szCs w:val="20"/>
          <w:color w:val="auto"/>
        </w:rPr>
      </w:pPr>
    </w:p>
    <w:p>
      <w:pPr>
        <w:ind w:left="740" w:hanging="32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and internationally;</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surgeons and other physicians and patients about the benefits, administration and use of our products;</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physicians and patients of the safety and effectiveness of our products;</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therapies; and</w:t>
      </w:r>
    </w:p>
    <w:p>
      <w:pPr>
        <w:spacing w:after="0" w:line="225"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regulatory requirements applicable to our products.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left="60"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nPulse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75" w:lineRule="exact"/>
        <w:rPr>
          <w:sz w:val="20"/>
          <w:szCs w:val="20"/>
          <w:color w:val="auto"/>
        </w:rPr>
      </w:pPr>
    </w:p>
    <w:p>
      <w:pPr>
        <w:jc w:val="both"/>
        <w:ind w:firstLine="50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nPulse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Although most surgeons may have adequate knowledge on how to use our novel nPulse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components needed to manufacture the nPulse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nPulse System and for our products under development. We perform final assembly of our nPulse devices at our facility in California. The manufacture of the nPulse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nPulse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 therefore this is an important factor in the overall commercialization plans of a proposed product and whether it will be accepted for use in the marketplace. Without insurance coverage and reimbursement for our planned products, we would expect to earn only diminished revenue, if any revenue is earned.</w:t>
      </w:r>
    </w:p>
    <w:p>
      <w:pPr>
        <w:spacing w:after="0" w:line="18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nPulse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nPulse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nPulse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nPulse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nPulse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3" w:lineRule="exact"/>
        <w:rPr>
          <w:sz w:val="20"/>
          <w:szCs w:val="20"/>
          <w:color w:val="auto"/>
        </w:rPr>
      </w:pPr>
    </w:p>
    <w:p>
      <w:pPr>
        <w:ind w:left="60"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nPulse System, a number of potentially significant negative consequences could result, including:</w:t>
      </w:r>
    </w:p>
    <w:p>
      <w:pPr>
        <w:spacing w:after="0" w:line="162" w:lineRule="exact"/>
        <w:rPr>
          <w:sz w:val="20"/>
          <w:szCs w:val="20"/>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ind w:left="60"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nPulse System or of any future particular planned product, if approved.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limited clinical experience treating AF with our nPulse 360° Cardiac Catheter and our nPulse Cardiac Surgery Clamp and only limited clinical experience treating benign thyroid nodules with our Vybrance Percutaneous Electrode System; our past successes in dermatology may not translate into similar results in cardiology or in any other medical field.</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products, or if clearances or approvals for future devices and indications are delayed or not issued, the commercial prospects for our nPulse System and other NPS technologies would be harmed.</w:t>
      </w:r>
    </w:p>
    <w:p>
      <w:pPr>
        <w:spacing w:after="0" w:line="159" w:lineRule="exact"/>
        <w:rPr>
          <w:sz w:val="20"/>
          <w:szCs w:val="20"/>
          <w:color w:val="auto"/>
        </w:rPr>
      </w:pPr>
    </w:p>
    <w:p>
      <w:pPr>
        <w:jc w:val="both"/>
        <w:ind w:left="40"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left="60"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0" w:firstLine="486"/>
        <w:spacing w:after="0" w:line="282" w:lineRule="auto"/>
        <w:rPr>
          <w:sz w:val="20"/>
          <w:szCs w:val="20"/>
          <w:color w:val="auto"/>
        </w:rPr>
      </w:pPr>
      <w:r>
        <w:rPr>
          <w:rFonts w:ascii="Times New Roman" w:cs="Times New Roman" w:eastAsia="Times New Roman" w:hAnsi="Times New Roman"/>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NPS technology platform has not been fully determined or validated.</w:t>
      </w:r>
    </w:p>
    <w:p>
      <w:pPr>
        <w:spacing w:after="0" w:line="229" w:lineRule="exact"/>
        <w:rPr>
          <w:sz w:val="20"/>
          <w:szCs w:val="20"/>
          <w:color w:val="auto"/>
        </w:rPr>
      </w:pPr>
    </w:p>
    <w:p>
      <w:pPr>
        <w:jc w:val="both"/>
        <w:ind w:left="40"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nPulse System.</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nsPFA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nPulse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left="40" w:firstLine="450"/>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720" w:hanging="32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720" w:right="20" w:hanging="32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720" w:hanging="328"/>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59"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nPulse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9" w:lineRule="exact"/>
        <w:rPr>
          <w:sz w:val="20"/>
          <w:szCs w:val="20"/>
          <w:color w:val="auto"/>
        </w:rPr>
      </w:pPr>
    </w:p>
    <w:p>
      <w:pPr>
        <w:jc w:val="both"/>
        <w:ind w:left="40"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left="40" w:firstLine="486"/>
        <w:spacing w:after="0" w:line="256" w:lineRule="auto"/>
        <w:rPr>
          <w:sz w:val="20"/>
          <w:szCs w:val="20"/>
          <w:color w:val="auto"/>
        </w:rPr>
      </w:pPr>
      <w:r>
        <w:rPr>
          <w:rFonts w:ascii="Times New Roman" w:cs="Times New Roman" w:eastAsia="Times New Roman" w:hAnsi="Times New Roman"/>
          <w:sz w:val="18"/>
          <w:szCs w:val="18"/>
          <w:color w:val="auto"/>
        </w:rPr>
        <w:t>The nPulse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left="40"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nPulse System. In addition, negative publicity and product liability claims resulting from any adverse regulatory action could have a material adverse effect on our financial condition and results of operations.</w:t>
      </w:r>
    </w:p>
    <w:p>
      <w:pPr>
        <w:spacing w:after="0" w:line="19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Changes in healthcare policy could increase our costs, decrease our revenue, and impact sales of, and reimbursement for, our current and future products. For example, the Affordable Care Act substantially changed the way healthcare is financed by both governmental and private insurers, and significantly impacted our industry.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60" w:firstLine="45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spacing w:after="0" w:line="175" w:lineRule="exact"/>
        <w:rPr>
          <w:sz w:val="20"/>
          <w:szCs w:val="20"/>
          <w:color w:val="auto"/>
        </w:rPr>
      </w:pPr>
    </w:p>
    <w:p>
      <w:pPr>
        <w:jc w:val="both"/>
        <w:ind w:left="60" w:firstLine="45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left="60" w:firstLine="45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such as the one currently existing as a result of the U.S. federal budget impasse,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left="60" w:firstLine="450"/>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83" w:lineRule="exact"/>
        <w:rPr>
          <w:sz w:val="20"/>
          <w:szCs w:val="20"/>
          <w:color w:val="auto"/>
        </w:rPr>
      </w:pPr>
    </w:p>
    <w:p>
      <w:pPr>
        <w:jc w:val="both"/>
        <w:ind w:left="60" w:firstLine="450"/>
        <w:spacing w:after="0" w:line="255" w:lineRule="auto"/>
        <w:rPr>
          <w:sz w:val="20"/>
          <w:szCs w:val="20"/>
          <w:color w:val="auto"/>
        </w:rPr>
      </w:pPr>
      <w:r>
        <w:rPr>
          <w:rFonts w:ascii="Times New Roman" w:cs="Times New Roman" w:eastAsia="Times New Roman" w:hAnsi="Times New Roman"/>
          <w:sz w:val="18"/>
          <w:szCs w:val="18"/>
          <w:color w:val="auto"/>
        </w:rPr>
        <w:t>Furthermore, given changes to the U.S. government's policies and priorities since the new administration entered office in January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federal funding of medical research could have substantial indirect impacts on our research activities.</w:t>
      </w:r>
    </w:p>
    <w:p>
      <w:pPr>
        <w:spacing w:after="0" w:line="189" w:lineRule="exact"/>
        <w:rPr>
          <w:sz w:val="20"/>
          <w:szCs w:val="20"/>
          <w:color w:val="auto"/>
        </w:rPr>
      </w:pPr>
    </w:p>
    <w:p>
      <w:pPr>
        <w:jc w:val="both"/>
        <w:ind w:left="60" w:firstLine="450"/>
        <w:spacing w:after="0" w:line="261" w:lineRule="auto"/>
        <w:rPr>
          <w:sz w:val="20"/>
          <w:szCs w:val="20"/>
          <w:color w:val="auto"/>
        </w:rPr>
      </w:pPr>
      <w:r>
        <w:rPr>
          <w:rFonts w:ascii="Times New Roman" w:cs="Times New Roman" w:eastAsia="Times New Roman" w:hAnsi="Times New Roman"/>
          <w:sz w:val="18"/>
          <w:szCs w:val="18"/>
          <w:color w:val="auto"/>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10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left="80"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("CCPA") requires covered companies to, among other things provide new disclosures to California consumers and afford such consumers new abilities to opt-out of certain sales of personal information. We cannot yet predict the impact of the CCPA or the recently approved California Privacy Rights Act ("CPRA") on our business or operations, but it may require us to modify our data processing practices and policies and could cause us to incur substantial costs and expenses in an effort to comply;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20" w:hanging="328"/>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720" w:hanging="328"/>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ind w:left="40"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changes to any of the laws or regulations applicable to our business could harm our business, financial condition and results of operations.</w:t>
      </w:r>
    </w:p>
    <w:p>
      <w:pPr>
        <w:spacing w:after="0" w:line="15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left="40"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ind w:left="720" w:hanging="32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jc w:val="both"/>
        <w:ind w:left="40" w:right="20"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nPulse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57" w:name="page58"/>
    <w:bookmarkEnd w:id="57"/>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3" w:lineRule="exact"/>
        <w:rPr>
          <w:sz w:val="20"/>
          <w:szCs w:val="20"/>
          <w:color w:val="auto"/>
        </w:rPr>
      </w:pPr>
    </w:p>
    <w:p>
      <w:pPr>
        <w:jc w:val="both"/>
        <w:ind w:lef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5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80"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8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nPulse System or to our planned end-effectors;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left="40"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Co-Chairman of our Board, who beneficially owns approximately 72% of our common stock outstanding as of the date of this Quarterly Report. As a result, Mr. Duggan has control over corporate actions requiring stockholder approval, including the following actions:</w:t>
      </w:r>
    </w:p>
    <w:p>
      <w:pPr>
        <w:spacing w:after="0" w:line="176" w:lineRule="exact"/>
        <w:rPr>
          <w:sz w:val="20"/>
          <w:szCs w:val="20"/>
          <w:color w:val="auto"/>
        </w:rPr>
      </w:pPr>
    </w:p>
    <w:p>
      <w:pPr>
        <w:ind w:left="720" w:hanging="328"/>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5600" w:right="4700" w:hanging="5208"/>
        <w:spacing w:after="0" w:line="532" w:lineRule="auto"/>
        <w:tabs>
          <w:tab w:leader="none" w:pos="7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-90170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could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Co-Chairman and he beneficially owns approximately 72%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left="40"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720" w:hanging="328"/>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jc w:val="both"/>
        <w:ind w:left="720" w:hanging="328"/>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720" w:hanging="328"/>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61"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720" w:hanging="328"/>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left="40"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4" w:lineRule="exact"/>
        <w:rPr>
          <w:sz w:val="20"/>
          <w:szCs w:val="20"/>
          <w:color w:val="auto"/>
        </w:rPr>
      </w:pPr>
    </w:p>
    <w:p>
      <w:pPr>
        <w:jc w:val="both"/>
        <w:ind w:left="60" w:firstLine="450"/>
        <w:spacing w:after="0" w:line="258" w:lineRule="auto"/>
        <w:rPr>
          <w:sz w:val="20"/>
          <w:szCs w:val="20"/>
          <w:color w:val="auto"/>
        </w:rPr>
      </w:pPr>
      <w:r>
        <w:rPr>
          <w:rFonts w:ascii="Times New Roman" w:cs="Times New Roman" w:eastAsia="Times New Roman" w:hAnsi="Times New Roman"/>
          <w:sz w:val="18"/>
          <w:szCs w:val="18"/>
          <w:color w:val="auto"/>
        </w:rPr>
        <w:t>The global financial markets and economy may also be adversely affected by the current or anticipated impact of military conflict, such as the ongoing Russian-Ukrainian war, the war on terrorism, and lingering hostilities in the Hamas-Israel war, as well as other geopolitical events. Sanctions imposed by the United States and other countries in response to such conflicts, including the Russian-Ukrainian war, may also adversely impact the financial markets and the global economy, and any economic countermeasures by the affected countries or others could exacerbate market and economic instability.</w:t>
      </w:r>
    </w:p>
    <w:p>
      <w:pPr>
        <w:spacing w:after="0" w:line="183" w:lineRule="exact"/>
        <w:rPr>
          <w:sz w:val="20"/>
          <w:szCs w:val="20"/>
          <w:color w:val="auto"/>
        </w:rPr>
      </w:pPr>
    </w:p>
    <w:p>
      <w:pPr>
        <w:jc w:val="both"/>
        <w:ind w:left="60" w:firstLine="450"/>
        <w:spacing w:after="0" w:line="255" w:lineRule="auto"/>
        <w:rPr>
          <w:sz w:val="20"/>
          <w:szCs w:val="20"/>
          <w:color w:val="auto"/>
        </w:rPr>
      </w:pPr>
      <w:r>
        <w:rPr>
          <w:rFonts w:ascii="Times New Roman" w:cs="Times New Roman" w:eastAsia="Times New Roman" w:hAnsi="Times New Roman"/>
          <w:sz w:val="18"/>
          <w:szCs w:val="18"/>
          <w:color w:val="auto"/>
        </w:rPr>
        <w:t>Recently, the U.S. government has been changing its approach to international trade policy and in some cases it has been renegotiating or terminating certain existing bilateral or multi-lateral trade agreements and treaties with foreign countries. In addition, the U.S. government has initiated or is considering imposing tariffs on certain foreign goods. Related to this action, certain foreign governments, including those of China, Canada and Mexico,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jc w:val="both"/>
        <w:ind w:left="4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jc w:val="both"/>
        <w:ind w:left="40"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three-months ended September 30, 2025, we completed no unregistered sale of our securities.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Except as noted below, during the nine-months ended September 30, 2025, none of our directors or officers (as defined in Rule 16a-1(f) under the Exchange Act) adopted or terminated a “Rule 10b5-1 trading arrangement” or a “non-Rule 10b5-1 trading arrangement” as such terms are defined under Item 408 of Regulation S-K.</w:t>
      </w:r>
    </w:p>
    <w:p>
      <w:pPr>
        <w:spacing w:after="0" w:line="135" w:lineRule="exact"/>
        <w:rPr>
          <w:sz w:val="20"/>
          <w:szCs w:val="20"/>
          <w:color w:val="auto"/>
        </w:rPr>
      </w:pPr>
    </w:p>
    <w:p>
      <w:pPr>
        <w:jc w:val="both"/>
        <w:ind w:firstLine="486"/>
        <w:spacing w:after="0" w:line="231" w:lineRule="exact"/>
        <w:rPr>
          <w:sz w:val="20"/>
          <w:szCs w:val="20"/>
          <w:color w:val="auto"/>
        </w:rPr>
      </w:pPr>
      <w:r>
        <w:rPr>
          <w:rFonts w:ascii="Times New Roman" w:cs="Times New Roman" w:eastAsia="Times New Roman" w:hAnsi="Times New Roman"/>
          <w:sz w:val="18"/>
          <w:szCs w:val="18"/>
          <w:color w:val="auto"/>
        </w:rPr>
        <w:t>On May 14, 2025, Kevin Danahy, the Company’s Chief Commercial Officer,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intended to satisfy the affirmative defense of Rule 10b5-1(c) under the Exchange Act for the exercise of vested options and the sale of up to 150,000 shares of common stock between August 13, 2025 and May 1, 2026 (the “Sales Period”), net of shares to satisfy withholding obligations, so long as the market price of the Company’s common stock during the Sales Period is higher than certain minimum thresholds specified in his trading plan.</w:t>
      </w:r>
    </w:p>
    <w:p>
      <w:pPr>
        <w:spacing w:after="0" w:line="159" w:lineRule="exact"/>
        <w:rPr>
          <w:sz w:val="20"/>
          <w:szCs w:val="20"/>
          <w:color w:val="auto"/>
        </w:rPr>
      </w:pPr>
    </w:p>
    <w:p>
      <w:pPr>
        <w:jc w:val="both"/>
        <w:ind w:firstLine="486"/>
        <w:spacing w:after="0" w:line="231" w:lineRule="exact"/>
        <w:rPr>
          <w:sz w:val="20"/>
          <w:szCs w:val="20"/>
          <w:color w:val="auto"/>
        </w:rPr>
      </w:pPr>
      <w:r>
        <w:rPr>
          <w:rFonts w:ascii="Times New Roman" w:cs="Times New Roman" w:eastAsia="Times New Roman" w:hAnsi="Times New Roman"/>
          <w:sz w:val="18"/>
          <w:szCs w:val="18"/>
          <w:color w:val="auto"/>
        </w:rPr>
        <w:t>On June 12, 2025, Darrin Uecker, the Company’s Chief Technology Officer and a Director, adopted a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intended to satisfy the affirmative defense of Rule 10b5-1(c) under the Exchange Act for the exercise of expiring options and the sale of up to 120,000 shares of common stock between September 11, 2025 and September 20, 2025, net of shares to satisfy withholding obligations, so long as the market price of the Company’s common stock during the Sales Period was higher than a certain minimum threshold specified in his trading plan.</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988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26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9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906 of the Sarbanes-Oxley Act of 2002 (18 U.S.C. Section 1350).</w:t>
            </w:r>
          </w:p>
        </w:tc>
        <w:tc>
          <w:tcPr>
            <w:tcW w:w="5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w:t>
            </w: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gridSpan w:val="2"/>
          </w:tcPr>
          <w:p>
            <w:pPr>
              <w:spacing w:after="0"/>
              <w:rPr>
                <w:sz w:val="18"/>
                <w:szCs w:val="18"/>
                <w:color w:val="auto"/>
              </w:rPr>
            </w:pP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left="20" w:firstLine="8"/>
        <w:spacing w:after="0" w:line="261" w:lineRule="auto"/>
        <w:tabs>
          <w:tab w:leader="none" w:pos="1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accompanies this Quarterly Report are deemed furnished and not filed with the Securities and Exchange Commission and are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0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LaViolette</w:t>
            </w:r>
          </w:p>
        </w:tc>
      </w:tr>
      <w:tr>
        <w:trPr>
          <w:trHeight w:val="187"/>
        </w:trPr>
        <w:tc>
          <w:tcPr>
            <w:tcW w:w="3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Paul A. LaViolette</w:t>
            </w:r>
          </w:p>
        </w:tc>
      </w:tr>
      <w:tr>
        <w:trPr>
          <w:trHeight w:val="218"/>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6"/>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87"/>
        </w:trPr>
        <w:tc>
          <w:tcPr>
            <w:tcW w:w="3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Jon Skinner</w:t>
            </w:r>
          </w:p>
        </w:tc>
      </w:tr>
      <w:tr>
        <w:trPr>
          <w:trHeight w:val="218"/>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6"/>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Weber</w:t>
            </w:r>
          </w:p>
        </w:tc>
      </w:tr>
      <w:tr>
        <w:trPr>
          <w:trHeight w:val="187"/>
        </w:trPr>
        <w:tc>
          <w:tcPr>
            <w:tcW w:w="3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Steven Weber</w:t>
            </w:r>
          </w:p>
        </w:tc>
      </w:tr>
      <w:tr>
        <w:trPr>
          <w:trHeight w:val="218"/>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VP of Accounting and Global Corporate Controller</w:t>
            </w:r>
          </w:p>
        </w:tc>
      </w:tr>
      <w:tr>
        <w:trPr>
          <w:trHeight w:val="236"/>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432"/>
        </w:trPr>
        <w:tc>
          <w:tcPr>
            <w:tcW w:w="3660" w:type="dxa"/>
            <w:vAlign w:val="bottom"/>
          </w:tcPr>
          <w:p>
            <w:pPr>
              <w:spacing w:after="0"/>
              <w:rPr>
                <w:sz w:val="24"/>
                <w:szCs w:val="24"/>
                <w:color w:val="auto"/>
              </w:rPr>
            </w:pPr>
          </w:p>
        </w:tc>
        <w:tc>
          <w:tcPr>
            <w:tcW w:w="28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67</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LaViolette,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Pulse Biosciences,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668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Paul A. LaViolette</w:t>
            </w:r>
          </w:p>
        </w:tc>
      </w:tr>
      <w:tr>
        <w:trPr>
          <w:trHeight w:val="191"/>
        </w:trPr>
        <w:tc>
          <w:tcPr>
            <w:tcW w:w="45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4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Skinner, certify that:</w:t>
      </w:r>
    </w:p>
    <w:p>
      <w:pPr>
        <w:spacing w:after="0" w:line="225"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Pulse Biosciences, Inc.;</w:t>
      </w:r>
    </w:p>
    <w:p>
      <w:pPr>
        <w:spacing w:after="0" w:line="225" w:lineRule="exact"/>
        <w:rPr>
          <w:rFonts w:ascii="Times New Roman" w:cs="Times New Roman" w:eastAsia="Times New Roman" w:hAnsi="Times New Roman"/>
          <w:sz w:val="18"/>
          <w:szCs w:val="18"/>
          <w:color w:val="auto"/>
        </w:rPr>
      </w:pPr>
    </w:p>
    <w:p>
      <w:pPr>
        <w:jc w:val="both"/>
        <w:ind w:left="240" w:hanging="232"/>
        <w:spacing w:after="0" w:line="184" w:lineRule="auto"/>
        <w:tabs>
          <w:tab w:leader="none" w:pos="24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Times New Roman" w:cs="Times New Roman" w:eastAsia="Times New Roman" w:hAnsi="Times New Roman"/>
          <w:sz w:val="34"/>
          <w:szCs w:val="34"/>
          <w:color w:val="auto"/>
          <w:vertAlign w:val="subscript"/>
        </w:rPr>
      </w:pPr>
    </w:p>
    <w:p>
      <w:pPr>
        <w:ind w:left="240" w:hanging="232"/>
        <w:spacing w:after="0" w:line="184" w:lineRule="auto"/>
        <w:tabs>
          <w:tab w:leader="none" w:pos="24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34"/>
          <w:szCs w:val="34"/>
          <w:color w:val="auto"/>
          <w:vertAlign w:val="subscript"/>
        </w:rPr>
      </w:pPr>
    </w:p>
    <w:p>
      <w:pPr>
        <w:ind w:left="24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7" w:lineRule="exact"/>
        <w:rPr>
          <w:rFonts w:ascii="Times New Roman" w:cs="Times New Roman" w:eastAsia="Times New Roman" w:hAnsi="Times New Roman"/>
          <w:sz w:val="34"/>
          <w:szCs w:val="34"/>
          <w:color w:val="auto"/>
          <w:vertAlign w:val="subscript"/>
        </w:rPr>
      </w:pPr>
    </w:p>
    <w:p>
      <w:pPr>
        <w:ind w:left="240" w:hanging="232"/>
        <w:spacing w:after="0" w:line="260"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27" w:lineRule="exact"/>
        <w:rPr>
          <w:sz w:val="20"/>
          <w:szCs w:val="20"/>
          <w:color w:val="auto"/>
        </w:rPr>
      </w:pPr>
    </w:p>
    <w:p>
      <w:pPr>
        <w:ind w:left="460" w:hanging="223"/>
        <w:spacing w:after="0" w:line="260" w:lineRule="auto"/>
        <w:tabs>
          <w:tab w:leader="none" w:pos="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w:t>
      </w:r>
    </w:p>
    <w:p>
      <w:pPr>
        <w:spacing w:after="0" w:line="27" w:lineRule="exact"/>
        <w:rPr>
          <w:rFonts w:ascii="Times New Roman" w:cs="Times New Roman" w:eastAsia="Times New Roman" w:hAnsi="Times New Roman"/>
          <w:sz w:val="18"/>
          <w:szCs w:val="18"/>
          <w:color w:val="auto"/>
        </w:rPr>
      </w:pPr>
    </w:p>
    <w:p>
      <w:pPr>
        <w:ind w:left="460" w:hanging="223"/>
        <w:spacing w:after="0" w:line="260" w:lineRule="auto"/>
        <w:tabs>
          <w:tab w:leader="none" w:pos="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460" w:right="20" w:hanging="223"/>
        <w:spacing w:after="0" w:line="184" w:lineRule="auto"/>
        <w:tabs>
          <w:tab w:leader="none" w:pos="460" w:val="left"/>
        </w:tabs>
        <w:numPr>
          <w:ilvl w:val="1"/>
          <w:numId w:val="3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Times New Roman" w:cs="Times New Roman" w:eastAsia="Times New Roman" w:hAnsi="Times New Roman"/>
          <w:sz w:val="34"/>
          <w:szCs w:val="34"/>
          <w:color w:val="auto"/>
          <w:vertAlign w:val="subscript"/>
        </w:rPr>
      </w:pPr>
    </w:p>
    <w:p>
      <w:pPr>
        <w:ind w:left="46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27" w:lineRule="exact"/>
        <w:rPr>
          <w:rFonts w:ascii="Times New Roman" w:cs="Times New Roman" w:eastAsia="Times New Roman" w:hAnsi="Times New Roman"/>
          <w:sz w:val="34"/>
          <w:szCs w:val="34"/>
          <w:color w:val="auto"/>
          <w:vertAlign w:val="subscript"/>
        </w:rPr>
      </w:pPr>
    </w:p>
    <w:p>
      <w:pPr>
        <w:ind w:left="460" w:right="20" w:hanging="223"/>
        <w:spacing w:after="0" w:line="260" w:lineRule="auto"/>
        <w:tabs>
          <w:tab w:leader="none" w:pos="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left="240" w:hanging="232"/>
        <w:spacing w:after="0" w:line="184" w:lineRule="auto"/>
        <w:tabs>
          <w:tab w:leader="none" w:pos="240" w:val="left"/>
        </w:tabs>
        <w:numPr>
          <w:ilvl w:val="0"/>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Times New Roman" w:cs="Times New Roman" w:eastAsia="Times New Roman" w:hAnsi="Times New Roman"/>
          <w:sz w:val="34"/>
          <w:szCs w:val="34"/>
          <w:color w:val="auto"/>
          <w:vertAlign w:val="subscript"/>
        </w:rPr>
      </w:pPr>
    </w:p>
    <w:p>
      <w:pPr>
        <w:ind w:left="460" w:right="20" w:hanging="223"/>
        <w:spacing w:after="0" w:line="184" w:lineRule="auto"/>
        <w:tabs>
          <w:tab w:leader="none" w:pos="460" w:val="left"/>
        </w:tabs>
        <w:numPr>
          <w:ilvl w:val="1"/>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Times New Roman" w:cs="Times New Roman" w:eastAsia="Times New Roman" w:hAnsi="Times New Roman"/>
          <w:sz w:val="34"/>
          <w:szCs w:val="34"/>
          <w:color w:val="auto"/>
          <w:vertAlign w:val="subscript"/>
        </w:rPr>
      </w:pPr>
    </w:p>
    <w:p>
      <w:pPr>
        <w:ind w:left="460" w:hanging="223"/>
        <w:spacing w:after="0" w:line="184" w:lineRule="auto"/>
        <w:tabs>
          <w:tab w:leader="none" w:pos="460" w:val="left"/>
        </w:tabs>
        <w:numPr>
          <w:ilvl w:val="1"/>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September 30, 2025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40" w:hanging="382"/>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LaViolette</w:t>
            </w:r>
          </w:p>
        </w:tc>
      </w:tr>
      <w:tr>
        <w:trPr>
          <w:trHeight w:val="191"/>
        </w:trPr>
        <w:tc>
          <w:tcPr>
            <w:tcW w:w="7600" w:type="dxa"/>
            <w:vAlign w:val="bottom"/>
          </w:tcPr>
          <w:p>
            <w:pPr>
              <w:spacing w:after="0"/>
              <w:rPr>
                <w:sz w:val="16"/>
                <w:szCs w:val="16"/>
                <w:color w:val="auto"/>
              </w:rPr>
            </w:pPr>
          </w:p>
        </w:tc>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76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September 30, 2025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80" w:hanging="38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6"/>
        <w:spacing w:after="0" w:line="282" w:lineRule="auto"/>
        <w:tabs>
          <w:tab w:leader="none" w:pos="10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608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6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4"/>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2025-11-05T15:29:36Z</dcterms:created>
  <dcterms:modified xsi:type="dcterms:W3CDTF">2025-11-05T15:29:36Z</dcterms:modified>
</cp:coreProperties>
</file>