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left"/>
        <w:rPr/>
      </w:pPr>
      <w:hyperlink w:anchor="toc">
        <w:bookmarkStart w:id="0" w:name="plse20260805_424b5.htm"/>
        <w:bookmarkStart w:id="1" w:name="ksplse20260805_424b5"/>
        <w:bookmarkEnd w:id="0"/>
        <w:bookmarkEnd w:id="1"/>
        <w:r>
          <w:rPr>
            <w:rStyle w:val="InternetLink"/>
            <w:rFonts w:ascii="Times New Roman" w:hAnsi="Times New Roman"/>
            <w:caps w:val="false"/>
            <w:smallCaps w:val="false"/>
            <w:sz w:val="20"/>
          </w:rPr>
          <w:t>Table of Contents</w:t>
        </w:r>
      </w:hyperlink>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Filed Pursuant to Rule 424(b)(5)</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Registration Nos. 333-293596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(To Prospectus dated 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$75,000,000</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1352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1352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a sales agreement (the “Sales Agreement”) with Mizuho Securities USA LLC (“Mizuho”) relating to shares of our common stock offered by this prospectus supplement and the accompanying prospectus.  In accordance with the terms of the Sales Agreement, we may offer and sell shares of our common stock having an aggregate offering price of up to $75,000,000 from time to time through Mizuho acting as our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“PLSE.”  On August 5, 2026, the last reported sale price of our common stock was $37.90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common stock,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or the Securities Act, including without limitation sales made through The Nasdaq Capital Market or on any other trading market for our common stock, or by any other method permitted by law. Mizuho is not required to sell any specific amount of securities, but will act as our sales agent using commercially reasonable efforts consistent with its normal trading and sales practices, on mutually agreed terms between Mizuho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to Mizuho for sales of common stock sold pursuant to the Sales Agreement will be an amount up to 3% of the gross proceeds of any shares of common stock sold under the Sales Agreement.  In connection with the sale of the common stock on our behalf, Mizuho will be deemed to be an “underwriter” within the meaning of the Securities Act and the compensation of Mizuho will be deemed to be underwriting commissions or discounts.  We have also agreed to provide indemnification and contribution to Mizuho with respect to certain liabilities, including liabilities under the Securities Act or the Securities Exchange Act of 1934,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business and an investment in our common stock involve significant risks. These risks are described under the caption </w:t>
      </w:r>
      <w:r>
        <w:rPr>
          <w:rFonts w:ascii="Times New Roman" w:hAnsi="Times New Roman"/>
          <w:caps w:val="false"/>
          <w:smallCaps w:val="false"/>
          <w:sz w:val="20"/>
        </w:rPr>
        <w:t>“</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beginning on page 4 of this prospectus supplement and in the documents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230"/>
        <w:gridCol w:w="440"/>
      </w:tblGrid>
      <w:tr>
        <w:trPr/>
        <w:tc>
          <w:tcPr>
            <w:tcW w:w="623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6230" w:type="dxa"/>
            <w:tcBorders/>
            <w:vAlign w:val="center"/>
          </w:tcPr>
          <w:p>
            <w:pPr>
              <w:pStyle w:val="TableContents"/>
              <w:bidi w:val="0"/>
              <w:spacing w:before="0" w:after="0"/>
              <w:ind w:left="0" w:right="0" w:hanging="0"/>
              <w:jc w:val="left"/>
              <w:rPr/>
            </w:pPr>
            <w:hyperlink w:anchor="ABOUT">
              <w:r>
                <w:rPr>
                  <w:rStyle w:val="InternetLink"/>
                  <w:rFonts w:ascii="Times New Roman" w:hAnsi="Times New Roman"/>
                  <w:caps w:val="false"/>
                  <w:smallCaps w:val="false"/>
                  <w:sz w:val="20"/>
                </w:rPr>
                <w:t>ABOUT THIS PROSPECTUS SUPPLEMENT</w:t>
              </w:r>
            </w:hyperlink>
          </w:p>
        </w:tc>
        <w:tc>
          <w:tcPr>
            <w:tcW w:w="440" w:type="dxa"/>
            <w:tcBorders/>
            <w:vAlign w:val="center"/>
          </w:tcPr>
          <w:p>
            <w:pPr>
              <w:pStyle w:val="TableContents"/>
              <w:bidi w:val="0"/>
              <w:spacing w:before="0" w:after="0"/>
              <w:ind w:left="0" w:right="0" w:hanging="0"/>
              <w:jc w:val="center"/>
              <w:rPr/>
            </w:pPr>
            <w:hyperlink w:anchor="ABOUT">
              <w:r>
                <w:rPr>
                  <w:rStyle w:val="InternetLink"/>
                  <w:rFonts w:ascii="Times New Roman" w:hAnsi="Times New Roman"/>
                  <w:caps w:val="false"/>
                  <w:smallCaps w:val="false"/>
                  <w:sz w:val="20"/>
                </w:rPr>
                <w:t>S-1</w:t>
              </w:r>
            </w:hyperlink>
          </w:p>
        </w:tc>
      </w:tr>
      <w:tr>
        <w:trPr/>
        <w:tc>
          <w:tcPr>
            <w:tcW w:w="6230" w:type="dxa"/>
            <w:tcBorders/>
            <w:vAlign w:val="center"/>
          </w:tcPr>
          <w:p>
            <w:pPr>
              <w:pStyle w:val="TableContents"/>
              <w:bidi w:val="0"/>
              <w:spacing w:before="0" w:after="0"/>
              <w:ind w:left="0" w:right="0" w:hanging="0"/>
              <w:jc w:val="left"/>
              <w:rPr/>
            </w:pPr>
            <w:hyperlink w:anchor="CAUTIONARY_NOTE">
              <w:r>
                <w:rPr>
                  <w:rStyle w:val="InternetLink"/>
                  <w:rFonts w:ascii="Times New Roman" w:hAnsi="Times New Roman"/>
                  <w:caps w:val="false"/>
                  <w:smallCaps w:val="false"/>
                  <w:sz w:val="20"/>
                </w:rPr>
                <w:t>CAUTIONARY NOTE REGARDING FORWARD-LOOKING STATEMENTS</w:t>
              </w:r>
            </w:hyperlink>
          </w:p>
        </w:tc>
        <w:tc>
          <w:tcPr>
            <w:tcW w:w="440" w:type="dxa"/>
            <w:tcBorders/>
            <w:vAlign w:val="center"/>
          </w:tcPr>
          <w:p>
            <w:pPr>
              <w:pStyle w:val="TableContents"/>
              <w:bidi w:val="0"/>
              <w:spacing w:before="0" w:after="0"/>
              <w:ind w:left="0" w:right="0" w:hanging="0"/>
              <w:jc w:val="center"/>
              <w:rPr/>
            </w:pPr>
            <w:hyperlink w:anchor="CAUTIONARY_NOTE">
              <w:r>
                <w:rPr>
                  <w:rStyle w:val="InternetLink"/>
                  <w:rFonts w:ascii="Times New Roman" w:hAnsi="Times New Roman"/>
                  <w:caps w:val="false"/>
                  <w:smallCaps w:val="false"/>
                  <w:sz w:val="20"/>
                </w:rPr>
                <w:t>S-2</w:t>
              </w:r>
            </w:hyperlink>
          </w:p>
        </w:tc>
      </w:tr>
      <w:tr>
        <w:trPr/>
        <w:tc>
          <w:tcPr>
            <w:tcW w:w="6230"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rPr>
                <w:t>MARKET AND INDUSTRY DATA</w:t>
              </w:r>
            </w:hyperlink>
          </w:p>
        </w:tc>
        <w:tc>
          <w:tcPr>
            <w:tcW w:w="440" w:type="dxa"/>
            <w:tcBorders/>
            <w:vAlign w:val="center"/>
          </w:tcPr>
          <w:p>
            <w:pPr>
              <w:pStyle w:val="TableContents"/>
              <w:bidi w:val="0"/>
              <w:spacing w:before="0" w:after="0"/>
              <w:ind w:left="0" w:right="0" w:hanging="0"/>
              <w:jc w:val="center"/>
              <w:rPr/>
            </w:pPr>
            <w:hyperlink w:anchor="MARKET">
              <w:r>
                <w:rPr>
                  <w:rStyle w:val="InternetLink"/>
                  <w:rFonts w:ascii="Times New Roman" w:hAnsi="Times New Roman"/>
                  <w:caps w:val="false"/>
                  <w:smallCaps w:val="false"/>
                  <w:sz w:val="20"/>
                </w:rPr>
                <w:t>S-3</w:t>
              </w:r>
            </w:hyperlink>
          </w:p>
        </w:tc>
      </w:tr>
      <w:tr>
        <w:trPr/>
        <w:tc>
          <w:tcPr>
            <w:tcW w:w="6230" w:type="dxa"/>
            <w:tcBorders/>
            <w:vAlign w:val="center"/>
          </w:tcPr>
          <w:p>
            <w:pPr>
              <w:pStyle w:val="TableContents"/>
              <w:bidi w:val="0"/>
              <w:spacing w:before="0" w:after="0"/>
              <w:ind w:left="0" w:right="0" w:hanging="0"/>
              <w:jc w:val="left"/>
              <w:rPr/>
            </w:pPr>
            <w:hyperlink w:anchor="SUPPLEMENT_SUMMARY">
              <w:r>
                <w:rPr>
                  <w:rStyle w:val="InternetLink"/>
                  <w:rFonts w:ascii="Times New Roman" w:hAnsi="Times New Roman"/>
                  <w:caps w:val="false"/>
                  <w:smallCaps w:val="false"/>
                  <w:sz w:val="20"/>
                </w:rPr>
                <w:t>PROSPECTUS SUPPLEMENT SUMMARY</w:t>
              </w:r>
            </w:hyperlink>
          </w:p>
        </w:tc>
        <w:tc>
          <w:tcPr>
            <w:tcW w:w="440" w:type="dxa"/>
            <w:tcBorders/>
            <w:vAlign w:val="center"/>
          </w:tcPr>
          <w:p>
            <w:pPr>
              <w:pStyle w:val="TableContents"/>
              <w:bidi w:val="0"/>
              <w:spacing w:before="0" w:after="0"/>
              <w:ind w:left="0" w:right="0" w:hanging="0"/>
              <w:jc w:val="center"/>
              <w:rPr/>
            </w:pPr>
            <w:hyperlink w:anchor="SUPPLEMENT_SUMMARY">
              <w:r>
                <w:rPr>
                  <w:rStyle w:val="InternetLink"/>
                  <w:rFonts w:ascii="Times New Roman" w:hAnsi="Times New Roman"/>
                  <w:caps w:val="false"/>
                  <w:smallCaps w:val="false"/>
                  <w:sz w:val="20"/>
                </w:rPr>
                <w:t>S-4</w:t>
              </w:r>
            </w:hyperlink>
          </w:p>
        </w:tc>
      </w:tr>
      <w:tr>
        <w:trPr/>
        <w:tc>
          <w:tcPr>
            <w:tcW w:w="6230" w:type="dxa"/>
            <w:tcBorders/>
            <w:vAlign w:val="center"/>
          </w:tcPr>
          <w:p>
            <w:pPr>
              <w:pStyle w:val="TableContents"/>
              <w:bidi w:val="0"/>
              <w:spacing w:before="0" w:after="0"/>
              <w:ind w:left="0" w:right="0" w:hanging="0"/>
              <w:jc w:val="left"/>
              <w:rPr/>
            </w:pPr>
            <w:hyperlink w:anchor="THE_OFFERING">
              <w:r>
                <w:rPr>
                  <w:rStyle w:val="InternetLink"/>
                  <w:rFonts w:ascii="Times New Roman" w:hAnsi="Times New Roman"/>
                  <w:caps w:val="false"/>
                  <w:smallCaps w:val="false"/>
                  <w:sz w:val="20"/>
                </w:rPr>
                <w:t>THE OFFERING</w:t>
              </w:r>
            </w:hyperlink>
          </w:p>
        </w:tc>
        <w:tc>
          <w:tcPr>
            <w:tcW w:w="440" w:type="dxa"/>
            <w:tcBorders/>
            <w:vAlign w:val="center"/>
          </w:tcPr>
          <w:p>
            <w:pPr>
              <w:pStyle w:val="TableContents"/>
              <w:bidi w:val="0"/>
              <w:spacing w:before="0" w:after="0"/>
              <w:ind w:left="0" w:right="0" w:hanging="0"/>
              <w:jc w:val="center"/>
              <w:rPr/>
            </w:pPr>
            <w:hyperlink w:anchor="THE_OFFERING">
              <w:r>
                <w:rPr>
                  <w:rStyle w:val="InternetLink"/>
                  <w:rFonts w:ascii="Times New Roman" w:hAnsi="Times New Roman"/>
                  <w:caps w:val="false"/>
                  <w:smallCaps w:val="false"/>
                  <w:sz w:val="20"/>
                </w:rPr>
                <w:t>S-5</w:t>
              </w:r>
            </w:hyperlink>
          </w:p>
        </w:tc>
      </w:tr>
      <w:tr>
        <w:trPr/>
        <w:tc>
          <w:tcPr>
            <w:tcW w:w="6230" w:type="dxa"/>
            <w:tcBorders/>
            <w:vAlign w:val="center"/>
          </w:tcPr>
          <w:p>
            <w:pPr>
              <w:pStyle w:val="TableContents"/>
              <w:bidi w:val="0"/>
              <w:spacing w:before="0" w:after="0"/>
              <w:ind w:left="0" w:right="0" w:hanging="0"/>
              <w:jc w:val="left"/>
              <w:rPr/>
            </w:pPr>
            <w:hyperlink w:anchor="RISK_FACTOR">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center"/>
              <w:rPr/>
            </w:pPr>
            <w:hyperlink w:anchor="RISK_FACTOR">
              <w:r>
                <w:rPr>
                  <w:rStyle w:val="InternetLink"/>
                  <w:rFonts w:ascii="Times New Roman" w:hAnsi="Times New Roman"/>
                  <w:caps w:val="false"/>
                  <w:smallCaps w:val="false"/>
                  <w:sz w:val="20"/>
                </w:rPr>
                <w:t>S-6</w:t>
              </w:r>
            </w:hyperlink>
          </w:p>
        </w:tc>
      </w:tr>
      <w:tr>
        <w:trPr/>
        <w:tc>
          <w:tcPr>
            <w:tcW w:w="6230" w:type="dxa"/>
            <w:tcBorders/>
            <w:vAlign w:val="center"/>
          </w:tcPr>
          <w:p>
            <w:pPr>
              <w:pStyle w:val="TableContents"/>
              <w:bidi w:val="0"/>
              <w:spacing w:before="0" w:after="0"/>
              <w:ind w:left="0" w:right="0" w:hanging="0"/>
              <w:jc w:val="left"/>
              <w:rPr/>
            </w:pPr>
            <w:hyperlink w:anchor="USE">
              <w:r>
                <w:rPr>
                  <w:rStyle w:val="InternetLink"/>
                  <w:rFonts w:ascii="Times New Roman" w:hAnsi="Times New Roman"/>
                  <w:caps w:val="false"/>
                  <w:smallCaps w:val="false"/>
                  <w:sz w:val="20"/>
                </w:rPr>
                <w:t>USE OF PROCEEDS</w:t>
              </w:r>
            </w:hyperlink>
          </w:p>
        </w:tc>
        <w:tc>
          <w:tcPr>
            <w:tcW w:w="440" w:type="dxa"/>
            <w:tcBorders/>
            <w:vAlign w:val="center"/>
          </w:tcPr>
          <w:p>
            <w:pPr>
              <w:pStyle w:val="TableContents"/>
              <w:bidi w:val="0"/>
              <w:spacing w:before="0" w:after="0"/>
              <w:ind w:left="0" w:right="0" w:hanging="0"/>
              <w:jc w:val="center"/>
              <w:rPr/>
            </w:pPr>
            <w:hyperlink w:anchor="USE">
              <w:r>
                <w:rPr>
                  <w:rStyle w:val="InternetLink"/>
                  <w:rFonts w:ascii="Times New Roman" w:hAnsi="Times New Roman"/>
                  <w:caps w:val="false"/>
                  <w:smallCaps w:val="false"/>
                  <w:sz w:val="20"/>
                </w:rPr>
                <w:t>S-7</w:t>
              </w:r>
            </w:hyperlink>
          </w:p>
        </w:tc>
      </w:tr>
      <w:tr>
        <w:trPr/>
        <w:tc>
          <w:tcPr>
            <w:tcW w:w="6230" w:type="dxa"/>
            <w:tcBorders/>
            <w:vAlign w:val="center"/>
          </w:tcPr>
          <w:p>
            <w:pPr>
              <w:pStyle w:val="TableContents"/>
              <w:bidi w:val="0"/>
              <w:spacing w:before="0" w:after="0"/>
              <w:ind w:left="0" w:right="0" w:hanging="0"/>
              <w:jc w:val="left"/>
              <w:rPr/>
            </w:pPr>
            <w:hyperlink w:anchor="DIVIDEND">
              <w:r>
                <w:rPr>
                  <w:rStyle w:val="InternetLink"/>
                  <w:rFonts w:ascii="Times New Roman" w:hAnsi="Times New Roman"/>
                  <w:caps w:val="false"/>
                  <w:smallCaps w:val="false"/>
                  <w:sz w:val="20"/>
                </w:rPr>
                <w:t>DIVIDEND POLICY</w:t>
              </w:r>
            </w:hyperlink>
          </w:p>
        </w:tc>
        <w:tc>
          <w:tcPr>
            <w:tcW w:w="440" w:type="dxa"/>
            <w:tcBorders/>
            <w:vAlign w:val="center"/>
          </w:tcPr>
          <w:p>
            <w:pPr>
              <w:pStyle w:val="TableContents"/>
              <w:bidi w:val="0"/>
              <w:spacing w:before="0" w:after="0"/>
              <w:ind w:left="0" w:right="0" w:hanging="0"/>
              <w:jc w:val="center"/>
              <w:rPr/>
            </w:pPr>
            <w:hyperlink w:anchor="DIVIDEND">
              <w:r>
                <w:rPr>
                  <w:rStyle w:val="InternetLink"/>
                  <w:rFonts w:ascii="Times New Roman" w:hAnsi="Times New Roman"/>
                  <w:caps w:val="false"/>
                  <w:smallCaps w:val="false"/>
                  <w:sz w:val="20"/>
                </w:rPr>
                <w:t>S-8</w:t>
              </w:r>
            </w:hyperlink>
          </w:p>
        </w:tc>
      </w:tr>
      <w:tr>
        <w:trPr/>
        <w:tc>
          <w:tcPr>
            <w:tcW w:w="6230" w:type="dxa"/>
            <w:tcBorders/>
            <w:vAlign w:val="center"/>
          </w:tcPr>
          <w:p>
            <w:pPr>
              <w:pStyle w:val="TableContents"/>
              <w:bidi w:val="0"/>
              <w:spacing w:before="0" w:after="0"/>
              <w:ind w:left="0" w:right="0" w:hanging="0"/>
              <w:jc w:val="left"/>
              <w:rPr/>
            </w:pPr>
            <w:hyperlink w:anchor="DILUTION">
              <w:r>
                <w:rPr>
                  <w:rStyle w:val="InternetLink"/>
                  <w:rFonts w:ascii="Times New Roman" w:hAnsi="Times New Roman"/>
                  <w:caps w:val="false"/>
                  <w:smallCaps w:val="false"/>
                  <w:sz w:val="20"/>
                </w:rPr>
                <w:t>DILUTION</w:t>
              </w:r>
            </w:hyperlink>
          </w:p>
        </w:tc>
        <w:tc>
          <w:tcPr>
            <w:tcW w:w="440" w:type="dxa"/>
            <w:tcBorders/>
            <w:vAlign w:val="center"/>
          </w:tcPr>
          <w:p>
            <w:pPr>
              <w:pStyle w:val="TableContents"/>
              <w:bidi w:val="0"/>
              <w:spacing w:before="0" w:after="0"/>
              <w:ind w:left="0" w:right="0" w:hanging="0"/>
              <w:jc w:val="center"/>
              <w:rPr/>
            </w:pPr>
            <w:hyperlink w:anchor="DILUTION">
              <w:r>
                <w:rPr>
                  <w:rStyle w:val="InternetLink"/>
                  <w:rFonts w:ascii="Times New Roman" w:hAnsi="Times New Roman"/>
                  <w:caps w:val="false"/>
                  <w:smallCaps w:val="false"/>
                  <w:sz w:val="20"/>
                </w:rPr>
                <w:t>S-9</w:t>
              </w:r>
            </w:hyperlink>
          </w:p>
        </w:tc>
      </w:tr>
      <w:tr>
        <w:trPr/>
        <w:tc>
          <w:tcPr>
            <w:tcW w:w="6230" w:type="dxa"/>
            <w:tcBorders/>
            <w:vAlign w:val="center"/>
          </w:tcPr>
          <w:p>
            <w:pPr>
              <w:pStyle w:val="TableContents"/>
              <w:bidi w:val="0"/>
              <w:spacing w:before="0" w:after="0"/>
              <w:ind w:left="0" w:right="0" w:hanging="0"/>
              <w:jc w:val="left"/>
              <w:rPr/>
            </w:pPr>
            <w:hyperlink w:anchor="PLAN_OF_DIST">
              <w:r>
                <w:rPr>
                  <w:rStyle w:val="InternetLink"/>
                  <w:rFonts w:ascii="Times New Roman" w:hAnsi="Times New Roman"/>
                  <w:caps w:val="false"/>
                  <w:smallCaps w:val="false"/>
                  <w:sz w:val="20"/>
                </w:rPr>
                <w:t>PLAN OF DISTRIBUTION</w:t>
              </w:r>
            </w:hyperlink>
          </w:p>
        </w:tc>
        <w:tc>
          <w:tcPr>
            <w:tcW w:w="440" w:type="dxa"/>
            <w:tcBorders/>
            <w:vAlign w:val="center"/>
          </w:tcPr>
          <w:p>
            <w:pPr>
              <w:pStyle w:val="TableContents"/>
              <w:bidi w:val="0"/>
              <w:spacing w:before="0" w:after="0"/>
              <w:ind w:left="0" w:right="0" w:hanging="0"/>
              <w:jc w:val="center"/>
              <w:rPr/>
            </w:pPr>
            <w:hyperlink w:anchor="PLAN_OF_DIST">
              <w:r>
                <w:rPr>
                  <w:rStyle w:val="InternetLink"/>
                  <w:rFonts w:ascii="Times New Roman" w:hAnsi="Times New Roman"/>
                  <w:caps w:val="false"/>
                  <w:smallCaps w:val="false"/>
                  <w:sz w:val="20"/>
                </w:rPr>
                <w:t>S-10</w:t>
              </w:r>
            </w:hyperlink>
          </w:p>
        </w:tc>
      </w:tr>
      <w:tr>
        <w:trPr/>
        <w:tc>
          <w:tcPr>
            <w:tcW w:w="623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MATTERS</w:t>
              </w:r>
            </w:hyperlink>
          </w:p>
        </w:tc>
        <w:tc>
          <w:tcPr>
            <w:tcW w:w="44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S-11</w:t>
              </w:r>
            </w:hyperlink>
          </w:p>
        </w:tc>
      </w:tr>
      <w:tr>
        <w:trPr/>
        <w:tc>
          <w:tcPr>
            <w:tcW w:w="6230" w:type="dxa"/>
            <w:tcBorders/>
            <w:vAlign w:val="center"/>
          </w:tcPr>
          <w:p>
            <w:pPr>
              <w:pStyle w:val="TableContents"/>
              <w:bidi w:val="0"/>
              <w:spacing w:before="0" w:after="0"/>
              <w:ind w:left="0" w:right="0" w:hanging="0"/>
              <w:jc w:val="left"/>
              <w:rPr/>
            </w:pPr>
            <w:hyperlink w:anchor="EXP">
              <w:r>
                <w:rPr>
                  <w:rStyle w:val="InternetLink"/>
                  <w:rFonts w:ascii="Times New Roman" w:hAnsi="Times New Roman"/>
                  <w:caps w:val="false"/>
                  <w:smallCaps w:val="false"/>
                  <w:sz w:val="20"/>
                </w:rPr>
                <w:t>EXPERTS</w:t>
              </w:r>
            </w:hyperlink>
          </w:p>
        </w:tc>
        <w:tc>
          <w:tcPr>
            <w:tcW w:w="440" w:type="dxa"/>
            <w:tcBorders/>
            <w:vAlign w:val="center"/>
          </w:tcPr>
          <w:p>
            <w:pPr>
              <w:pStyle w:val="TableContents"/>
              <w:bidi w:val="0"/>
              <w:spacing w:before="0" w:after="0"/>
              <w:ind w:left="0" w:right="0" w:hanging="0"/>
              <w:jc w:val="center"/>
              <w:rPr/>
            </w:pPr>
            <w:hyperlink w:anchor="EXP">
              <w:r>
                <w:rPr>
                  <w:rStyle w:val="InternetLink"/>
                  <w:rFonts w:ascii="Times New Roman" w:hAnsi="Times New Roman"/>
                  <w:caps w:val="false"/>
                  <w:smallCaps w:val="false"/>
                  <w:sz w:val="20"/>
                </w:rPr>
                <w:t>S-11</w:t>
              </w:r>
            </w:hyperlink>
          </w:p>
        </w:tc>
      </w:tr>
      <w:tr>
        <w:trPr/>
        <w:tc>
          <w:tcPr>
            <w:tcW w:w="6230" w:type="dxa"/>
            <w:tcBorders/>
            <w:vAlign w:val="center"/>
          </w:tcPr>
          <w:p>
            <w:pPr>
              <w:pStyle w:val="TableContents"/>
              <w:bidi w:val="0"/>
              <w:spacing w:before="0" w:after="0"/>
              <w:ind w:left="0" w:right="0" w:hanging="0"/>
              <w:jc w:val="left"/>
              <w:rPr/>
            </w:pPr>
            <w:hyperlink w:anchor="WHERE">
              <w:r>
                <w:rPr>
                  <w:rStyle w:val="InternetLink"/>
                  <w:rFonts w:ascii="Times New Roman" w:hAnsi="Times New Roman"/>
                  <w:caps w:val="false"/>
                  <w:smallCaps w:val="false"/>
                  <w:sz w:val="20"/>
                </w:rPr>
                <w:t>WHERE YOU CAN FIND MORE INFORMATION</w:t>
              </w:r>
            </w:hyperlink>
          </w:p>
        </w:tc>
        <w:tc>
          <w:tcPr>
            <w:tcW w:w="440" w:type="dxa"/>
            <w:tcBorders/>
            <w:vAlign w:val="center"/>
          </w:tcPr>
          <w:p>
            <w:pPr>
              <w:pStyle w:val="TableContents"/>
              <w:bidi w:val="0"/>
              <w:spacing w:before="0" w:after="0"/>
              <w:ind w:left="0" w:right="0" w:hanging="0"/>
              <w:jc w:val="center"/>
              <w:rPr/>
            </w:pPr>
            <w:hyperlink w:anchor="WHERE">
              <w:r>
                <w:rPr>
                  <w:rStyle w:val="InternetLink"/>
                  <w:rFonts w:ascii="Times New Roman" w:hAnsi="Times New Roman"/>
                  <w:caps w:val="false"/>
                  <w:smallCaps w:val="false"/>
                  <w:sz w:val="20"/>
                </w:rPr>
                <w:t>S-11</w:t>
              </w:r>
            </w:hyperlink>
          </w:p>
        </w:tc>
      </w:tr>
      <w:tr>
        <w:trPr/>
        <w:tc>
          <w:tcPr>
            <w:tcW w:w="6230" w:type="dxa"/>
            <w:tcBorders/>
            <w:vAlign w:val="center"/>
          </w:tcPr>
          <w:p>
            <w:pPr>
              <w:pStyle w:val="TableContents"/>
              <w:bidi w:val="0"/>
              <w:spacing w:before="0" w:after="0"/>
              <w:ind w:left="0" w:right="0" w:hanging="0"/>
              <w:jc w:val="left"/>
              <w:rPr/>
            </w:pPr>
            <w:hyperlink w:anchor="INFORMATION_INCORPORATED">
              <w:r>
                <w:rPr>
                  <w:rStyle w:val="InternetLink"/>
                  <w:rFonts w:ascii="Times New Roman" w:hAnsi="Times New Roman"/>
                  <w:caps w:val="false"/>
                  <w:smallCaps w:val="false"/>
                  <w:sz w:val="20"/>
                </w:rPr>
                <w:t>INFORMATION INCORPORATED BY REFERENCE</w:t>
              </w:r>
            </w:hyperlink>
          </w:p>
        </w:tc>
        <w:tc>
          <w:tcPr>
            <w:tcW w:w="440" w:type="dxa"/>
            <w:tcBorders/>
            <w:vAlign w:val="center"/>
          </w:tcPr>
          <w:p>
            <w:pPr>
              <w:pStyle w:val="TableContents"/>
              <w:bidi w:val="0"/>
              <w:spacing w:before="0" w:after="0"/>
              <w:ind w:left="0" w:right="0" w:hanging="0"/>
              <w:jc w:val="center"/>
              <w:rPr/>
            </w:pPr>
            <w:hyperlink w:anchor="INFORMATION_INCORPORATED">
              <w:r>
                <w:rPr>
                  <w:rStyle w:val="InternetLink"/>
                  <w:rFonts w:ascii="Times New Roman" w:hAnsi="Times New Roman"/>
                  <w:caps w:val="false"/>
                  <w:smallCaps w:val="false"/>
                  <w:sz w:val="20"/>
                </w:rPr>
                <w:t>S-12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6230"/>
        <w:gridCol w:w="455"/>
      </w:tblGrid>
      <w:tr>
        <w:trPr/>
        <w:tc>
          <w:tcPr>
            <w:tcW w:w="623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w:t>
            </w:r>
          </w:p>
        </w:tc>
      </w:tr>
      <w:tr>
        <w:trPr/>
        <w:tc>
          <w:tcPr>
            <w:tcW w:w="6230" w:type="dxa"/>
            <w:tcBorders/>
            <w:vAlign w:val="center"/>
          </w:tcPr>
          <w:p>
            <w:pPr>
              <w:pStyle w:val="TableContents"/>
              <w:bidi w:val="0"/>
              <w:spacing w:before="0" w:after="283"/>
              <w:jc w:val="left"/>
              <w:rPr/>
            </w:pPr>
            <w:hyperlink w:anchor="ABOUT_THIS_PROSPECTUS">
              <w:r>
                <w:rPr>
                  <w:rStyle w:val="InternetLink"/>
                  <w:rFonts w:ascii="Times New Roman;Times;serif" w:hAnsi="Times New Roman;Times;serif"/>
                  <w:sz w:val="20"/>
                </w:rPr>
                <w:t>ABOUT THIS PROSPECTUS</w:t>
              </w:r>
            </w:hyperlink>
          </w:p>
        </w:tc>
        <w:tc>
          <w:tcPr>
            <w:tcW w:w="455" w:type="dxa"/>
            <w:tcBorders/>
            <w:vAlign w:val="center"/>
          </w:tcPr>
          <w:p>
            <w:pPr>
              <w:pStyle w:val="TableContents"/>
              <w:bidi w:val="0"/>
              <w:spacing w:before="0" w:after="283"/>
              <w:jc w:val="center"/>
              <w:rPr/>
            </w:pPr>
            <w:hyperlink w:anchor="ABOUT_THIS_PROSPECTUS">
              <w:r>
                <w:rPr>
                  <w:rStyle w:val="InternetLink"/>
                  <w:rFonts w:ascii="Times New Roman;Times;serif" w:hAnsi="Times New Roman;Times;serif"/>
                  <w:sz w:val="20"/>
                </w:rPr>
                <w:t>2</w:t>
              </w:r>
            </w:hyperlink>
          </w:p>
        </w:tc>
      </w:tr>
      <w:tr>
        <w:trPr/>
        <w:tc>
          <w:tcPr>
            <w:tcW w:w="6230" w:type="dxa"/>
            <w:tcBorders/>
            <w:vAlign w:val="center"/>
          </w:tcPr>
          <w:p>
            <w:pPr>
              <w:pStyle w:val="TableContents"/>
              <w:bidi w:val="0"/>
              <w:spacing w:before="0" w:after="283"/>
              <w:jc w:val="left"/>
              <w:rPr/>
            </w:pPr>
            <w:hyperlink w:anchor="CAUTIONARY_STATEMENT_REGARDING_FORWARD_LOOKING_STATEMENTS">
              <w:r>
                <w:rPr>
                  <w:rStyle w:val="InternetLink"/>
                  <w:rFonts w:ascii="Times New Roman;Times;serif" w:hAnsi="Times New Roman;Times;serif"/>
                  <w:sz w:val="20"/>
                </w:rPr>
                <w:t>CAUTIONARY NOTE REGARDING FORWARD LOOKING STATEMENTS</w:t>
              </w:r>
            </w:hyperlink>
          </w:p>
        </w:tc>
        <w:tc>
          <w:tcPr>
            <w:tcW w:w="455" w:type="dxa"/>
            <w:tcBorders/>
            <w:vAlign w:val="center"/>
          </w:tcPr>
          <w:p>
            <w:pPr>
              <w:pStyle w:val="TableContents"/>
              <w:bidi w:val="0"/>
              <w:spacing w:before="0" w:after="283"/>
              <w:jc w:val="center"/>
              <w:rPr/>
            </w:pPr>
            <w:hyperlink w:anchor="CAUTIONARY_STATEMENT_REGARDING_FORWARD_LOOKING_STATEMENTS">
              <w:r>
                <w:rPr>
                  <w:rStyle w:val="InternetLink"/>
                  <w:rFonts w:ascii="Times New Roman;Times;serif" w:hAnsi="Times New Roman;Times;serif"/>
                  <w:sz w:val="20"/>
                </w:rPr>
                <w:t>3</w:t>
              </w:r>
            </w:hyperlink>
          </w:p>
        </w:tc>
      </w:tr>
      <w:tr>
        <w:trPr/>
        <w:tc>
          <w:tcPr>
            <w:tcW w:w="6230" w:type="dxa"/>
            <w:tcBorders/>
            <w:vAlign w:val="center"/>
          </w:tcPr>
          <w:p>
            <w:pPr>
              <w:pStyle w:val="TableContents"/>
              <w:bidi w:val="0"/>
              <w:spacing w:before="0" w:after="283"/>
              <w:jc w:val="left"/>
              <w:rPr/>
            </w:pPr>
            <w:hyperlink w:anchor="PROSPECTUS_SUMMARY">
              <w:r>
                <w:rPr>
                  <w:rStyle w:val="InternetLink"/>
                  <w:rFonts w:ascii="Times New Roman;Times;serif" w:hAnsi="Times New Roman;Times;serif"/>
                  <w:sz w:val="20"/>
                </w:rPr>
                <w:t>PROSPECTUS SUMMARY</w:t>
              </w:r>
            </w:hyperlink>
          </w:p>
        </w:tc>
        <w:tc>
          <w:tcPr>
            <w:tcW w:w="455" w:type="dxa"/>
            <w:tcBorders/>
            <w:vAlign w:val="center"/>
          </w:tcPr>
          <w:p>
            <w:pPr>
              <w:pStyle w:val="TableContents"/>
              <w:bidi w:val="0"/>
              <w:spacing w:before="0" w:after="283"/>
              <w:jc w:val="center"/>
              <w:rPr/>
            </w:pPr>
            <w:hyperlink w:anchor="PROSPECTUS_SUMMARY">
              <w:r>
                <w:rPr>
                  <w:rStyle w:val="InternetLink"/>
                  <w:rFonts w:ascii="Times New Roman;Times;serif" w:hAnsi="Times New Roman;Times;serif"/>
                  <w:sz w:val="20"/>
                </w:rPr>
                <w:t>4</w:t>
              </w:r>
            </w:hyperlink>
          </w:p>
        </w:tc>
      </w:tr>
      <w:tr>
        <w:trPr/>
        <w:tc>
          <w:tcPr>
            <w:tcW w:w="6230" w:type="dxa"/>
            <w:tcBorders/>
            <w:vAlign w:val="center"/>
          </w:tcPr>
          <w:p>
            <w:pPr>
              <w:pStyle w:val="TableContents"/>
              <w:bidi w:val="0"/>
              <w:spacing w:before="0" w:after="283"/>
              <w:jc w:val="left"/>
              <w:rPr/>
            </w:pPr>
            <w:hyperlink w:anchor="RISK_FACTORS_">
              <w:r>
                <w:rPr>
                  <w:rStyle w:val="InternetLink"/>
                  <w:rFonts w:ascii="Times New Roman;Times;serif" w:hAnsi="Times New Roman;Times;serif"/>
                  <w:sz w:val="20"/>
                </w:rPr>
                <w:t>RISK FACTORS </w:t>
              </w:r>
            </w:hyperlink>
          </w:p>
        </w:tc>
        <w:tc>
          <w:tcPr>
            <w:tcW w:w="455" w:type="dxa"/>
            <w:tcBorders/>
            <w:vAlign w:val="center"/>
          </w:tcPr>
          <w:p>
            <w:pPr>
              <w:pStyle w:val="TableContents"/>
              <w:bidi w:val="0"/>
              <w:spacing w:before="0" w:after="283"/>
              <w:jc w:val="center"/>
              <w:rPr/>
            </w:pPr>
            <w:hyperlink w:anchor="RISK_FACTORS_">
              <w:r>
                <w:rPr>
                  <w:rStyle w:val="InternetLink"/>
                  <w:rFonts w:ascii="Times New Roman;Times;serif" w:hAnsi="Times New Roman;Times;serif"/>
                  <w:sz w:val="20"/>
                </w:rPr>
                <w:t>6</w:t>
              </w:r>
            </w:hyperlink>
          </w:p>
        </w:tc>
      </w:tr>
      <w:tr>
        <w:trPr/>
        <w:tc>
          <w:tcPr>
            <w:tcW w:w="6230" w:type="dxa"/>
            <w:tcBorders/>
            <w:vAlign w:val="center"/>
          </w:tcPr>
          <w:p>
            <w:pPr>
              <w:pStyle w:val="TableContents"/>
              <w:bidi w:val="0"/>
              <w:spacing w:before="0" w:after="283"/>
              <w:jc w:val="left"/>
              <w:rPr/>
            </w:pPr>
            <w:hyperlink w:anchor="USE_OF_PROCEEDS">
              <w:r>
                <w:rPr>
                  <w:rStyle w:val="InternetLink"/>
                  <w:rFonts w:ascii="Times New Roman;Times;serif" w:hAnsi="Times New Roman;Times;serif"/>
                  <w:sz w:val="20"/>
                </w:rPr>
                <w:t>USE OF PROCEEDS</w:t>
              </w:r>
            </w:hyperlink>
          </w:p>
        </w:tc>
        <w:tc>
          <w:tcPr>
            <w:tcW w:w="455" w:type="dxa"/>
            <w:tcBorders/>
            <w:vAlign w:val="center"/>
          </w:tcPr>
          <w:p>
            <w:pPr>
              <w:pStyle w:val="TableContents"/>
              <w:bidi w:val="0"/>
              <w:spacing w:before="0" w:after="283"/>
              <w:jc w:val="center"/>
              <w:rPr/>
            </w:pPr>
            <w:hyperlink w:anchor="USE_OF_PROCEEDS">
              <w:r>
                <w:rPr>
                  <w:rStyle w:val="InternetLink"/>
                  <w:rFonts w:ascii="Times New Roman;Times;serif" w:hAnsi="Times New Roman;Times;serif"/>
                  <w:sz w:val="20"/>
                </w:rPr>
                <w:t>6</w:t>
              </w:r>
            </w:hyperlink>
          </w:p>
        </w:tc>
      </w:tr>
      <w:tr>
        <w:trPr/>
        <w:tc>
          <w:tcPr>
            <w:tcW w:w="6230" w:type="dxa"/>
            <w:tcBorders/>
            <w:vAlign w:val="center"/>
          </w:tcPr>
          <w:p>
            <w:pPr>
              <w:pStyle w:val="TableContents"/>
              <w:bidi w:val="0"/>
              <w:spacing w:before="0" w:after="283"/>
              <w:jc w:val="left"/>
              <w:rPr/>
            </w:pPr>
            <w:hyperlink w:anchor="DESCRIPTION_OF_CAPITAL_STOCK">
              <w:r>
                <w:rPr>
                  <w:rStyle w:val="InternetLink"/>
                  <w:rFonts w:ascii="Times New Roman;Times;serif" w:hAnsi="Times New Roman;Times;serif"/>
                  <w:sz w:val="20"/>
                </w:rPr>
                <w:t>DESCRIPTION OF CAPITAL STOCK</w:t>
              </w:r>
            </w:hyperlink>
          </w:p>
        </w:tc>
        <w:tc>
          <w:tcPr>
            <w:tcW w:w="455" w:type="dxa"/>
            <w:tcBorders/>
            <w:vAlign w:val="center"/>
          </w:tcPr>
          <w:p>
            <w:pPr>
              <w:pStyle w:val="TableContents"/>
              <w:bidi w:val="0"/>
              <w:spacing w:before="0" w:after="283"/>
              <w:jc w:val="center"/>
              <w:rPr/>
            </w:pPr>
            <w:hyperlink w:anchor="DESCRIPTION_OF_CAPITAL_STOCK">
              <w:r>
                <w:rPr>
                  <w:rStyle w:val="InternetLink"/>
                  <w:rFonts w:ascii="Times New Roman;Times;serif" w:hAnsi="Times New Roman;Times;serif"/>
                  <w:sz w:val="20"/>
                </w:rPr>
                <w:t>7</w:t>
              </w:r>
            </w:hyperlink>
          </w:p>
        </w:tc>
      </w:tr>
      <w:tr>
        <w:trPr/>
        <w:tc>
          <w:tcPr>
            <w:tcW w:w="6230" w:type="dxa"/>
            <w:tcBorders/>
            <w:vAlign w:val="center"/>
          </w:tcPr>
          <w:p>
            <w:pPr>
              <w:pStyle w:val="TableContents"/>
              <w:bidi w:val="0"/>
              <w:spacing w:before="0" w:after="283"/>
              <w:jc w:val="left"/>
              <w:rPr/>
            </w:pPr>
            <w:hyperlink w:anchor="DESCRIPTION_OF_DEBT_SECURITIES">
              <w:r>
                <w:rPr>
                  <w:rStyle w:val="InternetLink"/>
                  <w:rFonts w:ascii="Times New Roman;Times;serif" w:hAnsi="Times New Roman;Times;serif"/>
                  <w:sz w:val="20"/>
                </w:rPr>
                <w:t>DESCRIPTION OF DEBT SECURITIES</w:t>
              </w:r>
            </w:hyperlink>
          </w:p>
        </w:tc>
        <w:tc>
          <w:tcPr>
            <w:tcW w:w="455" w:type="dxa"/>
            <w:tcBorders/>
            <w:vAlign w:val="center"/>
          </w:tcPr>
          <w:p>
            <w:pPr>
              <w:pStyle w:val="TableContents"/>
              <w:bidi w:val="0"/>
              <w:spacing w:before="0" w:after="283"/>
              <w:jc w:val="center"/>
              <w:rPr/>
            </w:pPr>
            <w:hyperlink w:anchor="DESCRIPTION_OF_DEBT_SECURITIES">
              <w:r>
                <w:rPr>
                  <w:rStyle w:val="InternetLink"/>
                  <w:rFonts w:ascii="Times New Roman;Times;serif" w:hAnsi="Times New Roman;Times;serif"/>
                  <w:sz w:val="20"/>
                </w:rPr>
                <w:t>10</w:t>
              </w:r>
            </w:hyperlink>
          </w:p>
        </w:tc>
      </w:tr>
      <w:tr>
        <w:trPr/>
        <w:tc>
          <w:tcPr>
            <w:tcW w:w="6230" w:type="dxa"/>
            <w:tcBorders/>
            <w:vAlign w:val="center"/>
          </w:tcPr>
          <w:p>
            <w:pPr>
              <w:pStyle w:val="TableContents"/>
              <w:bidi w:val="0"/>
              <w:spacing w:before="0" w:after="283"/>
              <w:jc w:val="left"/>
              <w:rPr/>
            </w:pPr>
            <w:hyperlink w:anchor="DESCRIPTION_OF_DEPOSITARY_SHARES">
              <w:r>
                <w:rPr>
                  <w:rStyle w:val="InternetLink"/>
                  <w:rFonts w:ascii="Times New Roman;Times;serif" w:hAnsi="Times New Roman;Times;serif"/>
                  <w:sz w:val="20"/>
                </w:rPr>
                <w:t>DESCRIPTION OF DEPOSITARY SHARES</w:t>
              </w:r>
            </w:hyperlink>
          </w:p>
        </w:tc>
        <w:tc>
          <w:tcPr>
            <w:tcW w:w="455" w:type="dxa"/>
            <w:tcBorders/>
            <w:vAlign w:val="center"/>
          </w:tcPr>
          <w:p>
            <w:pPr>
              <w:pStyle w:val="TableContents"/>
              <w:bidi w:val="0"/>
              <w:spacing w:before="0" w:after="283"/>
              <w:jc w:val="center"/>
              <w:rPr/>
            </w:pPr>
            <w:hyperlink w:anchor="DESCRIPTION_OF_DEPOSITARY_SHARES">
              <w:r>
                <w:rPr>
                  <w:rStyle w:val="InternetLink"/>
                  <w:rFonts w:ascii="Times New Roman;Times;serif" w:hAnsi="Times New Roman;Times;serif"/>
                  <w:sz w:val="20"/>
                </w:rPr>
                <w:t>16</w:t>
              </w:r>
            </w:hyperlink>
          </w:p>
        </w:tc>
      </w:tr>
      <w:tr>
        <w:trPr/>
        <w:tc>
          <w:tcPr>
            <w:tcW w:w="6230" w:type="dxa"/>
            <w:tcBorders/>
            <w:vAlign w:val="center"/>
          </w:tcPr>
          <w:p>
            <w:pPr>
              <w:pStyle w:val="TableContents"/>
              <w:bidi w:val="0"/>
              <w:spacing w:before="0" w:after="283"/>
              <w:jc w:val="left"/>
              <w:rPr/>
            </w:pPr>
            <w:hyperlink w:anchor="DESCRIPTION_OF_WARRANTS">
              <w:r>
                <w:rPr>
                  <w:rStyle w:val="InternetLink"/>
                  <w:rFonts w:ascii="Times New Roman;Times;serif" w:hAnsi="Times New Roman;Times;serif"/>
                  <w:sz w:val="20"/>
                </w:rPr>
                <w:t>DESCRIPTION OF WARRANTS</w:t>
              </w:r>
            </w:hyperlink>
          </w:p>
        </w:tc>
        <w:tc>
          <w:tcPr>
            <w:tcW w:w="455" w:type="dxa"/>
            <w:tcBorders/>
            <w:vAlign w:val="center"/>
          </w:tcPr>
          <w:p>
            <w:pPr>
              <w:pStyle w:val="TableContents"/>
              <w:bidi w:val="0"/>
              <w:spacing w:before="0" w:after="283"/>
              <w:jc w:val="center"/>
              <w:rPr/>
            </w:pPr>
            <w:hyperlink w:anchor="DESCRIPTION_OF_WARRANTS">
              <w:r>
                <w:rPr>
                  <w:rStyle w:val="InternetLink"/>
                  <w:rFonts w:ascii="Times New Roman;Times;serif" w:hAnsi="Times New Roman;Times;serif"/>
                  <w:sz w:val="20"/>
                </w:rPr>
                <w:t>18</w:t>
              </w:r>
            </w:hyperlink>
          </w:p>
        </w:tc>
      </w:tr>
      <w:tr>
        <w:trPr/>
        <w:tc>
          <w:tcPr>
            <w:tcW w:w="6230" w:type="dxa"/>
            <w:tcBorders/>
            <w:vAlign w:val="center"/>
          </w:tcPr>
          <w:p>
            <w:pPr>
              <w:pStyle w:val="TableContents"/>
              <w:bidi w:val="0"/>
              <w:spacing w:before="0" w:after="283"/>
              <w:jc w:val="left"/>
              <w:rPr/>
            </w:pPr>
            <w:hyperlink w:anchor="DESCRIPTION_OF_SUBSCRIPTION_RIGHTS">
              <w:r>
                <w:rPr>
                  <w:rStyle w:val="InternetLink"/>
                  <w:rFonts w:ascii="Times New Roman;Times;serif" w:hAnsi="Times New Roman;Times;serif"/>
                  <w:sz w:val="20"/>
                </w:rPr>
                <w:t>DESCRIPTION OF SUBSCRIPTION RIGHTS</w:t>
              </w:r>
            </w:hyperlink>
          </w:p>
        </w:tc>
        <w:tc>
          <w:tcPr>
            <w:tcW w:w="455" w:type="dxa"/>
            <w:tcBorders/>
            <w:vAlign w:val="center"/>
          </w:tcPr>
          <w:p>
            <w:pPr>
              <w:pStyle w:val="TableContents"/>
              <w:bidi w:val="0"/>
              <w:spacing w:before="0" w:after="283"/>
              <w:jc w:val="center"/>
              <w:rPr/>
            </w:pPr>
            <w:hyperlink w:anchor="DESCRIPTION_OF_SUBSCRIPTION_RIGHTS">
              <w:r>
                <w:rPr>
                  <w:rStyle w:val="InternetLink"/>
                  <w:rFonts w:ascii="Times New Roman;Times;serif" w:hAnsi="Times New Roman;Times;serif"/>
                  <w:sz w:val="20"/>
                </w:rPr>
                <w:t>19</w:t>
              </w:r>
            </w:hyperlink>
          </w:p>
        </w:tc>
      </w:tr>
      <w:tr>
        <w:trPr/>
        <w:tc>
          <w:tcPr>
            <w:tcW w:w="6230" w:type="dxa"/>
            <w:tcBorders/>
            <w:vAlign w:val="center"/>
          </w:tcPr>
          <w:p>
            <w:pPr>
              <w:pStyle w:val="TableContents"/>
              <w:bidi w:val="0"/>
              <w:spacing w:before="0" w:after="283"/>
              <w:jc w:val="left"/>
              <w:rPr/>
            </w:pPr>
            <w:hyperlink w:anchor="DESCRIPTION_OF_PURCHASE_CONTRACTS">
              <w:r>
                <w:rPr>
                  <w:rStyle w:val="InternetLink"/>
                  <w:rFonts w:ascii="Times New Roman;Times;serif" w:hAnsi="Times New Roman;Times;serif"/>
                  <w:sz w:val="20"/>
                </w:rPr>
                <w:t>DESCRIPTION OF PURCHASE CONTRACTS</w:t>
              </w:r>
            </w:hyperlink>
          </w:p>
        </w:tc>
        <w:tc>
          <w:tcPr>
            <w:tcW w:w="455" w:type="dxa"/>
            <w:tcBorders/>
            <w:vAlign w:val="center"/>
          </w:tcPr>
          <w:p>
            <w:pPr>
              <w:pStyle w:val="TableContents"/>
              <w:bidi w:val="0"/>
              <w:spacing w:before="0" w:after="283"/>
              <w:jc w:val="center"/>
              <w:rPr/>
            </w:pPr>
            <w:hyperlink w:anchor="DESCRIPTION_OF_PURCHASE_CONTRACTS">
              <w:r>
                <w:rPr>
                  <w:rStyle w:val="InternetLink"/>
                  <w:rFonts w:ascii="Times New Roman;Times;serif" w:hAnsi="Times New Roman;Times;serif"/>
                  <w:sz w:val="20"/>
                </w:rPr>
                <w:t>20</w:t>
              </w:r>
            </w:hyperlink>
          </w:p>
        </w:tc>
      </w:tr>
      <w:tr>
        <w:trPr/>
        <w:tc>
          <w:tcPr>
            <w:tcW w:w="6230" w:type="dxa"/>
            <w:tcBorders/>
            <w:vAlign w:val="center"/>
          </w:tcPr>
          <w:p>
            <w:pPr>
              <w:pStyle w:val="TableContents"/>
              <w:bidi w:val="0"/>
              <w:spacing w:before="0" w:after="283"/>
              <w:jc w:val="left"/>
              <w:rPr/>
            </w:pPr>
            <w:hyperlink w:anchor="DESCRIPTION_OF_UNITS">
              <w:r>
                <w:rPr>
                  <w:rStyle w:val="InternetLink"/>
                  <w:rFonts w:ascii="Times New Roman;Times;serif" w:hAnsi="Times New Roman;Times;serif"/>
                  <w:sz w:val="20"/>
                </w:rPr>
                <w:t>DESCRIPTION OF UNITS</w:t>
              </w:r>
            </w:hyperlink>
          </w:p>
        </w:tc>
        <w:tc>
          <w:tcPr>
            <w:tcW w:w="455" w:type="dxa"/>
            <w:tcBorders/>
            <w:vAlign w:val="center"/>
          </w:tcPr>
          <w:p>
            <w:pPr>
              <w:pStyle w:val="TableContents"/>
              <w:bidi w:val="0"/>
              <w:spacing w:before="0" w:after="283"/>
              <w:jc w:val="center"/>
              <w:rPr/>
            </w:pPr>
            <w:hyperlink w:anchor="DESCRIPTION_OF_UNITS">
              <w:r>
                <w:rPr>
                  <w:rStyle w:val="InternetLink"/>
                  <w:rFonts w:ascii="Times New Roman;Times;serif" w:hAnsi="Times New Roman;Times;serif"/>
                  <w:sz w:val="20"/>
                </w:rPr>
                <w:t>21</w:t>
              </w:r>
            </w:hyperlink>
          </w:p>
        </w:tc>
      </w:tr>
      <w:tr>
        <w:trPr/>
        <w:tc>
          <w:tcPr>
            <w:tcW w:w="6230" w:type="dxa"/>
            <w:tcBorders/>
            <w:vAlign w:val="center"/>
          </w:tcPr>
          <w:p>
            <w:pPr>
              <w:pStyle w:val="TableContents"/>
              <w:bidi w:val="0"/>
              <w:spacing w:before="0" w:after="283"/>
              <w:jc w:val="left"/>
              <w:rPr/>
            </w:pPr>
            <w:hyperlink w:anchor="DIVIDEND_POLICY">
              <w:r>
                <w:rPr>
                  <w:rStyle w:val="InternetLink"/>
                  <w:rFonts w:ascii="Times New Roman;Times;serif" w:hAnsi="Times New Roman;Times;serif"/>
                  <w:sz w:val="20"/>
                </w:rPr>
                <w:t>DIVIDEND POLICY</w:t>
              </w:r>
            </w:hyperlink>
          </w:p>
        </w:tc>
        <w:tc>
          <w:tcPr>
            <w:tcW w:w="455" w:type="dxa"/>
            <w:tcBorders/>
            <w:vAlign w:val="center"/>
          </w:tcPr>
          <w:p>
            <w:pPr>
              <w:pStyle w:val="TableContents"/>
              <w:bidi w:val="0"/>
              <w:spacing w:before="0" w:after="283"/>
              <w:jc w:val="center"/>
              <w:rPr/>
            </w:pPr>
            <w:hyperlink w:anchor="DIVIDEND_POLICY">
              <w:r>
                <w:rPr>
                  <w:rStyle w:val="InternetLink"/>
                  <w:rFonts w:ascii="Times New Roman;Times;serif" w:hAnsi="Times New Roman;Times;serif"/>
                  <w:sz w:val="20"/>
                </w:rPr>
                <w:t>21</w:t>
              </w:r>
            </w:hyperlink>
          </w:p>
        </w:tc>
      </w:tr>
      <w:tr>
        <w:trPr/>
        <w:tc>
          <w:tcPr>
            <w:tcW w:w="6230" w:type="dxa"/>
            <w:tcBorders/>
            <w:vAlign w:val="center"/>
          </w:tcPr>
          <w:p>
            <w:pPr>
              <w:pStyle w:val="TableContents"/>
              <w:bidi w:val="0"/>
              <w:spacing w:before="0" w:after="283"/>
              <w:jc w:val="left"/>
              <w:rPr/>
            </w:pPr>
            <w:hyperlink w:anchor="PLANOFDISTRIBUTION">
              <w:r>
                <w:rPr>
                  <w:rStyle w:val="InternetLink"/>
                  <w:rFonts w:ascii="Times New Roman;Times;serif" w:hAnsi="Times New Roman;Times;serif"/>
                  <w:sz w:val="20"/>
                </w:rPr>
                <w:t>PLAN OF DISTRIBUTION</w:t>
              </w:r>
            </w:hyperlink>
          </w:p>
        </w:tc>
        <w:tc>
          <w:tcPr>
            <w:tcW w:w="455" w:type="dxa"/>
            <w:tcBorders/>
            <w:vAlign w:val="center"/>
          </w:tcPr>
          <w:p>
            <w:pPr>
              <w:pStyle w:val="TableContents"/>
              <w:bidi w:val="0"/>
              <w:spacing w:before="0" w:after="283"/>
              <w:jc w:val="center"/>
              <w:rPr/>
            </w:pPr>
            <w:hyperlink w:anchor="PLANOFDISTRIBUTION">
              <w:r>
                <w:rPr>
                  <w:rStyle w:val="InternetLink"/>
                  <w:rFonts w:ascii="Times New Roman;Times;serif" w:hAnsi="Times New Roman;Times;serif"/>
                  <w:sz w:val="20"/>
                </w:rPr>
                <w:t>22</w:t>
              </w:r>
            </w:hyperlink>
          </w:p>
        </w:tc>
      </w:tr>
      <w:tr>
        <w:trPr/>
        <w:tc>
          <w:tcPr>
            <w:tcW w:w="6230" w:type="dxa"/>
            <w:tcBorders/>
            <w:vAlign w:val="center"/>
          </w:tcPr>
          <w:p>
            <w:pPr>
              <w:pStyle w:val="TableContents"/>
              <w:bidi w:val="0"/>
              <w:spacing w:before="0" w:after="283"/>
              <w:jc w:val="left"/>
              <w:rPr/>
            </w:pPr>
            <w:hyperlink w:anchor="LEGALMATTERS">
              <w:r>
                <w:rPr>
                  <w:rStyle w:val="InternetLink"/>
                  <w:rFonts w:ascii="Times New Roman;Times;serif" w:hAnsi="Times New Roman;Times;serif"/>
                  <w:sz w:val="20"/>
                </w:rPr>
                <w:t>LEGAL MATTERS</w:t>
              </w:r>
            </w:hyperlink>
          </w:p>
        </w:tc>
        <w:tc>
          <w:tcPr>
            <w:tcW w:w="455" w:type="dxa"/>
            <w:tcBorders/>
            <w:vAlign w:val="center"/>
          </w:tcPr>
          <w:p>
            <w:pPr>
              <w:pStyle w:val="TableContents"/>
              <w:bidi w:val="0"/>
              <w:spacing w:before="0" w:after="283"/>
              <w:jc w:val="center"/>
              <w:rPr/>
            </w:pPr>
            <w:hyperlink w:anchor="LEGALMATTERS">
              <w:r>
                <w:rPr>
                  <w:rStyle w:val="InternetLink"/>
                  <w:rFonts w:ascii="Times New Roman;Times;serif" w:hAnsi="Times New Roman;Times;serif"/>
                  <w:sz w:val="20"/>
                </w:rPr>
                <w:t>25</w:t>
              </w:r>
            </w:hyperlink>
          </w:p>
        </w:tc>
      </w:tr>
      <w:tr>
        <w:trPr/>
        <w:tc>
          <w:tcPr>
            <w:tcW w:w="6230" w:type="dxa"/>
            <w:tcBorders/>
            <w:vAlign w:val="center"/>
          </w:tcPr>
          <w:p>
            <w:pPr>
              <w:pStyle w:val="TableContents"/>
              <w:bidi w:val="0"/>
              <w:spacing w:before="0" w:after="283"/>
              <w:jc w:val="left"/>
              <w:rPr/>
            </w:pPr>
            <w:hyperlink w:anchor="EXPERTS">
              <w:r>
                <w:rPr>
                  <w:rStyle w:val="InternetLink"/>
                  <w:rFonts w:ascii="Times New Roman;Times;serif" w:hAnsi="Times New Roman;Times;serif"/>
                  <w:sz w:val="20"/>
                </w:rPr>
                <w:t>EXPERTS</w:t>
              </w:r>
            </w:hyperlink>
          </w:p>
        </w:tc>
        <w:tc>
          <w:tcPr>
            <w:tcW w:w="455" w:type="dxa"/>
            <w:tcBorders/>
            <w:vAlign w:val="center"/>
          </w:tcPr>
          <w:p>
            <w:pPr>
              <w:pStyle w:val="TableContents"/>
              <w:bidi w:val="0"/>
              <w:spacing w:before="0" w:after="283"/>
              <w:jc w:val="center"/>
              <w:rPr/>
            </w:pPr>
            <w:hyperlink w:anchor="EXPERTS">
              <w:r>
                <w:rPr>
                  <w:rStyle w:val="InternetLink"/>
                  <w:rFonts w:ascii="Times New Roman;Times;serif" w:hAnsi="Times New Roman;Times;serif"/>
                  <w:sz w:val="20"/>
                </w:rPr>
                <w:t>25</w:t>
              </w:r>
            </w:hyperlink>
          </w:p>
        </w:tc>
      </w:tr>
      <w:tr>
        <w:trPr/>
        <w:tc>
          <w:tcPr>
            <w:tcW w:w="6230" w:type="dxa"/>
            <w:tcBorders/>
            <w:vAlign w:val="center"/>
          </w:tcPr>
          <w:p>
            <w:pPr>
              <w:pStyle w:val="TableContents"/>
              <w:bidi w:val="0"/>
              <w:spacing w:before="0" w:after="283"/>
              <w:jc w:val="left"/>
              <w:rPr/>
            </w:pPr>
            <w:hyperlink w:anchor="INCORPORATIONBYREFERENCE">
              <w:r>
                <w:rPr>
                  <w:rStyle w:val="InternetLink"/>
                  <w:rFonts w:ascii="Times New Roman;Times;serif" w:hAnsi="Times New Roman;Times;serif"/>
                  <w:sz w:val="20"/>
                </w:rPr>
                <w:t>INCORPORATION OF CERTAIN INFORMATION BY REFERENCE</w:t>
              </w:r>
            </w:hyperlink>
          </w:p>
        </w:tc>
        <w:tc>
          <w:tcPr>
            <w:tcW w:w="455" w:type="dxa"/>
            <w:tcBorders/>
            <w:vAlign w:val="center"/>
          </w:tcPr>
          <w:p>
            <w:pPr>
              <w:pStyle w:val="TableContents"/>
              <w:bidi w:val="0"/>
              <w:spacing w:before="0" w:after="283"/>
              <w:jc w:val="center"/>
              <w:rPr/>
            </w:pPr>
            <w:hyperlink w:anchor="INCORPORATIONBYREFERENCE">
              <w:r>
                <w:rPr>
                  <w:rStyle w:val="InternetLink"/>
                  <w:rFonts w:ascii="Times New Roman;Times;serif" w:hAnsi="Times New Roman;Times;serif"/>
                  <w:sz w:val="20"/>
                </w:rPr>
                <w:t>25</w:t>
              </w:r>
            </w:hyperlink>
          </w:p>
        </w:tc>
      </w:tr>
      <w:tr>
        <w:trPr/>
        <w:tc>
          <w:tcPr>
            <w:tcW w:w="6230" w:type="dxa"/>
            <w:tcBorders/>
            <w:vAlign w:val="center"/>
          </w:tcPr>
          <w:p>
            <w:pPr>
              <w:pStyle w:val="TableContents"/>
              <w:bidi w:val="0"/>
              <w:spacing w:before="0" w:after="283"/>
              <w:jc w:val="left"/>
              <w:rPr/>
            </w:pPr>
            <w:hyperlink w:anchor="PART_II">
              <w:r>
                <w:rPr>
                  <w:rStyle w:val="InternetLink"/>
                  <w:rFonts w:ascii="Times New Roman;Times;serif" w:hAnsi="Times New Roman;Times;serif"/>
                  <w:sz w:val="20"/>
                </w:rPr>
                <w:t>PART II INFORMATION NOT REQUIRED IN THE PROSPECTUS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ABOUT"/>
      <w:bookmarkEnd w:id="3"/>
      <w:r>
        <w:rPr>
          <w:rFonts w:ascii="Times New Roman" w:hAnsi="Times New Roman"/>
          <w:b/>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is part of a Registration Statement on Form S-3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that we filed with the U.S.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on February 19, 2026, using the “shelf” registration process. By using a shelf registration statement, we may offer and sell securities having an aggregate offering price of up to $200,000,000 from time to time under the Registration Statement at prices and on terms to be determined by market conditions at the time of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provides you with a description of the offering. You should read this prospectus supplement together with the additional information to which we refer you in the section of this prospectus supplement entitled “Where You Can Find More Information,” and together with the information incorporated by reference as described in the section of this prospectus supplement entitled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provide information to you about this offering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and the information contained in any document incorporated by reference in this prospectus supplement, you should rely on the information in this prospectus supplement.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supplement. We have not, and Mizuho has not, authorized anyone to provide you with any information or to make any representations other than those contained in this prospectus supplement. We and Mizuho do not take responsibility for, and can provide no assurance as to the reliability of, any other information that others may give you. We will not, and Mizuho will not, make an offer to sell these securities in any jurisdiction where the offer or sale is not permitted. You should assume that the information appearing in this prospectus supplement is accurate only as of the date on the front cover of this prospectus supplement. Our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and Mizuho has not, done anything that would permit this offering or possession or distribution of this prospectus supplement in any jurisdiction where action for that purpose is required, other than the United States. Persons outside of the United States who come into possession of this prospectus supplement must inform themselves about, and observe any restrictions relating to, the offering of securities and the distribution of this prospectus supplement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supplement, together with information incorporated by reference herein, before deciding whether to invest in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contain summaries of certain provisions contained in some of the documents described herein or therein, but reference is made to the actual documents for complete information. All of the summaries are qualified in their entirety by the actual documents. Copies of some of the documents referred to herein or therein have been filed, will be filed or will be incorporated by reference as exhibits to the registration statement of which this prospectus supplement is a part, and you may obtain copies of those documents as described under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b/>
          <w:caps w:val="false"/>
          <w:smallCaps w:val="false"/>
          <w:sz w:val="20"/>
        </w:rPr>
        <w:t xml:space="preserve">We use various trademarks and trade names in our business, including without limitation our corporate name and logo. All other trademarks or trade names referred to in this prospectus supplement are the property of their respective owners. Solely for convenience, the trademarks and trade names in this prospectus supplement may be referred to without the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and </w:t>
      </w:r>
      <w:r>
        <w:rPr>
          <w:rFonts w:ascii="Times New Roman" w:hAnsi="Times New Roman"/>
          <w:caps w:val="false"/>
          <w:smallCaps w:val="false"/>
          <w:sz w:val="20"/>
        </w:rPr>
        <w:t xml:space="preserve">™ </w:t>
      </w:r>
      <w:r>
        <w:rPr>
          <w:rFonts w:ascii="Times New Roman" w:hAnsi="Times New Roman"/>
          <w:b/>
          <w:caps w:val="false"/>
          <w:smallCaps w:val="false"/>
          <w:sz w:val="20"/>
        </w:rPr>
        <w:t>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CAUTIONARY_NOTE"/>
      <w:bookmarkEnd w:id="4"/>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Certain statements in this prospectus supplement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Important factors that could cause actual results, developments and business decisions to differ materially from those anticipated in these forward-looking statements include, among others, those factors referred to in our Annual Report on Form 10-K for the fiscal year ended December 31, 2025,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the documents incorporated by reference herein. You should not rely upon forward-looking statements as predictions of future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MARKET"/>
      <w:bookmarkEnd w:id="5"/>
      <w:r>
        <w:rPr>
          <w:rFonts w:ascii="Times New Roman" w:hAnsi="Times New Roman"/>
          <w:b/>
          <w:caps w:val="false"/>
          <w:smallCaps w:val="false"/>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supplement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is reliable and based on reasonable assumptions, such data involves material risks and other uncertainties and is subject to change based on various factors, including those discussed in “Risk Factors.” These and other factors could cause results to differ materially from those expressed in the estimates made by the independent parties or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160" w:right="0" w:hanging="0"/>
        <w:jc w:val="center"/>
        <w:rPr>
          <w:rFonts w:ascii="Times New Roman" w:hAnsi="Times New Roman"/>
          <w:b/>
          <w:caps w:val="false"/>
          <w:smallCaps w:val="false"/>
          <w:sz w:val="20"/>
          <w:bdr w:val="single" w:sz="2" w:space="8" w:color="000000"/>
        </w:rPr>
      </w:pPr>
      <w:bookmarkStart w:id="6" w:name="SUPPLEMENT_SUMMARY"/>
      <w:bookmarkEnd w:id="6"/>
      <w:r>
        <w:rPr>
          <w:rFonts w:ascii="Times New Roman" w:hAnsi="Times New Roman"/>
          <w:b/>
          <w:caps w:val="false"/>
          <w:smallCaps w:val="false"/>
          <w:sz w:val="20"/>
          <w:bdr w:val="single" w:sz="2" w:space="8" w:color="000000"/>
        </w:rPr>
        <w:t>PROSPECTUS SUPPLEMENT SUMMARY</w:t>
      </w:r>
    </w:p>
    <w:p>
      <w:pPr>
        <w:pStyle w:val="TextBody"/>
        <w:bidi w:val="0"/>
        <w:spacing w:before="0" w:after="0"/>
        <w:ind w:left="160" w:right="0" w:hanging="0"/>
        <w:jc w:val="center"/>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i/>
          <w:caps w:val="false"/>
          <w:smallCaps w:val="false"/>
          <w:sz w:val="20"/>
          <w:bdr w:val="single" w:sz="2" w:space="8" w:color="000000"/>
        </w:rPr>
        <w:t xml:space="preserve">This summary highlights selected information from this prospectus supplement and does not contain all of the information that is important to you in making an investment decision. This summary is qualified in its entirety by the more detailed information included elsewhere in this prospectus supplement. Before making your investment decision with respect to our securities, you should carefully read this entire prospectus supplement, the accompanying base prospectus and the information incorporated herein and therein by reference. Unless the context otherwise requires, references to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we,</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us,</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our,</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 xml:space="preserve">the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Company,</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Pulse</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Pulse Biosciences</w:t>
      </w:r>
      <w:r>
        <w:rPr>
          <w:rFonts w:ascii="Times New Roman" w:hAnsi="Times New Roman"/>
          <w:caps w:val="false"/>
          <w:smallCaps w:val="false"/>
          <w:sz w:val="20"/>
          <w:bdr w:val="single" w:sz="2" w:space="8" w:color="000000"/>
        </w:rPr>
        <w:t>” </w:t>
      </w:r>
      <w:r>
        <w:rPr>
          <w:rFonts w:ascii="Times New Roman" w:hAnsi="Times New Roman"/>
          <w:i/>
          <w:caps w:val="false"/>
          <w:smallCaps w:val="false"/>
          <w:sz w:val="20"/>
          <w:bdr w:val="single" w:sz="2" w:space="8" w:color="000000"/>
        </w:rPr>
        <w:t>and similar designations are intended to mean the business and operations of Pulse Biosciences, Inc. and its consolidated subsidiaries.</w:t>
      </w:r>
    </w:p>
    <w:p>
      <w:pPr>
        <w:pStyle w:val="TextBody"/>
        <w:bidi w:val="0"/>
        <w:spacing w:before="0" w:after="0"/>
        <w:ind w:left="0" w:right="0" w:firstLine="58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both"/>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Overview</w:t>
      </w:r>
    </w:p>
    <w:p>
      <w:pPr>
        <w:pStyle w:val="TextBody"/>
        <w:bidi w:val="0"/>
        <w:spacing w:before="0" w:after="0"/>
        <w:ind w:left="0" w:right="0" w:hanging="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and in parallel, designed a variety of applicators, or disposables, to explore the potential use of the nPulse platform in other medical specialties. Based on our preclinical experience and the potential to significantly improve outcomes for patients in a large and growing market, we decided to focus our primary efforts on the use of nsPFA energy and the nPulse platform in the treatment of atrial fibrillation (“AF”),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pStyle w:val="TextBody"/>
        <w:bidi w:val="0"/>
        <w:spacing w:before="0" w:after="0"/>
        <w:ind w:left="0" w:right="0" w:firstLine="58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In March 2026, we announced a strategic realignment (“the 2026 Realignment”) to prioritize and accelerate the development of our nsPFA electrophysiology catheters and other cardiac devices for the treatment of AF. This initiative followed the release of our positive clinical data in February 2026 from our first in human feasibility study of our proprietary nPulse Cardiac Catheter System in patients with paroxysmal AF. In connection with the 2026 Realignment, we adjusted our capital allocation to prioritize the electrophysiology market development program and will reduce short term market development investments in cardiac surgery and reduce investments in sales and marketing for the Vybrance Percutaneous Electrode System to focus on additional market development.</w:t>
      </w:r>
    </w:p>
    <w:p>
      <w:pPr>
        <w:pStyle w:val="TextBody"/>
        <w:bidi w:val="0"/>
        <w:spacing w:before="0" w:after="0"/>
        <w:ind w:left="0" w:right="0" w:firstLine="18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Recent Developments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July 13, 2026, in connection with a rights offering executed in 2024 (the “2024 Rights Offering”), the Company redeemed 50,607 warrants, pursuant to the irrevocable notice of redemption provided to warrant holders in June 2026, which would have entitled the holders to purchase up to 25,303 shares of common stock. In July 2026, the Company received gross proceeds of $1.8 million related to exercises of the second tranche of the 2024 Rights Offering Warrants. As of July 31, 2026, there were no remaining warrants outstanding from the 2024 Rights Offering and the cumulative gross proceeds received from the exercise of all warrants was $65.5 million.</w:t>
      </w:r>
    </w:p>
    <w:p>
      <w:pPr>
        <w:pStyle w:val="TextBody"/>
        <w:bidi w:val="0"/>
        <w:spacing w:before="0" w:after="0"/>
        <w:ind w:left="0" w:right="0" w:firstLine="36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On July 29, 2026, we announced that our previously disclosed NANOPULSE-AF clinical study (“NANOPULSE-AF Study”) surpassed its enrollment midpoint. NANOPULSE-AF Study is a prospective, multicenter, pivotal, clinical investigation currently evaluating our nPulse Cardiac Catheter System for treating recurrent, drug-resistant, symptomatic paroxysmal atrial fibrillation. The study commenced in April 2026 and is expected to enroll patients at up to 30 sites, including sites outside the United States.</w:t>
      </w:r>
    </w:p>
    <w:p>
      <w:pPr>
        <w:pStyle w:val="TextBody"/>
        <w:bidi w:val="0"/>
        <w:spacing w:before="0" w:after="0"/>
        <w:ind w:left="0" w:right="0" w:firstLine="36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both"/>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Corporate Information</w:t>
      </w:r>
    </w:p>
    <w:p>
      <w:pPr>
        <w:pStyle w:val="TextBody"/>
        <w:bidi w:val="0"/>
        <w:spacing w:before="0" w:after="0"/>
        <w:ind w:left="0" w:right="0" w:hanging="0"/>
        <w:jc w:val="both"/>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58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Pulse Biosciences, Inc., formerly Electroblate, Inc., was incorporated in the State of Nevada on May 19, 2014, and was reincorporated in the State of Delaware on June 18, 2018. Our corporate offices are located at 3957 Point Eden Way, Hayward, CA 94545, and our telephone number is (510) 906-4600. We maintain a website at www.pulsebiosciences.com where general information about us is available. Our website, and the information contained therein, or that can be accessed through, our website, is not a part of this prospectus, and the inclusion of our website address is an inactive textual reference only.</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1488"/>
        <w:gridCol w:w="8717"/>
      </w:tblGrid>
      <w:tr>
        <w:trPr/>
        <w:tc>
          <w:tcPr>
            <w:tcW w:w="1020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7" w:name="THE_OFFERING"/>
            <w:bookmarkEnd w:id="7"/>
            <w:r>
              <w:rPr>
                <w:rFonts w:ascii="Times New Roman" w:hAnsi="Times New Roman"/>
                <w:b/>
                <w:caps w:val="false"/>
                <w:smallCaps w:val="false"/>
                <w:sz w:val="20"/>
              </w:rPr>
              <w:t>THE OFFERING</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common stock offered by us</w:t>
            </w:r>
          </w:p>
        </w:tc>
        <w:tc>
          <w:tcPr>
            <w:tcW w:w="87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our common stock having an aggregate offering price of up to $75,000,000.</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common stock to be outstanding immediately after this offering</w:t>
            </w:r>
          </w:p>
        </w:tc>
        <w:tc>
          <w:tcPr>
            <w:tcW w:w="87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 to 72,778,853 shares, assuming the sale of 1,978,891 shares of our common stock in this offering at an offering price of $37.90 per share, which was the last reported sale price of our common stock on Nasdaq on August 5, 2026. The actual number of shares issued will vary depending on the sales price under this offering.</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8717"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At the market offering” that may be made from time to time through or to our sales agent, Mizuho. See “Plan of Distribution” for additional information.</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87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currently intend to use the net proceeds from this offering, if any, together with our existing cash, for general corporate purposes, including further clinical evaluations of our proprietary nPulse Cardiac Catheter and its IDE study in the United States, our first-in-human study in Europe, and corresponding regulatory submissions in the United States and Europe. We also intend to use proceeds from this offering, if any, for continued development of the nPulse Cardiac Clamp IDE study in the United States, our first-in-human study in Europe, and corresponding regulatory submissions in the United States and Europe and continued market development and commercialization of our proprietary nPulse Vybrance Percutaneous Electrode System, including efforts to obtain further regulatory approvals to market this device for the treatment of benign thyroid nodules and other applications, as well as new product development activities. Net proceeds may be temporarily invested prior to use.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“Use of Proceeds” for additional information.</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87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investment in the common stock offered hereby is speculative and involves a high degree of risk. You should read carefully the information set forth in “Risk Factors” in this prospectus supplement and the accompanying base prospectus, together with other information included elsewhere in this prospectus supplement, or incorporated by reference into this prospectus supplement, for a discussion of factors that you should consider before deciding to invest in our common stock.</w:t>
            </w:r>
          </w:p>
        </w:tc>
      </w:tr>
      <w:tr>
        <w:trPr/>
        <w:tc>
          <w:tcPr>
            <w:tcW w:w="1488" w:type="dxa"/>
            <w:tcBorders/>
            <w:vAlign w:val="center"/>
          </w:tcPr>
          <w:p>
            <w:pPr>
              <w:pStyle w:val="TableContents"/>
              <w:bidi w:val="0"/>
              <w:spacing w:before="0" w:after="283"/>
              <w:jc w:val="left"/>
              <w:rPr/>
            </w:pPr>
            <w:r>
              <w:rPr/>
              <w:t> </w:t>
            </w:r>
          </w:p>
        </w:tc>
        <w:tc>
          <w:tcPr>
            <w:tcW w:w="8717" w:type="dxa"/>
            <w:tcBorders/>
            <w:vAlign w:val="center"/>
          </w:tcPr>
          <w:p>
            <w:pPr>
              <w:pStyle w:val="TableContents"/>
              <w:bidi w:val="0"/>
              <w:spacing w:before="0" w:after="283"/>
              <w:jc w:val="left"/>
              <w:rPr/>
            </w:pPr>
            <w:r>
              <w:rPr/>
              <w:t> </w:t>
            </w:r>
          </w:p>
        </w:tc>
      </w:tr>
      <w:tr>
        <w:trPr/>
        <w:tc>
          <w:tcPr>
            <w:tcW w:w="1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Capital Market symbol</w:t>
            </w:r>
          </w:p>
        </w:tc>
        <w:tc>
          <w:tcPr>
            <w:tcW w:w="87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"PLSE"</w:t>
            </w:r>
          </w:p>
        </w:tc>
      </w:tr>
    </w:tbl>
    <w:p>
      <w:pPr>
        <w:pStyle w:val="TextBody"/>
        <w:bidi w:val="0"/>
        <w:spacing w:before="0" w:after="0"/>
        <w:ind w:left="0" w:right="0" w:hanging="0"/>
        <w:jc w:val="left"/>
        <w:rPr>
          <w:bdr w:val="single" w:sz="2" w:space="8" w:color="000000"/>
        </w:rPr>
      </w:pPr>
      <w:r>
        <w:rPr>
          <w:bdr w:val="single" w:sz="2" w:space="8" w:color="000000"/>
        </w:rPr>
        <w:t> </w:t>
      </w:r>
    </w:p>
    <w:p>
      <w:pPr>
        <w:pStyle w:val="TextBody"/>
        <w:bidi w:val="0"/>
        <w:spacing w:before="0" w:after="0"/>
        <w:ind w:left="0" w:right="0" w:hanging="0"/>
        <w:jc w:val="left"/>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The number of shares of common stock to be outstanding after this offering is based on 70,799,962 shares of our common stock outstanding as of June 30, 2026, and excludes the following, in each case as of such date:</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11,670,734 shares of common stock issuable upon the exercise of outstanding stock options as of June 30, 2026 having a weighted-average exercise price of $13.90 per share;</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3,031,072 shares of common stock reserved as of June 30, 2026, for future grants under our 2017 Equity Incentive Plan, as amended, as well as any annual evergreen increases in the number of shares reserved for future issuance under this plan;</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150,224 shares of common stock issuable upon exercise of warrants outstanding as of June 30, 2026, each with an exercise price of $11.00 per share;</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550,000 shares of common stock issuable upon the vesting and settlement of outstanding restricted stock units as of June 30, 2026;</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1,602,359 shares of common stock reserved as of June 30, 2026, for future grants under our 2017 Inducement Equity Incentive Plan;</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1,265,365 shares of common stock reserved as of June 30, 2026, for future grants under our 2017 Employee Stock Purchase Plan, as well as any annual evergreen increases in the number of shares reserved for future issuance under this plan;</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14,000 shares of common stock issuable upon exercise of stock options granted subsequent to June 30, 2026, with a weighted exercise price of $26.76 per share; and</w:t>
            </w:r>
          </w:p>
        </w:tc>
      </w:tr>
    </w:tbl>
    <w:p>
      <w:pPr>
        <w:pStyle w:val="TextBody"/>
        <w:bidi w:val="0"/>
        <w:spacing w:before="0" w:after="0"/>
        <w:ind w:left="0" w:right="0" w:hanging="0"/>
        <w:jc w:val="left"/>
        <w:rPr>
          <w:bdr w:val="single" w:sz="2" w:space="8" w:color="000000"/>
        </w:rPr>
      </w:pPr>
      <w:r>
        <w:rPr>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388,949 shares of common stock issued and sold pursuant to our sales agreement with TD Securities LLC, as sales agent, dated February 19, 2026 (the “February 2026 ATM”) subsequent to June 30, 2026 (as of the date of this prospectus supplement up to approximately $1.0 million of shares of our common stock remain available to be sold under the February 2026 ATM).</w:t>
            </w:r>
          </w:p>
        </w:tc>
      </w:tr>
    </w:tbl>
    <w:p>
      <w:pPr>
        <w:pStyle w:val="TextBody"/>
        <w:bidi w:val="0"/>
        <w:spacing w:before="0" w:after="0"/>
        <w:ind w:left="720" w:right="0" w:hanging="36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Except as otherwise indicated, all information in this prospectus supplement assumes no exercise of the outstanding options referred to above.</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RISK_FACTOR"/>
      <w:bookmarkEnd w:id="8"/>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Investing in our securities involves a high degree of risk. Before deciding whether to invest in our securities, you should carefully consider the risks and uncertainties described below and under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most recent Annual Report on Form 10-K and any subsequent Quarterly Reports on Form 10-Q, which are incorporated herein by reference, together with the information contained in this prospectus supplement, the accompanying base prospectus and any other information that has been or will be incorporated herein or therein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supplement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Common Stock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management will have broad discretion over the use of the net proceeds, if any, we receive in this offering and may not apply the proceeds in ways that increase the value of your investment,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will have broad discretion to use the net proceeds, if any, payable to us from this offering and you will be relying on the judgment of our management regarding the application of these net proceeds. Our management might not apply any such net proceeds in ways that increase the value of your investment. Until we use the net proceeds, if any, payable to us from this offering, we plan to invest them, and these investments may not yield a favorable rate of return. If we do not invest or apply any net proceeds from this offering in ways that enhance stockholder value, we may fail to achieve expected financial results,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It is not possible to predict the aggregate proceeds resulting from sales made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Subject to certain limitations in the Sales Agreement and compliance with applicable law, we have the discretion to deliver a placement notice to Mizuho at any time throughout the term of the Sales Agreement. The number of shares that are sold through Mizuho after delivering a placement notice will fluctuate based on a number of factors, including the market price of our common stock during the sales period, any limits we may set with Mizuho in any applicable placement notice and the demand for our common stock. Because this offering can be terminated at any time and the price per share of each share sold pursuant to the Sales Agreement will fluctuate over time, it is not currently possible to predict the aggregate proceeds to be raised in connection with sales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Sales of common stock offered hereby will be in </w:t>
      </w:r>
      <w:r>
        <w:rPr>
          <w:rFonts w:ascii="Times New Roman" w:hAnsi="Times New Roman"/>
          <w:caps w:val="false"/>
          <w:smallCaps w:val="false"/>
          <w:sz w:val="20"/>
        </w:rPr>
        <w:t>“</w:t>
      </w:r>
      <w:r>
        <w:rPr>
          <w:rFonts w:ascii="Times New Roman" w:hAnsi="Times New Roman"/>
          <w:b/>
          <w:i/>
          <w:caps w:val="false"/>
          <w:smallCaps w:val="false"/>
          <w:sz w:val="20"/>
        </w:rPr>
        <w:t>at the market offerings,</w:t>
      </w:r>
      <w:r>
        <w:rPr>
          <w:rFonts w:ascii="Times New Roman" w:hAnsi="Times New Roman"/>
          <w:caps w:val="false"/>
          <w:smallCaps w:val="false"/>
          <w:sz w:val="20"/>
        </w:rPr>
        <w:t xml:space="preserve">” </w:t>
      </w:r>
      <w:r>
        <w:rPr>
          <w:rFonts w:ascii="Times New Roman" w:hAnsi="Times New Roman"/>
          <w:b/>
          <w:i/>
          <w:caps w:val="false"/>
          <w:smallCaps w:val="false"/>
          <w:sz w:val="20"/>
        </w:rPr>
        <w:t>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and any restrictions we may place in any applicable placement notice delivered to Mizuho,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and/or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you purchase our common stock in this offering, you may incur immediate and substantial dilution in the book value of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1,978,891 shares of our common stock are sold at an assumed offering price of $37.90 per share, the last reported sale price of our common stock on Nasdaq on August 5, 2026, and after deducting commissions and estimated offering expenses payable by us, you would experience immediate dilution of $35.58 per share, representing the difference between our as adjusted net tangible book value per share as of June 30, 2026,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The price per share at which we sell additional shares of our common stock, or securities convertible or exchangeable into common stock, in future transactions may be lower than the price per share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USE"/>
      <w:bookmarkEnd w:id="9"/>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and sell shares of our common stock having aggregate sales proceeds of up to $75,000,000 from time to time. Because there is no minimum offering amount required as a condition to close this offering, the actual total public offering amount, commissions and proceeds to us, if any, are not determinable at this time. There can be no assurance that we will be able to sell any shares under, or fully utilize, the Sales Agreement with Mizuho as a source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principal purposes of this offering are to increase our financial flexibility and to obtain additional capital to support our operations. We currently intend to use the net proceeds from this offering, if any, together with our existing cash, for general corporate purposes, including further clinical evaluations of our proprietary nPulse Cardiac Catheter and its IDE study in the United States, our first-in-human study in Europe and corresponding regulatory submissions in the United States and Europe. We also intend to use proceeds from this offering, if any, for continued development of the nPulse Cardiac Clamp IDE study in the United States, our first-in-human study in Europe, and corresponding regulatory submissions in the United States and Europe and continued market development and commercialization of our proprietary Pulse Vybrance Percutaneous Electrode System, including efforts to obtain further regulatory approvals to market this device for the treatment of benign thyroid nodules and other applications, as well as new product development activities. As of the date of this prospectus, we cannot specify with certainty all of the particular uses for the net proceeds to us from this offering. As a result, our management will have broad discretion regarding the timing and application of the net proceeds from this offering. Pending the uses described above, we intend to invest the net proceeds in interest-bearing, investment-grade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medical device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our clinical trials, and the timing of our regulatory submissions. Accordingly, we will have broad discretion in using these net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DIVIDEND"/>
      <w:bookmarkEnd w:id="10"/>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not declared or paid any cash dividends on our capital stock. We currently intend to retain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11" w:name="DILUTION"/>
      <w:bookmarkEnd w:id="11"/>
      <w:r>
        <w:rPr>
          <w:rFonts w:ascii="Times New Roman" w:hAnsi="Times New Roman"/>
          <w:b/>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you invest in our common stock in this offering, you will experience immediate and substantial dilution to the extent of the difference between the public offering price per share of our common stock, and the adjusted net tangible book value per share of our common stock immediately upon the consummation of this offering. Net tangible book value per share represents the book value of our tangible assets less the book value of our total liabilities divided by the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historical net tangible book value as of June 30, 2026 was $96.5 million, or $1.36 per share of our common stock. Our historical net tangible book value is the amount of our total tangible assets less our total liabilities. Historical net tangible book value per share represents historical net tangible book value divided by 70,799,962 shares of our common stock outstanding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giving effect to our issuance and sale of 1,978,891 shares of our common stock in this offering at an assumed public offering price of $37.90 per share, which was the last reported sale price of our common stock on Nasdaq on August 5, 2026, and after deducting commissions and estimated offering expenses payable by us, our as adjusted net tangible book value as of June 30, 2026 would have been $169.0 million, or $2.32 per share. This represents an immediate increase in as adjusted net tangible book value per share of $0.96 to existing stockholders and an immediate dilution of $35.58 in as adjusted net tangible book value per share to investors purchasing common stock in this offering. Dilution per share to investors purchasing common stock in this offering is determined by subtracting as adjusted net tangible book value per share after this offering from the assumed public offering price per share paid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680"/>
        <w:gridCol w:w="60"/>
        <w:gridCol w:w="125"/>
        <w:gridCol w:w="380"/>
        <w:gridCol w:w="60"/>
        <w:gridCol w:w="60"/>
        <w:gridCol w:w="125"/>
        <w:gridCol w:w="485"/>
        <w:gridCol w:w="60"/>
      </w:tblGrid>
      <w:tr>
        <w:trPr/>
        <w:tc>
          <w:tcPr>
            <w:tcW w:w="6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Assumed public offering price per share</w:t>
            </w:r>
            <w:bookmarkStart w:id="12" w:name=".lead.B2"/>
            <w:bookmarkEnd w:id="12"/>
          </w:p>
        </w:tc>
        <w:tc>
          <w:tcPr>
            <w:tcW w:w="60" w:type="dxa"/>
            <w:tcBorders/>
            <w:shd w:fill="CCEEFF" w:val="clear"/>
            <w:vAlign w:val="center"/>
          </w:tcPr>
          <w:p>
            <w:pPr>
              <w:pStyle w:val="TableContents"/>
              <w:bidi w:val="0"/>
              <w:spacing w:before="0" w:after="283"/>
              <w:jc w:val="left"/>
              <w:rPr/>
            </w:pPr>
            <w:r>
              <w:rPr/>
              <w:t> </w:t>
            </w:r>
            <w:bookmarkStart w:id="13" w:name=".symb.B2"/>
            <w:bookmarkEnd w:id="13"/>
          </w:p>
        </w:tc>
        <w:tc>
          <w:tcPr>
            <w:tcW w:w="125" w:type="dxa"/>
            <w:tcBorders/>
            <w:shd w:fill="CCEEFF" w:val="clear"/>
            <w:vAlign w:val="center"/>
          </w:tcPr>
          <w:p>
            <w:pPr>
              <w:pStyle w:val="TableContents"/>
              <w:bidi w:val="0"/>
              <w:spacing w:before="0" w:after="283"/>
              <w:jc w:val="left"/>
              <w:rPr/>
            </w:pPr>
            <w:r>
              <w:rPr/>
              <w:t> </w:t>
            </w:r>
            <w:bookmarkStart w:id="14" w:name=".amt.B2"/>
            <w:bookmarkEnd w:id="14"/>
          </w:p>
        </w:tc>
        <w:tc>
          <w:tcPr>
            <w:tcW w:w="380" w:type="dxa"/>
            <w:tcBorders/>
            <w:shd w:fill="CCEEFF" w:val="clear"/>
            <w:vAlign w:val="center"/>
          </w:tcPr>
          <w:p>
            <w:pPr>
              <w:pStyle w:val="TableContents"/>
              <w:bidi w:val="0"/>
              <w:spacing w:before="0" w:after="283"/>
              <w:jc w:val="right"/>
              <w:rPr/>
            </w:pPr>
            <w:r>
              <w:rPr/>
              <w:t> </w:t>
            </w:r>
            <w:bookmarkStart w:id="15" w:name=".trail.B2"/>
            <w:bookmarkEnd w:id="15"/>
          </w:p>
        </w:tc>
        <w:tc>
          <w:tcPr>
            <w:tcW w:w="60" w:type="dxa"/>
            <w:tcBorders/>
            <w:shd w:fill="CCEEFF" w:val="clear"/>
            <w:vAlign w:val="center"/>
          </w:tcPr>
          <w:p>
            <w:pPr>
              <w:pStyle w:val="TableContents"/>
              <w:bidi w:val="0"/>
              <w:spacing w:before="0" w:after="283"/>
              <w:jc w:val="left"/>
              <w:rPr/>
            </w:pPr>
            <w:r>
              <w:rPr/>
              <w:t> </w:t>
            </w:r>
            <w:bookmarkStart w:id="16" w:name=".lead.3"/>
            <w:bookmarkEnd w:id="16"/>
          </w:p>
        </w:tc>
        <w:tc>
          <w:tcPr>
            <w:tcW w:w="60" w:type="dxa"/>
            <w:tcBorders/>
            <w:shd w:fill="CCEEFF" w:val="clear"/>
            <w:vAlign w:val="center"/>
          </w:tcPr>
          <w:p>
            <w:pPr>
              <w:pStyle w:val="TableContents"/>
              <w:bidi w:val="0"/>
              <w:spacing w:before="0" w:after="283"/>
              <w:ind w:left="0" w:right="0" w:hanging="0"/>
              <w:jc w:val="left"/>
              <w:rPr/>
            </w:pPr>
            <w:r>
              <w:rPr/>
              <w:t> </w:t>
            </w:r>
            <w:bookmarkStart w:id="17" w:name=".symb.3"/>
            <w:bookmarkEnd w:id="1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 w:name=".amt.3"/>
            <w:bookmarkEnd w:id="18"/>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w:t>
            </w:r>
            <w:bookmarkStart w:id="19" w:name=".trail.3"/>
            <w:bookmarkEnd w:id="19"/>
          </w:p>
        </w:tc>
        <w:tc>
          <w:tcPr>
            <w:tcW w:w="60" w:type="dxa"/>
            <w:tcBorders/>
            <w:shd w:fill="CCEEFF" w:val="clear"/>
            <w:vAlign w:val="center"/>
          </w:tcPr>
          <w:p>
            <w:pPr>
              <w:pStyle w:val="TableContents"/>
              <w:bidi w:val="0"/>
              <w:spacing w:before="0" w:after="283"/>
              <w:ind w:left="200" w:right="0" w:hanging="0"/>
              <w:jc w:val="left"/>
              <w:rPr/>
            </w:pPr>
            <w:r>
              <w:rPr/>
              <w:t> </w:t>
            </w:r>
          </w:p>
        </w:tc>
      </w:tr>
      <w:tr>
        <w:trPr/>
        <w:tc>
          <w:tcPr>
            <w:tcW w:w="6680" w:type="dxa"/>
            <w:tcBorders/>
            <w:shd w:fill="FFFFFF" w:val="clear"/>
            <w:vAlign w:val="center"/>
          </w:tcPr>
          <w:p>
            <w:pPr>
              <w:pStyle w:val="TableContents"/>
              <w:bidi w:val="0"/>
              <w:spacing w:before="0" w:after="0"/>
              <w:ind w:left="4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net tangible book value per share as of June 30, 2026</w:t>
            </w:r>
            <w:bookmarkStart w:id="20" w:name=".lead.2"/>
            <w:bookmarkEnd w:id="20"/>
          </w:p>
        </w:tc>
        <w:tc>
          <w:tcPr>
            <w:tcW w:w="60" w:type="dxa"/>
            <w:tcBorders/>
            <w:shd w:fill="FFFFFF" w:val="clear"/>
            <w:vAlign w:val="center"/>
          </w:tcPr>
          <w:p>
            <w:pPr>
              <w:pStyle w:val="TableContents"/>
              <w:bidi w:val="0"/>
              <w:spacing w:before="0" w:after="283"/>
              <w:ind w:left="0" w:right="0" w:hanging="0"/>
              <w:jc w:val="left"/>
              <w:rPr/>
            </w:pPr>
            <w:r>
              <w:rPr/>
              <w:t> </w:t>
            </w:r>
            <w:bookmarkStart w:id="21" w:name=".symb.2"/>
            <w:bookmarkEnd w:id="2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 w:name=".amt.2"/>
            <w:bookmarkEnd w:id="22"/>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bookmarkStart w:id="23" w:name=".trail.2"/>
            <w:bookmarkEnd w:id="23"/>
          </w:p>
        </w:tc>
        <w:tc>
          <w:tcPr>
            <w:tcW w:w="60" w:type="dxa"/>
            <w:tcBorders/>
            <w:shd w:fill="FFFFFF" w:val="clear"/>
            <w:vAlign w:val="center"/>
          </w:tcPr>
          <w:p>
            <w:pPr>
              <w:pStyle w:val="TableContents"/>
              <w:bidi w:val="0"/>
              <w:spacing w:before="0" w:after="283"/>
              <w:jc w:val="left"/>
              <w:rPr/>
            </w:pPr>
            <w:r>
              <w:rPr/>
              <w:t> </w:t>
            </w:r>
            <w:bookmarkStart w:id="24" w:name=".lead.B3"/>
            <w:bookmarkEnd w:id="24"/>
          </w:p>
        </w:tc>
        <w:tc>
          <w:tcPr>
            <w:tcW w:w="60" w:type="dxa"/>
            <w:tcBorders/>
            <w:shd w:fill="FFFFFF" w:val="clear"/>
            <w:vAlign w:val="center"/>
          </w:tcPr>
          <w:p>
            <w:pPr>
              <w:pStyle w:val="TableContents"/>
              <w:bidi w:val="0"/>
              <w:spacing w:before="0" w:after="283"/>
              <w:jc w:val="left"/>
              <w:rPr/>
            </w:pPr>
            <w:r>
              <w:rPr/>
              <w:t> </w:t>
            </w:r>
            <w:bookmarkStart w:id="25" w:name=".symb.B3"/>
            <w:bookmarkEnd w:id="25"/>
          </w:p>
        </w:tc>
        <w:tc>
          <w:tcPr>
            <w:tcW w:w="125" w:type="dxa"/>
            <w:tcBorders/>
            <w:shd w:fill="FFFFFF" w:val="clear"/>
            <w:vAlign w:val="center"/>
          </w:tcPr>
          <w:p>
            <w:pPr>
              <w:pStyle w:val="TableContents"/>
              <w:bidi w:val="0"/>
              <w:spacing w:before="0" w:after="283"/>
              <w:jc w:val="left"/>
              <w:rPr/>
            </w:pPr>
            <w:r>
              <w:rPr/>
              <w:t> </w:t>
            </w:r>
            <w:bookmarkStart w:id="26" w:name=".amt.B3"/>
            <w:bookmarkEnd w:id="26"/>
          </w:p>
        </w:tc>
        <w:tc>
          <w:tcPr>
            <w:tcW w:w="485" w:type="dxa"/>
            <w:tcBorders/>
            <w:shd w:fill="FFFFFF" w:val="clear"/>
            <w:vAlign w:val="center"/>
          </w:tcPr>
          <w:p>
            <w:pPr>
              <w:pStyle w:val="TableContents"/>
              <w:bidi w:val="0"/>
              <w:spacing w:before="0" w:after="283"/>
              <w:jc w:val="right"/>
              <w:rPr/>
            </w:pPr>
            <w:r>
              <w:rPr/>
              <w:t> </w:t>
            </w:r>
            <w:bookmarkStart w:id="27" w:name=".trail.B3"/>
            <w:bookmarkEnd w:id="27"/>
          </w:p>
        </w:tc>
        <w:tc>
          <w:tcPr>
            <w:tcW w:w="60" w:type="dxa"/>
            <w:tcBorders/>
            <w:shd w:fill="FFFFFF" w:val="clear"/>
            <w:vAlign w:val="center"/>
          </w:tcPr>
          <w:p>
            <w:pPr>
              <w:pStyle w:val="TableContents"/>
              <w:bidi w:val="0"/>
              <w:spacing w:before="0" w:after="283"/>
              <w:ind w:left="200" w:right="0" w:hanging="0"/>
              <w:jc w:val="left"/>
              <w:rPr/>
            </w:pPr>
            <w:r>
              <w:rPr/>
              <w:t> </w:t>
            </w:r>
          </w:p>
        </w:tc>
      </w:tr>
      <w:tr>
        <w:trPr/>
        <w:tc>
          <w:tcPr>
            <w:tcW w:w="6680" w:type="dxa"/>
            <w:tcBorders/>
            <w:shd w:fill="CCEEFF" w:val="clear"/>
            <w:vAlign w:val="center"/>
          </w:tcPr>
          <w:p>
            <w:pPr>
              <w:pStyle w:val="TableContents"/>
              <w:bidi w:val="0"/>
              <w:spacing w:before="0" w:after="0"/>
              <w:ind w:left="4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historical net tangible book value per share attributable to this offering</w:t>
            </w:r>
            <w:bookmarkStart w:id="28" w:name=".lead.21"/>
            <w:bookmarkStart w:id="29" w:name=".lead.22"/>
            <w:bookmarkEnd w:id="28"/>
            <w:bookmarkEnd w:id="29"/>
          </w:p>
        </w:tc>
        <w:tc>
          <w:tcPr>
            <w:tcW w:w="60" w:type="dxa"/>
            <w:tcBorders/>
            <w:shd w:fill="CCEEFF" w:val="clear"/>
            <w:vAlign w:val="center"/>
          </w:tcPr>
          <w:p>
            <w:pPr>
              <w:pStyle w:val="TableContents"/>
              <w:bidi w:val="0"/>
              <w:spacing w:before="0" w:after="283"/>
              <w:ind w:left="0" w:right="0" w:hanging="0"/>
              <w:jc w:val="left"/>
              <w:rPr/>
            </w:pPr>
            <w:r>
              <w:rPr/>
              <w:t> </w:t>
            </w:r>
            <w:bookmarkStart w:id="30" w:name=".symb.21"/>
            <w:bookmarkStart w:id="31" w:name=".symb.22"/>
            <w:bookmarkEnd w:id="30"/>
            <w:bookmarkEnd w:id="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 w:name=".amt.21"/>
            <w:bookmarkStart w:id="33" w:name=".amt.22"/>
            <w:bookmarkEnd w:id="32"/>
            <w:bookmarkEnd w:id="33"/>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bookmarkStart w:id="34" w:name=".trail.21"/>
            <w:bookmarkStart w:id="35" w:name=".trail.22"/>
            <w:bookmarkEnd w:id="34"/>
            <w:bookmarkEnd w:id="35"/>
          </w:p>
        </w:tc>
        <w:tc>
          <w:tcPr>
            <w:tcW w:w="60" w:type="dxa"/>
            <w:tcBorders/>
            <w:shd w:fill="CCEEFF" w:val="clear"/>
            <w:vAlign w:val="center"/>
          </w:tcPr>
          <w:p>
            <w:pPr>
              <w:pStyle w:val="TableContents"/>
              <w:bidi w:val="0"/>
              <w:spacing w:before="0" w:after="283"/>
              <w:jc w:val="left"/>
              <w:rPr/>
            </w:pPr>
            <w:r>
              <w:rPr/>
              <w:t> </w:t>
            </w:r>
            <w:bookmarkStart w:id="36" w:name=".lead.B31"/>
            <w:bookmarkStart w:id="37" w:name=".lead.B32"/>
            <w:bookmarkEnd w:id="36"/>
            <w:bookmarkEnd w:id="37"/>
          </w:p>
        </w:tc>
        <w:tc>
          <w:tcPr>
            <w:tcW w:w="60" w:type="dxa"/>
            <w:tcBorders/>
            <w:shd w:fill="CCEEFF" w:val="clear"/>
            <w:vAlign w:val="center"/>
          </w:tcPr>
          <w:p>
            <w:pPr>
              <w:pStyle w:val="TableContents"/>
              <w:bidi w:val="0"/>
              <w:spacing w:before="0" w:after="283"/>
              <w:jc w:val="left"/>
              <w:rPr/>
            </w:pPr>
            <w:r>
              <w:rPr/>
              <w:t> </w:t>
            </w:r>
            <w:bookmarkStart w:id="38" w:name=".symb.B31"/>
            <w:bookmarkStart w:id="39" w:name=".symb.B32"/>
            <w:bookmarkEnd w:id="38"/>
            <w:bookmarkEnd w:id="39"/>
          </w:p>
        </w:tc>
        <w:tc>
          <w:tcPr>
            <w:tcW w:w="125" w:type="dxa"/>
            <w:tcBorders/>
            <w:shd w:fill="CCEEFF" w:val="clear"/>
            <w:vAlign w:val="center"/>
          </w:tcPr>
          <w:p>
            <w:pPr>
              <w:pStyle w:val="TableContents"/>
              <w:bidi w:val="0"/>
              <w:spacing w:before="0" w:after="283"/>
              <w:jc w:val="left"/>
              <w:rPr/>
            </w:pPr>
            <w:r>
              <w:rPr/>
              <w:t> </w:t>
            </w:r>
            <w:bookmarkStart w:id="40" w:name=".amt.B31"/>
            <w:bookmarkStart w:id="41" w:name=".amt.B32"/>
            <w:bookmarkEnd w:id="40"/>
            <w:bookmarkEnd w:id="41"/>
          </w:p>
        </w:tc>
        <w:tc>
          <w:tcPr>
            <w:tcW w:w="485" w:type="dxa"/>
            <w:tcBorders/>
            <w:shd w:fill="CCEEFF" w:val="clear"/>
            <w:vAlign w:val="center"/>
          </w:tcPr>
          <w:p>
            <w:pPr>
              <w:pStyle w:val="TableContents"/>
              <w:bidi w:val="0"/>
              <w:spacing w:before="0" w:after="283"/>
              <w:jc w:val="right"/>
              <w:rPr/>
            </w:pPr>
            <w:r>
              <w:rPr/>
              <w:t> </w:t>
            </w:r>
            <w:bookmarkStart w:id="42" w:name=".trail.B31"/>
            <w:bookmarkStart w:id="43" w:name=".trail.B32"/>
            <w:bookmarkEnd w:id="42"/>
            <w:bookmarkEnd w:id="4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 net tangible book value per share after giving effect to this offering</w:t>
            </w:r>
            <w:bookmarkStart w:id="44" w:name=".lead.B21"/>
            <w:bookmarkStart w:id="45" w:name=".lead.B22"/>
            <w:bookmarkEnd w:id="44"/>
            <w:bookmarkEnd w:id="45"/>
          </w:p>
        </w:tc>
        <w:tc>
          <w:tcPr>
            <w:tcW w:w="60" w:type="dxa"/>
            <w:tcBorders/>
            <w:shd w:fill="FFFFFF" w:val="clear"/>
            <w:vAlign w:val="center"/>
          </w:tcPr>
          <w:p>
            <w:pPr>
              <w:pStyle w:val="TableContents"/>
              <w:bidi w:val="0"/>
              <w:spacing w:before="0" w:after="283"/>
              <w:jc w:val="left"/>
              <w:rPr/>
            </w:pPr>
            <w:r>
              <w:rPr/>
              <w:t> </w:t>
            </w:r>
            <w:bookmarkStart w:id="46" w:name=".symb.B21"/>
            <w:bookmarkStart w:id="47" w:name=".symb.B22"/>
            <w:bookmarkEnd w:id="46"/>
            <w:bookmarkEnd w:id="47"/>
          </w:p>
        </w:tc>
        <w:tc>
          <w:tcPr>
            <w:tcW w:w="125" w:type="dxa"/>
            <w:tcBorders/>
            <w:shd w:fill="FFFFFF" w:val="clear"/>
            <w:vAlign w:val="center"/>
          </w:tcPr>
          <w:p>
            <w:pPr>
              <w:pStyle w:val="TableContents"/>
              <w:bidi w:val="0"/>
              <w:spacing w:before="0" w:after="283"/>
              <w:jc w:val="left"/>
              <w:rPr/>
            </w:pPr>
            <w:r>
              <w:rPr/>
              <w:t> </w:t>
            </w:r>
            <w:bookmarkStart w:id="48" w:name=".amt.B21"/>
            <w:bookmarkStart w:id="49" w:name=".amt.B22"/>
            <w:bookmarkEnd w:id="48"/>
            <w:bookmarkEnd w:id="49"/>
          </w:p>
        </w:tc>
        <w:tc>
          <w:tcPr>
            <w:tcW w:w="380" w:type="dxa"/>
            <w:tcBorders/>
            <w:shd w:fill="FFFFFF" w:val="clear"/>
            <w:vAlign w:val="center"/>
          </w:tcPr>
          <w:p>
            <w:pPr>
              <w:pStyle w:val="TableContents"/>
              <w:bidi w:val="0"/>
              <w:spacing w:before="0" w:after="283"/>
              <w:jc w:val="right"/>
              <w:rPr/>
            </w:pPr>
            <w:r>
              <w:rPr/>
              <w:t> </w:t>
            </w:r>
            <w:bookmarkStart w:id="50" w:name=".trail.B21"/>
            <w:bookmarkStart w:id="51" w:name=".trail.B22"/>
            <w:bookmarkEnd w:id="50"/>
            <w:bookmarkEnd w:id="51"/>
          </w:p>
        </w:tc>
        <w:tc>
          <w:tcPr>
            <w:tcW w:w="60" w:type="dxa"/>
            <w:tcBorders/>
            <w:shd w:fill="FFFFFF" w:val="clear"/>
            <w:vAlign w:val="center"/>
          </w:tcPr>
          <w:p>
            <w:pPr>
              <w:pStyle w:val="TableContents"/>
              <w:bidi w:val="0"/>
              <w:spacing w:before="0" w:after="283"/>
              <w:jc w:val="left"/>
              <w:rPr/>
            </w:pPr>
            <w:r>
              <w:rPr/>
              <w:t> </w:t>
            </w:r>
            <w:bookmarkStart w:id="52" w:name=".lead.31"/>
            <w:bookmarkStart w:id="53" w:name=".lead.32"/>
            <w:bookmarkEnd w:id="52"/>
            <w:bookmarkEnd w:id="53"/>
          </w:p>
        </w:tc>
        <w:tc>
          <w:tcPr>
            <w:tcW w:w="60" w:type="dxa"/>
            <w:tcBorders/>
            <w:shd w:fill="FFFFFF" w:val="clear"/>
            <w:vAlign w:val="center"/>
          </w:tcPr>
          <w:p>
            <w:pPr>
              <w:pStyle w:val="TableContents"/>
              <w:bidi w:val="0"/>
              <w:spacing w:before="0" w:after="283"/>
              <w:ind w:left="0" w:right="0" w:hanging="0"/>
              <w:jc w:val="left"/>
              <w:rPr/>
            </w:pPr>
            <w:r>
              <w:rPr/>
              <w:t> </w:t>
            </w:r>
            <w:bookmarkStart w:id="54" w:name=".symb.31"/>
            <w:bookmarkStart w:id="55" w:name=".symb.32"/>
            <w:bookmarkEnd w:id="54"/>
            <w:bookmarkEnd w:id="5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 w:name=".amt.31"/>
            <w:bookmarkStart w:id="57" w:name=".amt.32"/>
            <w:bookmarkEnd w:id="56"/>
            <w:bookmarkEnd w:id="57"/>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bookmarkStart w:id="58" w:name=".trail.31"/>
            <w:bookmarkStart w:id="59" w:name=".trail.32"/>
            <w:bookmarkEnd w:id="58"/>
            <w:bookmarkEnd w:id="5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Dilution per share to investors participating in this offering</w:t>
            </w:r>
            <w:bookmarkStart w:id="60" w:name=".lead.B23"/>
            <w:bookmarkStart w:id="61" w:name=".lead.B24"/>
            <w:bookmarkEnd w:id="60"/>
            <w:bookmarkEnd w:id="61"/>
          </w:p>
        </w:tc>
        <w:tc>
          <w:tcPr>
            <w:tcW w:w="60" w:type="dxa"/>
            <w:tcBorders/>
            <w:shd w:fill="CCEEFF" w:val="clear"/>
            <w:vAlign w:val="center"/>
          </w:tcPr>
          <w:p>
            <w:pPr>
              <w:pStyle w:val="TableContents"/>
              <w:bidi w:val="0"/>
              <w:spacing w:before="0" w:after="283"/>
              <w:jc w:val="left"/>
              <w:rPr/>
            </w:pPr>
            <w:r>
              <w:rPr/>
              <w:t> </w:t>
            </w:r>
            <w:bookmarkStart w:id="62" w:name=".symb.B23"/>
            <w:bookmarkStart w:id="63" w:name=".symb.B24"/>
            <w:bookmarkEnd w:id="62"/>
            <w:bookmarkEnd w:id="63"/>
          </w:p>
        </w:tc>
        <w:tc>
          <w:tcPr>
            <w:tcW w:w="125" w:type="dxa"/>
            <w:tcBorders/>
            <w:shd w:fill="CCEEFF" w:val="clear"/>
            <w:vAlign w:val="center"/>
          </w:tcPr>
          <w:p>
            <w:pPr>
              <w:pStyle w:val="TableContents"/>
              <w:bidi w:val="0"/>
              <w:spacing w:before="0" w:after="283"/>
              <w:jc w:val="left"/>
              <w:rPr/>
            </w:pPr>
            <w:r>
              <w:rPr/>
              <w:t> </w:t>
            </w:r>
            <w:bookmarkStart w:id="64" w:name=".amt.B23"/>
            <w:bookmarkStart w:id="65" w:name=".amt.B24"/>
            <w:bookmarkEnd w:id="64"/>
            <w:bookmarkEnd w:id="65"/>
          </w:p>
        </w:tc>
        <w:tc>
          <w:tcPr>
            <w:tcW w:w="380" w:type="dxa"/>
            <w:tcBorders/>
            <w:shd w:fill="CCEEFF" w:val="clear"/>
            <w:vAlign w:val="center"/>
          </w:tcPr>
          <w:p>
            <w:pPr>
              <w:pStyle w:val="TableContents"/>
              <w:bidi w:val="0"/>
              <w:spacing w:before="0" w:after="283"/>
              <w:jc w:val="right"/>
              <w:rPr/>
            </w:pPr>
            <w:r>
              <w:rPr/>
              <w:t> </w:t>
            </w:r>
            <w:bookmarkStart w:id="66" w:name=".trail.B23"/>
            <w:bookmarkStart w:id="67" w:name=".trail.B24"/>
            <w:bookmarkEnd w:id="66"/>
            <w:bookmarkEnd w:id="67"/>
          </w:p>
        </w:tc>
        <w:tc>
          <w:tcPr>
            <w:tcW w:w="60" w:type="dxa"/>
            <w:tcBorders/>
            <w:shd w:fill="CCEEFF" w:val="clear"/>
            <w:vAlign w:val="center"/>
          </w:tcPr>
          <w:p>
            <w:pPr>
              <w:pStyle w:val="TableContents"/>
              <w:bidi w:val="0"/>
              <w:spacing w:before="0" w:after="283"/>
              <w:jc w:val="left"/>
              <w:rPr/>
            </w:pPr>
            <w:r>
              <w:rPr/>
              <w:t> </w:t>
            </w:r>
            <w:bookmarkStart w:id="68" w:name=".lead.33"/>
            <w:bookmarkStart w:id="69" w:name=".lead.34"/>
            <w:bookmarkEnd w:id="68"/>
            <w:bookmarkEnd w:id="69"/>
          </w:p>
        </w:tc>
        <w:tc>
          <w:tcPr>
            <w:tcW w:w="60" w:type="dxa"/>
            <w:tcBorders/>
            <w:shd w:fill="CCEEFF" w:val="clear"/>
            <w:vAlign w:val="center"/>
          </w:tcPr>
          <w:p>
            <w:pPr>
              <w:pStyle w:val="TableContents"/>
              <w:bidi w:val="0"/>
              <w:spacing w:before="0" w:after="283"/>
              <w:ind w:left="0" w:right="0" w:hanging="0"/>
              <w:jc w:val="left"/>
              <w:rPr/>
            </w:pPr>
            <w:r>
              <w:rPr/>
              <w:t> </w:t>
            </w:r>
            <w:bookmarkStart w:id="70" w:name=".symb.33"/>
            <w:bookmarkStart w:id="71" w:name=".symb.34"/>
            <w:bookmarkEnd w:id="70"/>
            <w:bookmarkEnd w:id="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 w:name=".amt.33"/>
            <w:bookmarkStart w:id="73" w:name=".amt.34"/>
            <w:bookmarkEnd w:id="72"/>
            <w:bookmarkEnd w:id="73"/>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bookmarkStart w:id="74" w:name=".trail.33"/>
            <w:bookmarkStart w:id="75" w:name=".trail.34"/>
            <w:bookmarkEnd w:id="74"/>
            <w:bookmarkEnd w:id="7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dilution information discussed above is illustrative only and will change based on the actual public offering price or prices if and when we sell shares of our common stock and other terms of this offering determined at pricing. A $1.00 increase in the assumed public offering price of $37.90 per share shown in the table above, assuming all of our common stock in the aggregate amount of $75,000,000 during the term of the Sales Agreement is sold at that price, would result in an as adjusted net tangible book value per share after this offering of approximately $2.32 and dilution per share to investors participating in this offering of approximately $36.58, after deducting commissions and estimated offering expenses payable by us. A $1.00 decrease in the assumed public offering price of $37.90 per share shown in the table above, assuming all of our common stock in the aggregate amount of $75,000,000 during the term of the Sales Agreement is sold at that price, would result in an as adjusted net tangible book value per share after this offering of approximately $2.32 and dilution per share to investors participating in this offering of approximately $34.58, after deducting underwriting discounts and commissions and estimated offering expenses payable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tables and calculations (other than the historical net tangible book value calculations) are based on 70,799,962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our common stock outstanding as of June 30, 2026, and excludes the following, in each case as of such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11,670,734 shares of common stock issuable upon the exercise of outstanding stock options as of June 30, 2026 having a weighted-average exercise price of $13.90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3,031,072 shares of common stock reserved as of June 30, 2026, for future grants under our 2017 Equity Incentive Plan, as amended, as well as any annual evergreen increases in the number of shares reserved for future issuance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150,224 shares of common stock issuable upon exercise of warrants outstanding as of June 30, 2026, each with an exercise price of $11.00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550,000 shares of common stock issuable upon the vesting and settlement of outstanding restricted stock units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1,602,359 shares of common stock reserved as of June 30, 2026, for future grants under our 2017 Inducement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1,265,365 shares of common stock reserved as of June 30, 2026, for future grants under our 2017 Employee Stock Purchase Plan, as well as any annual evergreen increases in the number of shares reserved for future issuance under this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14,000 shares of common stock issuable upon exercise of stock options granted subsequent to June 30, 2026, with a weighted exercise price of $26.76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388,949 shares of common stock issued and sold pursuant to the February 2026 ATM subsequent to June 30, 2026 (as of the date of this prospectus supplement up to approximately $1.0 million of shares of our common stock remain available to be sold under the February 2026 ATM).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the extent that any outstanding stock options and warrants described above are exercised, vested, or converted to shares of common stock at prices below the prices paid by investors participating in this offering, investors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6" w:name="PLAN_OF_DIST"/>
      <w:bookmarkEnd w:id="76"/>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entered into the Sales Agreement with Mizuho, under which we may issue and sell from time to time up to $75,000,000 of our common stock through or to Mizuho as our sales agent.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will offer our common stock subject to the terms and conditions of the Sales Agreement on a daily basis or as otherwise agreed upon by us and Mizuho. We will designate the maximum amount of common stock to be sold through Mizuho on a daily basis or otherwise determine such maximum amount together with Mizuho.  Subject to the terms and conditions of the Sales Agreement, Mizuho will use its commercially reasonable efforts to sell on our behalf all of the shares of common stock requested to be sold by us.  We may instruct Mizuho not to sell common stock if the sales cannot be effected at or above the price designated by us in any such instruction.  Mizuho or we may suspend the offering of our common stock being made through Mizuho under the Sales Agreement upon proper notice to the other party.  Mizuho and we each have the right, by giving written notice as specified in the Sales Agreement, to terminate the Sales Agreement in each party’s sole discretion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aggregate compensation payable to Mizuho as sales agent equals up to 3.0% of the gross sales price of the shares sold through it pursuant to the Sales Agreement.  We have also agreed to reimburse Mizuho up to $85,000 of Mizuho’s actual outside legal expenses incurred by Mizuho in connection with the execution of the sales agreement, in addition to certain ongoing disbursements of its legal counsel.  We estimate that the total expenses of the offering payable by us, excluding commissions payable to Mizuho under the Sales Agreement, will be approximately $200,000.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report at least quarterly the number of shares of common stock sold through Mizuho under the Sales Agreement and the net proceeds to us in connection with the sales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sales of our common stock on our behalf, Mizuho will be deemed to be an “underwriter” within the meaning of the Securities Act, and the compensation paid to Mizuho will be deemed to be underwriting commissions or discounts.  We have agreed in the Sales Agreement to provide indemnification and contribution to Mizuho against certain liabilities, including liabilities under the Securities Act.  As sales agent, Mizuho will not engage in any transactions that stabilizes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and trades under the symbol “PLSE.”  The transfer agent of our common stock is Broadridge Corporate Issuer Solutions,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Mizuho and/or its affiliates may in the future provide various investment banking and other financial services for us for which services they may in the future receive,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7" w:name="LEGAL"/>
      <w:bookmarkEnd w:id="77"/>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validity of the securities offered pursuant to this prospectus supplement will be passed upon by Baker &amp; Hostetler LLP. Certain legal matters in connection with this offering will be passed upon for Mizuho by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8" w:name="EXP"/>
      <w:bookmarkEnd w:id="78"/>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financial statements of Pulse Biosciences, Inc. as of December 31, 2025 and 2024, and for each of the two years in the period ended December 31, 2025, incorporated by reference in this prospectus by reference to Pulse Biosciences,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9" w:name="WHERE"/>
      <w:bookmarkEnd w:id="79"/>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(File No. 333-293596), including exhibits, under the Securities Act, with respect to the securities offered pursuant to this prospectus supplement. This prospectus supplement is part of the registration statement, but does not contain all of the information included in the registration statement or the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https://www.pulsebiosciences.com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80" w:name="INFORMATION_INCORPORATED"/>
      <w:bookmarkEnd w:id="80"/>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supplement incorporates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Form 10-K for the year ended December 31, 2025, filed with the SEC on </w:t>
            </w:r>
            <w:hyperlink r:id="rId3">
              <w:r>
                <w:rPr>
                  <w:rStyle w:val="InternetLink"/>
                  <w:rFonts w:ascii="Times New Roman" w:hAnsi="Times New Roman"/>
                  <w:caps w:val="false"/>
                  <w:smallCaps w:val="false"/>
                  <w:sz w:val="20"/>
                </w:rPr>
                <w:t>February 19, 2026</w:t>
              </w:r>
            </w:hyperlink>
            <w:r>
              <w:rPr>
                <w:rFonts w:ascii="Times New Roman" w:hAnsi="Times New Roman"/>
                <w:caps w:val="false"/>
                <w:smallCaps w:val="false"/>
                <w:sz w:val="20"/>
              </w:rPr>
              <w:t xml:space="preserve">, as amended by Amendment No. 1 to our Annual Report on Form 10-K/A for the fiscal year ended December 31, 2025, filed with the SEC on </w:t>
            </w:r>
            <w:hyperlink r:id="rId4">
              <w:r>
                <w:rPr>
                  <w:rStyle w:val="InternetLink"/>
                  <w:rFonts w:ascii="Times New Roman" w:hAnsi="Times New Roman"/>
                  <w:caps w:val="false"/>
                  <w:smallCaps w:val="false"/>
                  <w:sz w:val="20"/>
                </w:rPr>
                <w:t>April 30,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Quarterly Reports on Form 10-Q for the quarters ended March 31, 2026, filed with the SEC on </w:t>
            </w:r>
            <w:hyperlink r:id="rId5">
              <w:r>
                <w:rPr>
                  <w:rStyle w:val="InternetLink"/>
                  <w:rFonts w:ascii="Times New Roman" w:hAnsi="Times New Roman"/>
                  <w:caps w:val="false"/>
                  <w:smallCaps w:val="false"/>
                  <w:sz w:val="20"/>
                </w:rPr>
                <w:t>May 14, 2026</w:t>
              </w:r>
            </w:hyperlink>
            <w:r>
              <w:rPr>
                <w:rFonts w:ascii="Times New Roman" w:hAnsi="Times New Roman"/>
                <w:caps w:val="false"/>
                <w:smallCaps w:val="false"/>
                <w:sz w:val="20"/>
              </w:rPr>
              <w:t xml:space="preserve">, and June 30, 2026, filed with the SEC on </w:t>
            </w:r>
            <w:hyperlink r:id="rId6">
              <w:r>
                <w:rPr>
                  <w:rStyle w:val="InternetLink"/>
                  <w:rFonts w:ascii="Times New Roman" w:hAnsi="Times New Roman"/>
                  <w:caps w:val="false"/>
                  <w:smallCaps w:val="false"/>
                  <w:sz w:val="20"/>
                </w:rPr>
                <w:t>August 6,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(other than information furnished rather than filed), filed with the SEC on </w:t>
            </w:r>
            <w:hyperlink r:id="rId7">
              <w:r>
                <w:rPr>
                  <w:rStyle w:val="InternetLink"/>
                  <w:rFonts w:ascii="Times New Roman" w:hAnsi="Times New Roman"/>
                  <w:caps w:val="false"/>
                  <w:smallCaps w:val="false"/>
                  <w:sz w:val="20"/>
                </w:rPr>
                <w:t>February 6,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February 19, 2026</w:t>
              </w:r>
            </w:hyperlink>
            <w:r>
              <w:rPr>
                <w:rFonts w:ascii="Times New Roman" w:hAnsi="Times New Roman"/>
                <w:caps w:val="false"/>
                <w:smallCaps w:val="false"/>
                <w:sz w:val="20"/>
              </w:rPr>
              <w:t xml:space="preserve">, </w:t>
            </w:r>
            <w:hyperlink r:id="rId9">
              <w:r>
                <w:rPr>
                  <w:rStyle w:val="InternetLink"/>
                  <w:rFonts w:ascii="Times New Roman" w:hAnsi="Times New Roman"/>
                  <w:caps w:val="false"/>
                  <w:smallCaps w:val="false"/>
                  <w:sz w:val="20"/>
                </w:rPr>
                <w:t>February 27, 2026</w:t>
              </w:r>
            </w:hyperlink>
            <w:r>
              <w:rPr>
                <w:rFonts w:ascii="Times New Roman" w:hAnsi="Times New Roman"/>
                <w:caps w:val="false"/>
                <w:smallCaps w:val="false"/>
                <w:sz w:val="20"/>
              </w:rPr>
              <w:t xml:space="preserve">, </w:t>
            </w:r>
            <w:hyperlink r:id="rId10">
              <w:r>
                <w:rPr>
                  <w:rStyle w:val="InternetLink"/>
                  <w:rFonts w:ascii="Times New Roman" w:hAnsi="Times New Roman"/>
                  <w:caps w:val="false"/>
                  <w:smallCaps w:val="false"/>
                  <w:sz w:val="20"/>
                </w:rPr>
                <w:t>March 2, 2026</w:t>
              </w:r>
            </w:hyperlink>
            <w:r>
              <w:rPr>
                <w:rFonts w:ascii="Times New Roman" w:hAnsi="Times New Roman"/>
                <w:caps w:val="false"/>
                <w:smallCaps w:val="false"/>
                <w:sz w:val="20"/>
              </w:rPr>
              <w:t xml:space="preserve">, </w:t>
            </w:r>
            <w:hyperlink r:id="rId11">
              <w:r>
                <w:rPr>
                  <w:rStyle w:val="InternetLink"/>
                  <w:rFonts w:ascii="Times New Roman" w:hAnsi="Times New Roman"/>
                  <w:caps w:val="false"/>
                  <w:smallCaps w:val="false"/>
                  <w:sz w:val="20"/>
                </w:rPr>
                <w:t>March 9, 2026</w:t>
              </w:r>
            </w:hyperlink>
            <w:r>
              <w:rPr>
                <w:rFonts w:ascii="Times New Roman" w:hAnsi="Times New Roman"/>
                <w:caps w:val="false"/>
                <w:smallCaps w:val="false"/>
                <w:sz w:val="20"/>
              </w:rPr>
              <w:t xml:space="preserve">, </w:t>
            </w:r>
            <w:hyperlink r:id="rId12">
              <w:r>
                <w:rPr>
                  <w:rStyle w:val="InternetLink"/>
                  <w:rFonts w:ascii="Times New Roman" w:hAnsi="Times New Roman"/>
                  <w:caps w:val="false"/>
                  <w:smallCaps w:val="false"/>
                  <w:sz w:val="20"/>
                </w:rPr>
                <w:t>March 12, 2026</w:t>
              </w:r>
            </w:hyperlink>
            <w:r>
              <w:rPr>
                <w:rFonts w:ascii="Times New Roman" w:hAnsi="Times New Roman"/>
                <w:caps w:val="false"/>
                <w:smallCaps w:val="false"/>
                <w:sz w:val="20"/>
              </w:rPr>
              <w:t xml:space="preserve">, </w:t>
            </w:r>
            <w:hyperlink r:id="rId13">
              <w:r>
                <w:rPr>
                  <w:rStyle w:val="InternetLink"/>
                  <w:rFonts w:ascii="Times New Roman" w:hAnsi="Times New Roman"/>
                  <w:caps w:val="false"/>
                  <w:smallCaps w:val="false"/>
                  <w:sz w:val="20"/>
                </w:rPr>
                <w:t>March 17, 2026</w:t>
              </w:r>
            </w:hyperlink>
            <w:r>
              <w:rPr>
                <w:rFonts w:ascii="Times New Roman" w:hAnsi="Times New Roman"/>
                <w:caps w:val="false"/>
                <w:smallCaps w:val="false"/>
                <w:sz w:val="20"/>
              </w:rPr>
              <w:t xml:space="preserve">, </w:t>
            </w:r>
            <w:hyperlink r:id="rId14">
              <w:r>
                <w:rPr>
                  <w:rStyle w:val="InternetLink"/>
                  <w:rFonts w:ascii="Times New Roman" w:hAnsi="Times New Roman"/>
                  <w:caps w:val="false"/>
                  <w:smallCaps w:val="false"/>
                  <w:sz w:val="20"/>
                </w:rPr>
                <w:t>April 7, 2026</w:t>
              </w:r>
            </w:hyperlink>
            <w:r>
              <w:rPr>
                <w:rFonts w:ascii="Times New Roman" w:hAnsi="Times New Roman"/>
                <w:caps w:val="false"/>
                <w:smallCaps w:val="false"/>
                <w:sz w:val="20"/>
              </w:rPr>
              <w:t xml:space="preserve">, </w:t>
            </w:r>
            <w:hyperlink r:id="rId15">
              <w:r>
                <w:rPr>
                  <w:rStyle w:val="InternetLink"/>
                  <w:rFonts w:ascii="Times New Roman" w:hAnsi="Times New Roman"/>
                  <w:caps w:val="false"/>
                  <w:smallCaps w:val="false"/>
                  <w:sz w:val="20"/>
                </w:rPr>
                <w:t>April 9, 2026</w:t>
              </w:r>
            </w:hyperlink>
            <w:r>
              <w:rPr>
                <w:rFonts w:ascii="Times New Roman" w:hAnsi="Times New Roman"/>
                <w:caps w:val="false"/>
                <w:smallCaps w:val="false"/>
                <w:sz w:val="20"/>
              </w:rPr>
              <w:t xml:space="preserve">, </w:t>
            </w:r>
            <w:hyperlink r:id="rId16">
              <w:r>
                <w:rPr>
                  <w:rStyle w:val="InternetLink"/>
                  <w:rFonts w:ascii="Times New Roman" w:hAnsi="Times New Roman"/>
                  <w:caps w:val="false"/>
                  <w:smallCaps w:val="false"/>
                  <w:sz w:val="20"/>
                </w:rPr>
                <w:t>May 4, 2026</w:t>
              </w:r>
            </w:hyperlink>
            <w:r>
              <w:rPr>
                <w:rFonts w:ascii="Times New Roman" w:hAnsi="Times New Roman"/>
                <w:caps w:val="false"/>
                <w:smallCaps w:val="false"/>
                <w:sz w:val="20"/>
              </w:rPr>
              <w:t xml:space="preserve">, </w:t>
            </w:r>
            <w:hyperlink r:id="rId17">
              <w:r>
                <w:rPr>
                  <w:rStyle w:val="InternetLink"/>
                  <w:rFonts w:ascii="Times New Roman" w:hAnsi="Times New Roman"/>
                  <w:caps w:val="false"/>
                  <w:smallCaps w:val="false"/>
                  <w:sz w:val="20"/>
                </w:rPr>
                <w:t>May 6, 2026</w:t>
              </w:r>
            </w:hyperlink>
            <w:r>
              <w:rPr>
                <w:rFonts w:ascii="Times New Roman" w:hAnsi="Times New Roman"/>
                <w:caps w:val="false"/>
                <w:smallCaps w:val="false"/>
                <w:sz w:val="20"/>
              </w:rPr>
              <w:t xml:space="preserve">, </w:t>
            </w:r>
            <w:hyperlink r:id="rId18">
              <w:r>
                <w:rPr>
                  <w:rStyle w:val="InternetLink"/>
                  <w:rFonts w:ascii="Times New Roman" w:hAnsi="Times New Roman"/>
                  <w:caps w:val="false"/>
                  <w:smallCaps w:val="false"/>
                  <w:sz w:val="20"/>
                </w:rPr>
                <w:t>June 10, 2026</w:t>
              </w:r>
            </w:hyperlink>
            <w:r>
              <w:rPr>
                <w:rFonts w:ascii="Times New Roman" w:hAnsi="Times New Roman"/>
                <w:caps w:val="false"/>
                <w:smallCaps w:val="false"/>
                <w:sz w:val="20"/>
              </w:rPr>
              <w:t xml:space="preserve">, </w:t>
            </w:r>
            <w:hyperlink r:id="rId19">
              <w:r>
                <w:rPr>
                  <w:rStyle w:val="InternetLink"/>
                  <w:rFonts w:ascii="Times New Roman" w:hAnsi="Times New Roman"/>
                  <w:caps w:val="false"/>
                  <w:smallCaps w:val="false"/>
                  <w:sz w:val="20"/>
                </w:rPr>
                <w:t>June 12, 2026</w:t>
              </w:r>
            </w:hyperlink>
            <w:r>
              <w:rPr>
                <w:rFonts w:ascii="Times New Roman" w:hAnsi="Times New Roman"/>
                <w:caps w:val="false"/>
                <w:smallCaps w:val="false"/>
                <w:sz w:val="20"/>
              </w:rPr>
              <w:t xml:space="preserve">, and </w:t>
            </w:r>
            <w:hyperlink r:id="rId20">
              <w:r>
                <w:rPr>
                  <w:rStyle w:val="InternetLink"/>
                  <w:rFonts w:ascii="Times New Roman" w:hAnsi="Times New Roman"/>
                  <w:caps w:val="false"/>
                  <w:smallCaps w:val="false"/>
                  <w:sz w:val="20"/>
                </w:rPr>
                <w:t>July 29, 2026</w:t>
              </w:r>
            </w:hyperlink>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common stock which is registered under Section 12 of the Exchange Act, in our registration statement on Form 8-A, filed with the SEC on </w:t>
            </w:r>
            <w:hyperlink r:id="rId21">
              <w:r>
                <w:rPr>
                  <w:rStyle w:val="InternetLink"/>
                  <w:rFonts w:ascii="Times New Roman" w:hAnsi="Times New Roman"/>
                  <w:caps w:val="false"/>
                  <w:smallCaps w:val="false"/>
                  <w:sz w:val="20"/>
                </w:rPr>
                <w:t>April 15, 2016</w:t>
              </w:r>
            </w:hyperlink>
            <w:r>
              <w:rPr>
                <w:rFonts w:ascii="Times New Roman" w:hAnsi="Times New Roman"/>
                <w:caps w:val="false"/>
                <w:smallCaps w:val="false"/>
                <w:sz w:val="20"/>
              </w:rPr>
              <w:t>,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other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supplement is delivered, a copy of any or all of the information that has been incorporated by reference in the prospectus but not delivered with the prospectus. You may request a copy of any documents incorporated by reference in this prospectus supplement and the accompanying base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3957 Point Eden Way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Hayward, California 94545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510-906-4600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PROSPECTUS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Pulse Biosciences, Inc.</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$200,000,000</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Common Stock</w:t>
      </w:r>
      <w:r>
        <w:rPr>
          <w:rFonts w:ascii="Times New Roman" w:hAnsi="Times New Roman"/>
          <w:caps w:val="false"/>
          <w:smallCaps w:val="false"/>
          <w:sz w:val="24"/>
        </w:rPr>
        <w:br/>
      </w:r>
      <w:r>
        <w:rPr>
          <w:rFonts w:ascii="Times New Roman" w:hAnsi="Times New Roman"/>
          <w:b/>
          <w:caps w:val="false"/>
          <w:smallCaps w:val="false"/>
          <w:sz w:val="24"/>
        </w:rPr>
        <w:t>Preferred Stock</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Debt Securities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Depositary Shares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Warrants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Subscription Rights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Purchase Contracts</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Units</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prospectus provides a general description of the common stock, preferred stock, debt securities, depositary shares, warrants, subscription rights, purchase contracts, and units that we may offer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Each time we offer and sell securities, we will file a supplement to this prospectus that contains specific information about the offering and the amounts, prices, and terms of the securities. Each supplement may also add, update, or change information contained in this prospectus with respect to that offering. You should carefully read this prospectus and the applicable prospectus supplement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offer and sell these securities to or through one or more agents, underwriters, dealers, or other third parties, “at the market,” to or through a market maker, into an existing trading market, or otherwise directly to one or more purchasers on a continuous or delayed basis or through a combination of methods of sale. If agents, underwriters, or dealers are used to sell our securities, we will name them and describe their compensation in a prospectus supplement. The price to the public of our securities and the net proceeds from the sale of such securities will also be set forth in a prospectus supplement. You should carefully read this prospectus and any accompanying prospectus supplement, together with the documents we incorporate by reference, before you invest in our securities. The aggregate offering price of the securities we sell pursuant to this prospectus will not exceed $200,000,000.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common stock is listed on the Nasdaq Capital Market under the symbol “PLSE.” On February 18, 2026, the last reported sales price of our common stock was $25.46.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Investing in our securities involves a high degree of risk. See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Risk Factors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beginning on page 6 of this prospectus and contained in the applicable prospectus supplement and any related free writing prospectus, and under similar headings in the other documents that are incorporated by reference into this prospectus for a discussion of the factors you should carefully consider before making a decision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You should rely only on the information contained in this prospectus or any prospectus supplement or amendment hereto. We have not authorized anyone to provide you with different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of this prospectus is February 27, 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tbl>
      <w:tblPr>
        <w:tblW w:w="8530" w:type="dxa"/>
        <w:jc w:val="left"/>
        <w:tblInd w:w="0" w:type="dxa"/>
        <w:tblLayout w:type="fixed"/>
        <w:tblCellMar>
          <w:top w:w="0" w:type="dxa"/>
          <w:left w:w="0" w:type="dxa"/>
          <w:bottom w:w="0" w:type="dxa"/>
          <w:right w:w="0" w:type="dxa"/>
        </w:tblCellMar>
      </w:tblPr>
      <w:tblGrid>
        <w:gridCol w:w="8015"/>
        <w:gridCol w:w="515"/>
      </w:tblGrid>
      <w:tr>
        <w:trPr/>
        <w:tc>
          <w:tcPr>
            <w:tcW w:w="801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u w:val="single"/>
              </w:rPr>
            </w:pPr>
            <w:r>
              <w:rPr>
                <w:b/>
                <w:u w:val="single"/>
              </w:rPr>
              <w:t>Page</w:t>
            </w:r>
          </w:p>
        </w:tc>
      </w:tr>
      <w:tr>
        <w:trPr/>
        <w:tc>
          <w:tcPr>
            <w:tcW w:w="8015" w:type="dxa"/>
            <w:tcBorders/>
            <w:shd w:fill="CCEEFF" w:val="clear"/>
            <w:vAlign w:val="center"/>
          </w:tcPr>
          <w:p>
            <w:pPr>
              <w:pStyle w:val="TableContents"/>
              <w:bidi w:val="0"/>
              <w:spacing w:before="0" w:after="283"/>
              <w:jc w:val="left"/>
              <w:rPr/>
            </w:pPr>
            <w:hyperlink w:anchor="ABOUT_THIS_PROSPECTUS">
              <w:r>
                <w:rPr>
                  <w:rStyle w:val="InternetLink"/>
                </w:rPr>
                <w:t>ABOUT THIS PROSPECTUS</w:t>
              </w:r>
            </w:hyperlink>
          </w:p>
        </w:tc>
        <w:tc>
          <w:tcPr>
            <w:tcW w:w="515" w:type="dxa"/>
            <w:tcBorders/>
            <w:shd w:fill="CCEEFF" w:val="clear"/>
            <w:vAlign w:val="center"/>
          </w:tcPr>
          <w:p>
            <w:pPr>
              <w:pStyle w:val="TableContents"/>
              <w:bidi w:val="0"/>
              <w:spacing w:before="0" w:after="283"/>
              <w:jc w:val="right"/>
              <w:rPr/>
            </w:pPr>
            <w:hyperlink w:anchor="ABOUT_THIS_PROSPECTUS">
              <w:r>
                <w:rPr>
                  <w:rStyle w:val="InternetLink"/>
                </w:rPr>
                <w:t>2</w:t>
              </w:r>
            </w:hyperlink>
          </w:p>
        </w:tc>
      </w:tr>
      <w:tr>
        <w:trPr/>
        <w:tc>
          <w:tcPr>
            <w:tcW w:w="8015" w:type="dxa"/>
            <w:tcBorders/>
            <w:shd w:fill="FFFFFF" w:val="clear"/>
            <w:vAlign w:val="center"/>
          </w:tcPr>
          <w:p>
            <w:pPr>
              <w:pStyle w:val="TableContents"/>
              <w:bidi w:val="0"/>
              <w:spacing w:before="0" w:after="283"/>
              <w:jc w:val="left"/>
              <w:rPr/>
            </w:pPr>
            <w:hyperlink w:anchor="CAUTIONARY_STATEMENT_REGARDING_FORWARD_LOOKING_STATEMENTS">
              <w:r>
                <w:rPr>
                  <w:rStyle w:val="InternetLink"/>
                </w:rPr>
                <w:t>CAUTIONARY NOTE REGARDING FORWARD LOOKING STATEMENTS</w:t>
              </w:r>
            </w:hyperlink>
          </w:p>
        </w:tc>
        <w:tc>
          <w:tcPr>
            <w:tcW w:w="515" w:type="dxa"/>
            <w:tcBorders/>
            <w:shd w:fill="FFFFFF" w:val="clear"/>
            <w:vAlign w:val="center"/>
          </w:tcPr>
          <w:p>
            <w:pPr>
              <w:pStyle w:val="TableContents"/>
              <w:bidi w:val="0"/>
              <w:spacing w:before="0" w:after="283"/>
              <w:jc w:val="right"/>
              <w:rPr/>
            </w:pPr>
            <w:hyperlink w:anchor="CAUTIONARY_STATEMENT_REGARDING_FORWARD_LOOKING_STATEMENTS">
              <w:r>
                <w:rPr>
                  <w:rStyle w:val="InternetLink"/>
                </w:rPr>
                <w:t>3</w:t>
              </w:r>
            </w:hyperlink>
          </w:p>
        </w:tc>
      </w:tr>
      <w:tr>
        <w:trPr/>
        <w:tc>
          <w:tcPr>
            <w:tcW w:w="8015" w:type="dxa"/>
            <w:tcBorders/>
            <w:shd w:fill="CCEEFF" w:val="clear"/>
            <w:vAlign w:val="center"/>
          </w:tcPr>
          <w:p>
            <w:pPr>
              <w:pStyle w:val="TableContents"/>
              <w:bidi w:val="0"/>
              <w:spacing w:before="0" w:after="283"/>
              <w:jc w:val="left"/>
              <w:rPr/>
            </w:pPr>
            <w:hyperlink w:anchor="PROSPECTUS_SUMMARY">
              <w:r>
                <w:rPr>
                  <w:rStyle w:val="InternetLink"/>
                </w:rPr>
                <w:t>PROSPECTUS SUMMARY</w:t>
              </w:r>
            </w:hyperlink>
          </w:p>
        </w:tc>
        <w:tc>
          <w:tcPr>
            <w:tcW w:w="515" w:type="dxa"/>
            <w:tcBorders/>
            <w:shd w:fill="CCEEFF" w:val="clear"/>
            <w:vAlign w:val="center"/>
          </w:tcPr>
          <w:p>
            <w:pPr>
              <w:pStyle w:val="TableContents"/>
              <w:bidi w:val="0"/>
              <w:spacing w:before="0" w:after="283"/>
              <w:jc w:val="right"/>
              <w:rPr/>
            </w:pPr>
            <w:hyperlink w:anchor="PROSPECTUS_SUMMARY">
              <w:r>
                <w:rPr>
                  <w:rStyle w:val="InternetLink"/>
                </w:rPr>
                <w:t>4</w:t>
              </w:r>
            </w:hyperlink>
          </w:p>
        </w:tc>
      </w:tr>
      <w:tr>
        <w:trPr/>
        <w:tc>
          <w:tcPr>
            <w:tcW w:w="8015" w:type="dxa"/>
            <w:tcBorders/>
            <w:shd w:fill="FFFFFF" w:val="clear"/>
            <w:vAlign w:val="center"/>
          </w:tcPr>
          <w:p>
            <w:pPr>
              <w:pStyle w:val="TableContents"/>
              <w:bidi w:val="0"/>
              <w:spacing w:before="0" w:after="283"/>
              <w:jc w:val="left"/>
              <w:rPr/>
            </w:pPr>
            <w:hyperlink w:anchor="RISK_FACTORS_">
              <w:r>
                <w:rPr>
                  <w:rStyle w:val="InternetLink"/>
                </w:rPr>
                <w:t>RISK FACTORS </w:t>
              </w:r>
            </w:hyperlink>
          </w:p>
        </w:tc>
        <w:tc>
          <w:tcPr>
            <w:tcW w:w="515" w:type="dxa"/>
            <w:tcBorders/>
            <w:shd w:fill="FFFFFF" w:val="clear"/>
            <w:vAlign w:val="center"/>
          </w:tcPr>
          <w:p>
            <w:pPr>
              <w:pStyle w:val="TableContents"/>
              <w:bidi w:val="0"/>
              <w:spacing w:before="0" w:after="283"/>
              <w:jc w:val="right"/>
              <w:rPr/>
            </w:pPr>
            <w:hyperlink w:anchor="RISK_FACTORS_">
              <w:r>
                <w:rPr>
                  <w:rStyle w:val="InternetLink"/>
                </w:rPr>
                <w:t>6</w:t>
              </w:r>
            </w:hyperlink>
          </w:p>
        </w:tc>
      </w:tr>
      <w:tr>
        <w:trPr/>
        <w:tc>
          <w:tcPr>
            <w:tcW w:w="8015" w:type="dxa"/>
            <w:tcBorders/>
            <w:shd w:fill="CCEEFF" w:val="clear"/>
            <w:vAlign w:val="center"/>
          </w:tcPr>
          <w:p>
            <w:pPr>
              <w:pStyle w:val="TableContents"/>
              <w:bidi w:val="0"/>
              <w:spacing w:before="0" w:after="283"/>
              <w:jc w:val="left"/>
              <w:rPr/>
            </w:pPr>
            <w:hyperlink w:anchor="USE_OF_PROCEEDS">
              <w:r>
                <w:rPr>
                  <w:rStyle w:val="InternetLink"/>
                </w:rPr>
                <w:t>USE OF PROCEEDS</w:t>
              </w:r>
            </w:hyperlink>
          </w:p>
        </w:tc>
        <w:tc>
          <w:tcPr>
            <w:tcW w:w="515" w:type="dxa"/>
            <w:tcBorders/>
            <w:shd w:fill="CCEEFF" w:val="clear"/>
            <w:vAlign w:val="center"/>
          </w:tcPr>
          <w:p>
            <w:pPr>
              <w:pStyle w:val="TableContents"/>
              <w:bidi w:val="0"/>
              <w:spacing w:before="0" w:after="283"/>
              <w:jc w:val="right"/>
              <w:rPr/>
            </w:pPr>
            <w:hyperlink w:anchor="USE_OF_PROCEEDS">
              <w:r>
                <w:rPr>
                  <w:rStyle w:val="InternetLink"/>
                </w:rPr>
                <w:t>6</w:t>
              </w:r>
            </w:hyperlink>
          </w:p>
        </w:tc>
      </w:tr>
      <w:tr>
        <w:trPr/>
        <w:tc>
          <w:tcPr>
            <w:tcW w:w="8015" w:type="dxa"/>
            <w:tcBorders/>
            <w:shd w:fill="FFFFFF" w:val="clear"/>
            <w:vAlign w:val="center"/>
          </w:tcPr>
          <w:p>
            <w:pPr>
              <w:pStyle w:val="TableContents"/>
              <w:bidi w:val="0"/>
              <w:spacing w:before="0" w:after="283"/>
              <w:jc w:val="left"/>
              <w:rPr/>
            </w:pPr>
            <w:hyperlink w:anchor="DESCRIPTION_OF_CAPITAL_STOCK">
              <w:r>
                <w:rPr>
                  <w:rStyle w:val="InternetLink"/>
                </w:rPr>
                <w:t>DESCRIPTION OF CAPITAL STOCK</w:t>
              </w:r>
            </w:hyperlink>
          </w:p>
        </w:tc>
        <w:tc>
          <w:tcPr>
            <w:tcW w:w="515" w:type="dxa"/>
            <w:tcBorders/>
            <w:shd w:fill="FFFFFF" w:val="clear"/>
            <w:vAlign w:val="center"/>
          </w:tcPr>
          <w:p>
            <w:pPr>
              <w:pStyle w:val="TableContents"/>
              <w:bidi w:val="0"/>
              <w:spacing w:before="0" w:after="283"/>
              <w:jc w:val="right"/>
              <w:rPr/>
            </w:pPr>
            <w:hyperlink w:anchor="DESCRIPTION_OF_CAPITAL_STOCK">
              <w:r>
                <w:rPr>
                  <w:rStyle w:val="InternetLink"/>
                </w:rPr>
                <w:t>7</w:t>
              </w:r>
            </w:hyperlink>
          </w:p>
        </w:tc>
      </w:tr>
      <w:tr>
        <w:trPr/>
        <w:tc>
          <w:tcPr>
            <w:tcW w:w="8015" w:type="dxa"/>
            <w:tcBorders/>
            <w:shd w:fill="CCEEFF" w:val="clear"/>
            <w:vAlign w:val="center"/>
          </w:tcPr>
          <w:p>
            <w:pPr>
              <w:pStyle w:val="TableContents"/>
              <w:bidi w:val="0"/>
              <w:spacing w:before="0" w:after="283"/>
              <w:jc w:val="left"/>
              <w:rPr/>
            </w:pPr>
            <w:hyperlink w:anchor="DESCRIPTION_OF_DEBT_SECURITIES">
              <w:r>
                <w:rPr>
                  <w:rStyle w:val="InternetLink"/>
                </w:rPr>
                <w:t>DESCRIPTION OF DEBT SECURITIES</w:t>
              </w:r>
            </w:hyperlink>
          </w:p>
        </w:tc>
        <w:tc>
          <w:tcPr>
            <w:tcW w:w="515" w:type="dxa"/>
            <w:tcBorders/>
            <w:shd w:fill="CCEEFF" w:val="clear"/>
            <w:vAlign w:val="center"/>
          </w:tcPr>
          <w:p>
            <w:pPr>
              <w:pStyle w:val="TableContents"/>
              <w:bidi w:val="0"/>
              <w:spacing w:before="0" w:after="283"/>
              <w:jc w:val="right"/>
              <w:rPr/>
            </w:pPr>
            <w:hyperlink w:anchor="DESCRIPTION_OF_DEBT_SECURITIES">
              <w:r>
                <w:rPr>
                  <w:rStyle w:val="InternetLink"/>
                </w:rPr>
                <w:t>10</w:t>
              </w:r>
            </w:hyperlink>
          </w:p>
        </w:tc>
      </w:tr>
      <w:tr>
        <w:trPr/>
        <w:tc>
          <w:tcPr>
            <w:tcW w:w="8015" w:type="dxa"/>
            <w:tcBorders/>
            <w:shd w:fill="FFFFFF" w:val="clear"/>
            <w:vAlign w:val="center"/>
          </w:tcPr>
          <w:p>
            <w:pPr>
              <w:pStyle w:val="TableContents"/>
              <w:bidi w:val="0"/>
              <w:spacing w:before="0" w:after="283"/>
              <w:jc w:val="left"/>
              <w:rPr/>
            </w:pPr>
            <w:hyperlink w:anchor="DESCRIPTION_OF_DEPOSITARY_SHARES">
              <w:r>
                <w:rPr>
                  <w:rStyle w:val="InternetLink"/>
                </w:rPr>
                <w:t>DESCRIPTION OF DEPOSITARY SHARES</w:t>
              </w:r>
            </w:hyperlink>
          </w:p>
        </w:tc>
        <w:tc>
          <w:tcPr>
            <w:tcW w:w="515" w:type="dxa"/>
            <w:tcBorders/>
            <w:shd w:fill="FFFFFF" w:val="clear"/>
            <w:vAlign w:val="center"/>
          </w:tcPr>
          <w:p>
            <w:pPr>
              <w:pStyle w:val="TableContents"/>
              <w:bidi w:val="0"/>
              <w:spacing w:before="0" w:after="283"/>
              <w:jc w:val="right"/>
              <w:rPr/>
            </w:pPr>
            <w:hyperlink w:anchor="DESCRIPTION_OF_DEPOSITARY_SHARES">
              <w:r>
                <w:rPr>
                  <w:rStyle w:val="InternetLink"/>
                </w:rPr>
                <w:t>16</w:t>
              </w:r>
            </w:hyperlink>
          </w:p>
        </w:tc>
      </w:tr>
      <w:tr>
        <w:trPr/>
        <w:tc>
          <w:tcPr>
            <w:tcW w:w="8015" w:type="dxa"/>
            <w:tcBorders/>
            <w:shd w:fill="CCEEFF" w:val="clear"/>
            <w:vAlign w:val="center"/>
          </w:tcPr>
          <w:p>
            <w:pPr>
              <w:pStyle w:val="TableContents"/>
              <w:bidi w:val="0"/>
              <w:spacing w:before="0" w:after="283"/>
              <w:jc w:val="left"/>
              <w:rPr/>
            </w:pPr>
            <w:hyperlink w:anchor="DESCRIPTION_OF_WARRANTS">
              <w:r>
                <w:rPr>
                  <w:rStyle w:val="InternetLink"/>
                </w:rPr>
                <w:t>DESCRIPTION OF WARRANTS</w:t>
              </w:r>
            </w:hyperlink>
          </w:p>
        </w:tc>
        <w:tc>
          <w:tcPr>
            <w:tcW w:w="515" w:type="dxa"/>
            <w:tcBorders/>
            <w:shd w:fill="CCEEFF" w:val="clear"/>
            <w:vAlign w:val="center"/>
          </w:tcPr>
          <w:p>
            <w:pPr>
              <w:pStyle w:val="TableContents"/>
              <w:bidi w:val="0"/>
              <w:spacing w:before="0" w:after="283"/>
              <w:jc w:val="right"/>
              <w:rPr/>
            </w:pPr>
            <w:hyperlink w:anchor="DESCRIPTION_OF_WARRANTS">
              <w:r>
                <w:rPr>
                  <w:rStyle w:val="InternetLink"/>
                </w:rPr>
                <w:t>18</w:t>
              </w:r>
            </w:hyperlink>
          </w:p>
        </w:tc>
      </w:tr>
      <w:tr>
        <w:trPr/>
        <w:tc>
          <w:tcPr>
            <w:tcW w:w="8015" w:type="dxa"/>
            <w:tcBorders/>
            <w:shd w:fill="FFFFFF" w:val="clear"/>
            <w:vAlign w:val="center"/>
          </w:tcPr>
          <w:p>
            <w:pPr>
              <w:pStyle w:val="TableContents"/>
              <w:bidi w:val="0"/>
              <w:spacing w:before="0" w:after="283"/>
              <w:jc w:val="left"/>
              <w:rPr/>
            </w:pPr>
            <w:hyperlink w:anchor="DESCRIPTION_OF_SUBSCRIPTION_RIGHTS">
              <w:r>
                <w:rPr>
                  <w:rStyle w:val="InternetLink"/>
                </w:rPr>
                <w:t>DESCRIPTION OF SUBSCRIPTION RIGHTS</w:t>
              </w:r>
            </w:hyperlink>
          </w:p>
        </w:tc>
        <w:tc>
          <w:tcPr>
            <w:tcW w:w="515" w:type="dxa"/>
            <w:tcBorders/>
            <w:shd w:fill="FFFFFF" w:val="clear"/>
            <w:vAlign w:val="center"/>
          </w:tcPr>
          <w:p>
            <w:pPr>
              <w:pStyle w:val="TableContents"/>
              <w:bidi w:val="0"/>
              <w:spacing w:before="0" w:after="283"/>
              <w:jc w:val="right"/>
              <w:rPr/>
            </w:pPr>
            <w:hyperlink w:anchor="DESCRIPTION_OF_SUBSCRIPTION_RIGHTS">
              <w:r>
                <w:rPr>
                  <w:rStyle w:val="InternetLink"/>
                </w:rPr>
                <w:t>19</w:t>
              </w:r>
            </w:hyperlink>
          </w:p>
        </w:tc>
      </w:tr>
      <w:tr>
        <w:trPr/>
        <w:tc>
          <w:tcPr>
            <w:tcW w:w="8015" w:type="dxa"/>
            <w:tcBorders/>
            <w:shd w:fill="CCEEFF" w:val="clear"/>
            <w:vAlign w:val="center"/>
          </w:tcPr>
          <w:p>
            <w:pPr>
              <w:pStyle w:val="TableContents"/>
              <w:bidi w:val="0"/>
              <w:spacing w:before="0" w:after="283"/>
              <w:jc w:val="left"/>
              <w:rPr/>
            </w:pPr>
            <w:hyperlink w:anchor="DESCRIPTION_OF_PURCHASE_CONTRACTS">
              <w:r>
                <w:rPr>
                  <w:rStyle w:val="InternetLink"/>
                </w:rPr>
                <w:t>DESCRIPTION OF PURCHASE CONTRACTS</w:t>
              </w:r>
            </w:hyperlink>
          </w:p>
        </w:tc>
        <w:tc>
          <w:tcPr>
            <w:tcW w:w="515" w:type="dxa"/>
            <w:tcBorders/>
            <w:shd w:fill="CCEEFF" w:val="clear"/>
            <w:vAlign w:val="center"/>
          </w:tcPr>
          <w:p>
            <w:pPr>
              <w:pStyle w:val="TableContents"/>
              <w:bidi w:val="0"/>
              <w:spacing w:before="0" w:after="283"/>
              <w:jc w:val="right"/>
              <w:rPr/>
            </w:pPr>
            <w:hyperlink w:anchor="DESCRIPTION_OF_PURCHASE_CONTRACTS">
              <w:r>
                <w:rPr>
                  <w:rStyle w:val="InternetLink"/>
                </w:rPr>
                <w:t>20</w:t>
              </w:r>
            </w:hyperlink>
          </w:p>
        </w:tc>
      </w:tr>
      <w:tr>
        <w:trPr/>
        <w:tc>
          <w:tcPr>
            <w:tcW w:w="8015" w:type="dxa"/>
            <w:tcBorders/>
            <w:shd w:fill="FFFFFF" w:val="clear"/>
            <w:vAlign w:val="center"/>
          </w:tcPr>
          <w:p>
            <w:pPr>
              <w:pStyle w:val="TableContents"/>
              <w:bidi w:val="0"/>
              <w:spacing w:before="0" w:after="283"/>
              <w:jc w:val="left"/>
              <w:rPr/>
            </w:pPr>
            <w:hyperlink w:anchor="DESCRIPTION_OF_UNITS">
              <w:r>
                <w:rPr>
                  <w:rStyle w:val="InternetLink"/>
                </w:rPr>
                <w:t>DESCRIPTION OF UNITS</w:t>
              </w:r>
            </w:hyperlink>
          </w:p>
        </w:tc>
        <w:tc>
          <w:tcPr>
            <w:tcW w:w="515" w:type="dxa"/>
            <w:tcBorders/>
            <w:shd w:fill="FFFFFF" w:val="clear"/>
            <w:vAlign w:val="center"/>
          </w:tcPr>
          <w:p>
            <w:pPr>
              <w:pStyle w:val="TableContents"/>
              <w:bidi w:val="0"/>
              <w:spacing w:before="0" w:after="283"/>
              <w:jc w:val="right"/>
              <w:rPr/>
            </w:pPr>
            <w:hyperlink w:anchor="DESCRIPTION_OF_UNITS">
              <w:r>
                <w:rPr>
                  <w:rStyle w:val="InternetLink"/>
                </w:rPr>
                <w:t>21</w:t>
              </w:r>
            </w:hyperlink>
          </w:p>
        </w:tc>
      </w:tr>
      <w:tr>
        <w:trPr/>
        <w:tc>
          <w:tcPr>
            <w:tcW w:w="8015" w:type="dxa"/>
            <w:tcBorders/>
            <w:shd w:fill="CCEEFF" w:val="clear"/>
            <w:vAlign w:val="center"/>
          </w:tcPr>
          <w:p>
            <w:pPr>
              <w:pStyle w:val="TableContents"/>
              <w:bidi w:val="0"/>
              <w:spacing w:before="0" w:after="283"/>
              <w:jc w:val="left"/>
              <w:rPr/>
            </w:pPr>
            <w:hyperlink w:anchor="DIVIDEND_POLICY">
              <w:r>
                <w:rPr>
                  <w:rStyle w:val="InternetLink"/>
                </w:rPr>
                <w:t>DIVIDEND POLICY</w:t>
              </w:r>
            </w:hyperlink>
          </w:p>
        </w:tc>
        <w:tc>
          <w:tcPr>
            <w:tcW w:w="515" w:type="dxa"/>
            <w:tcBorders/>
            <w:shd w:fill="CCEEFF" w:val="clear"/>
            <w:vAlign w:val="center"/>
          </w:tcPr>
          <w:p>
            <w:pPr>
              <w:pStyle w:val="TableContents"/>
              <w:bidi w:val="0"/>
              <w:spacing w:before="0" w:after="283"/>
              <w:jc w:val="right"/>
              <w:rPr/>
            </w:pPr>
            <w:hyperlink w:anchor="DIVIDEND_POLICY">
              <w:r>
                <w:rPr>
                  <w:rStyle w:val="InternetLink"/>
                </w:rPr>
                <w:t>21</w:t>
              </w:r>
            </w:hyperlink>
          </w:p>
        </w:tc>
      </w:tr>
      <w:tr>
        <w:trPr/>
        <w:tc>
          <w:tcPr>
            <w:tcW w:w="8015" w:type="dxa"/>
            <w:tcBorders/>
            <w:shd w:fill="FFFFFF" w:val="clear"/>
            <w:vAlign w:val="center"/>
          </w:tcPr>
          <w:p>
            <w:pPr>
              <w:pStyle w:val="TableContents"/>
              <w:bidi w:val="0"/>
              <w:spacing w:before="0" w:after="283"/>
              <w:jc w:val="left"/>
              <w:rPr/>
            </w:pPr>
            <w:hyperlink w:anchor="PLANOFDISTRIBUTION">
              <w:r>
                <w:rPr>
                  <w:rStyle w:val="InternetLink"/>
                </w:rPr>
                <w:t>PLAN OF DISTRIBUTION</w:t>
              </w:r>
            </w:hyperlink>
          </w:p>
        </w:tc>
        <w:tc>
          <w:tcPr>
            <w:tcW w:w="515" w:type="dxa"/>
            <w:tcBorders/>
            <w:shd w:fill="FFFFFF" w:val="clear"/>
            <w:vAlign w:val="center"/>
          </w:tcPr>
          <w:p>
            <w:pPr>
              <w:pStyle w:val="TableContents"/>
              <w:bidi w:val="0"/>
              <w:spacing w:before="0" w:after="283"/>
              <w:jc w:val="right"/>
              <w:rPr/>
            </w:pPr>
            <w:hyperlink w:anchor="PLANOFDISTRIBUTION">
              <w:r>
                <w:rPr>
                  <w:rStyle w:val="InternetLink"/>
                </w:rPr>
                <w:t>22</w:t>
              </w:r>
            </w:hyperlink>
          </w:p>
        </w:tc>
      </w:tr>
      <w:tr>
        <w:trPr/>
        <w:tc>
          <w:tcPr>
            <w:tcW w:w="8015" w:type="dxa"/>
            <w:tcBorders/>
            <w:shd w:fill="CCEEFF" w:val="clear"/>
            <w:vAlign w:val="center"/>
          </w:tcPr>
          <w:p>
            <w:pPr>
              <w:pStyle w:val="TableContents"/>
              <w:bidi w:val="0"/>
              <w:spacing w:before="0" w:after="283"/>
              <w:jc w:val="left"/>
              <w:rPr/>
            </w:pPr>
            <w:hyperlink w:anchor="LEGALMATTERS">
              <w:r>
                <w:rPr>
                  <w:rStyle w:val="InternetLink"/>
                </w:rPr>
                <w:t>LEGAL MATTERS</w:t>
              </w:r>
            </w:hyperlink>
          </w:p>
        </w:tc>
        <w:tc>
          <w:tcPr>
            <w:tcW w:w="515" w:type="dxa"/>
            <w:tcBorders/>
            <w:shd w:fill="CCEEFF" w:val="clear"/>
            <w:vAlign w:val="center"/>
          </w:tcPr>
          <w:p>
            <w:pPr>
              <w:pStyle w:val="TableContents"/>
              <w:bidi w:val="0"/>
              <w:spacing w:before="0" w:after="283"/>
              <w:jc w:val="right"/>
              <w:rPr/>
            </w:pPr>
            <w:hyperlink w:anchor="LEGALMATTERS">
              <w:r>
                <w:rPr>
                  <w:rStyle w:val="InternetLink"/>
                </w:rPr>
                <w:t>25</w:t>
              </w:r>
            </w:hyperlink>
          </w:p>
        </w:tc>
      </w:tr>
      <w:tr>
        <w:trPr/>
        <w:tc>
          <w:tcPr>
            <w:tcW w:w="8015" w:type="dxa"/>
            <w:tcBorders/>
            <w:shd w:fill="FFFFFF" w:val="clear"/>
            <w:vAlign w:val="center"/>
          </w:tcPr>
          <w:p>
            <w:pPr>
              <w:pStyle w:val="TableContents"/>
              <w:bidi w:val="0"/>
              <w:spacing w:before="0" w:after="283"/>
              <w:jc w:val="left"/>
              <w:rPr/>
            </w:pPr>
            <w:hyperlink w:anchor="EXPERTS">
              <w:r>
                <w:rPr>
                  <w:rStyle w:val="InternetLink"/>
                </w:rPr>
                <w:t>EXPERTS</w:t>
              </w:r>
            </w:hyperlink>
          </w:p>
        </w:tc>
        <w:tc>
          <w:tcPr>
            <w:tcW w:w="515" w:type="dxa"/>
            <w:tcBorders/>
            <w:shd w:fill="FFFFFF" w:val="clear"/>
            <w:vAlign w:val="center"/>
          </w:tcPr>
          <w:p>
            <w:pPr>
              <w:pStyle w:val="TableContents"/>
              <w:bidi w:val="0"/>
              <w:spacing w:before="0" w:after="283"/>
              <w:jc w:val="right"/>
              <w:rPr/>
            </w:pPr>
            <w:hyperlink w:anchor="EXPERTS">
              <w:r>
                <w:rPr>
                  <w:rStyle w:val="InternetLink"/>
                </w:rPr>
                <w:t>25</w:t>
              </w:r>
            </w:hyperlink>
          </w:p>
        </w:tc>
      </w:tr>
      <w:tr>
        <w:trPr/>
        <w:tc>
          <w:tcPr>
            <w:tcW w:w="8015" w:type="dxa"/>
            <w:tcBorders/>
            <w:shd w:fill="CCEEFF" w:val="clear"/>
            <w:vAlign w:val="center"/>
          </w:tcPr>
          <w:p>
            <w:pPr>
              <w:pStyle w:val="TableContents"/>
              <w:bidi w:val="0"/>
              <w:spacing w:before="0" w:after="283"/>
              <w:jc w:val="left"/>
              <w:rPr/>
            </w:pPr>
            <w:hyperlink w:anchor="INCORPORATIONBYREFERENCE">
              <w:r>
                <w:rPr>
                  <w:rStyle w:val="InternetLink"/>
                </w:rPr>
                <w:t>INCORPORATION OF CERTAIN INFORMATION BY REFERENCE</w:t>
              </w:r>
            </w:hyperlink>
          </w:p>
        </w:tc>
        <w:tc>
          <w:tcPr>
            <w:tcW w:w="515" w:type="dxa"/>
            <w:tcBorders/>
            <w:shd w:fill="CCEEFF" w:val="clear"/>
            <w:vAlign w:val="center"/>
          </w:tcPr>
          <w:p>
            <w:pPr>
              <w:pStyle w:val="TableContents"/>
              <w:bidi w:val="0"/>
              <w:spacing w:before="0" w:after="283"/>
              <w:jc w:val="right"/>
              <w:rPr/>
            </w:pPr>
            <w:hyperlink w:anchor="INCORPORATIONBYREFERENCE">
              <w:r>
                <w:rPr>
                  <w:rStyle w:val="InternetLink"/>
                </w:rPr>
                <w:t>25</w:t>
              </w:r>
            </w:hyperlink>
          </w:p>
        </w:tc>
      </w:tr>
      <w:tr>
        <w:trPr/>
        <w:tc>
          <w:tcPr>
            <w:tcW w:w="8015" w:type="dxa"/>
            <w:tcBorders/>
            <w:shd w:fill="FFFFFF" w:val="clear"/>
            <w:vAlign w:val="center"/>
          </w:tcPr>
          <w:p>
            <w:pPr>
              <w:pStyle w:val="TableContents"/>
              <w:bidi w:val="0"/>
              <w:spacing w:before="0" w:after="283"/>
              <w:jc w:val="left"/>
              <w:rPr/>
            </w:pPr>
            <w:hyperlink w:anchor="PART_II">
              <w:r>
                <w:rPr>
                  <w:rStyle w:val="InternetLink"/>
                </w:rPr>
                <w:t>PART II INFORMATION NOT REQUIRED IN THE PROSPECTUS</w:t>
              </w:r>
            </w:hyperlink>
          </w:p>
        </w:tc>
        <w:tc>
          <w:tcPr>
            <w:tcW w:w="515" w:type="dxa"/>
            <w:tcBorders/>
            <w:shd w:fill="FFFFFF" w:val="clear"/>
            <w:vAlign w:val="center"/>
          </w:tcPr>
          <w:p>
            <w:pPr>
              <w:pStyle w:val="TableContents"/>
              <w:bidi w:val="0"/>
              <w:spacing w:before="0" w:after="283"/>
              <w:jc w:val="right"/>
              <w:rPr/>
            </w:pPr>
            <w:hyperlink w:anchor="PART_II">
              <w:r>
                <w:rPr>
                  <w:rStyle w:val="InternetLink"/>
                </w:rPr>
                <w:t>II-1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1" w:name="ABOUT_THIS_PROSPECTUS"/>
      <w:bookmarkStart w:id="82" w:name="ABOUT_THIS_PROSPECTUS"/>
      <w:bookmarkEnd w:id="81"/>
      <w:bookmarkEnd w:id="82"/>
      <w:r>
        <w:rPr>
          <w:rFonts w:ascii="Times New Roman;Times;serif" w:hAnsi="Times New Roman;Times;serif"/>
          <w:b/>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prospectus is part of a registration statement on Form S-3 that we filed with the Securities and Exchange Commission (the “SEC”) using the “shelf” registration process. Under this shelf registration process, we may, from time to time, sell any combination of the securities described in this prospectus in one or more offerings.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types of securities that we may offer and sell from time to time by this prospectus are: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60"/>
        <w:gridCol w:w="170"/>
        <w:gridCol w:w="1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securities, which may be senior or subordinated and secured or unsecured;</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60"/>
        <w:gridCol w:w="170"/>
        <w:gridCol w:w="1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60"/>
        <w:gridCol w:w="170"/>
        <w:gridCol w:w="7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entitling the holders to purchase common stock, preferred stock or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rights entitling the holders to purchase common stock, preferred stock, warrants, or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contracts; and</w:t>
            </w:r>
          </w:p>
        </w:tc>
      </w:tr>
    </w:tbl>
    <w:p>
      <w:pPr>
        <w:pStyle w:val="TextBody"/>
        <w:bidi w:val="0"/>
        <w:spacing w:before="0" w:after="0"/>
        <w:ind w:left="0" w:right="0" w:hanging="0"/>
        <w:jc w:val="left"/>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60"/>
        <w:gridCol w:w="170"/>
        <w:gridCol w:w="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these securities either separately or in units. The preferred stock may be convertible into shares of our common stock or another series of preferred stock. This prospectus provides a general description of the securities that may be offered. Each time we sell securities, we will provide a supplement to this prospectus that contains specific information about the offering and the specific terms of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provided in this prospectus, as well as the information incorporated by reference into this prospectus and any applicable prospectus supplement. We have not authorized anyone to provide you with different or additional information or to make any representations other than those contained in this prospectus or any applicable prospectus supplement. We do not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We will not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general information about the distribution of securities offered, please see “</w:t>
      </w:r>
      <w:r>
        <w:rPr>
          <w:rFonts w:ascii="Times New Roman" w:hAnsi="Times New Roman"/>
          <w:i/>
          <w:caps w:val="false"/>
          <w:smallCaps w:val="false"/>
          <w:sz w:val="20"/>
        </w:rPr>
        <w:t>Plan of Distribution</w:t>
      </w:r>
      <w:r>
        <w:rPr>
          <w:rFonts w:ascii="Times New Roman" w:hAnsi="Times New Roman"/>
          <w:caps w:val="false"/>
          <w:smallCaps w:val="false"/>
          <w:sz w:val="20"/>
        </w:rPr>
        <w:t>,” below. You should read both this prospectus and any prospectus supplement, together with the additional information described in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 and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before you make any investment decisions regarding the securities. You may obtain the information incorporated by reference into this prospectus without charge by following the instructions under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 and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our Company and the terms of the offering and the securities, including the merits and risks involved.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not making any representation to any purchasers of our securities regarding the legality of an investment in our securities by such purchasers. You should not consider any information in this prospectus to be legal, business or tax advice. You should consult your own attorney, business advisor or tax advisor for legal, business and tax advice regarding an investment in our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context indicates otherwise, references in this prospectus to the “Company,” “Pulse,” “Pulse Biosciences,” “we,” “us,” “our,” and similar terms refer to Pulse Biosciences, Inc., a Delaware corporation, and its consolidated subsidiaries.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3" w:name="CAUTIONARY_STATEMENT_REGARDING_FORWARD_L"/>
      <w:bookmarkStart w:id="84" w:name="CAUTIONARY_STATEMENT_REGARDING_FORWARD_L"/>
      <w:bookmarkEnd w:id="83"/>
      <w:bookmarkEnd w:id="84"/>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Some of the statements made under “Prospectus Summary,” “Use of Proceeds,” and elsewhere in this prospectus and the documents incorporated by reference into this prospectus, constitute forward-looking statements within the meaning of The Private Securities Litigation Reform Act of 1995.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information under the heading “Risk Factors” contained in the applicable prospectus supplement and any related free writing prospectus, and under similar headings in the other documents that are incorporated by reference into this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do not assume any obligation to update any forward-looking statements.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the documents incorporated by reference herein. 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5" w:name="PROSPECTUS_SUMMARY"/>
      <w:bookmarkStart w:id="86" w:name="PROSPECTUS_SUMMARY"/>
      <w:bookmarkEnd w:id="85"/>
      <w:bookmarkEnd w:id="86"/>
      <w:r>
        <w:rPr>
          <w:rFonts w:ascii="Times New Roman" w:hAnsi="Times New Roman"/>
          <w:b/>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This summary highlights certain information about us and selected information contained in the prospectus. This summary is not complete and does not contain all of the information that may be important to you. For a more complete understanding of the Company, we encourage you to read and consider the more detailed information included or incorporated by reference in this prospectus and our most recent consolidated financial statements and related notes.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In parallel, we have designed a variety of applicators, or disposables, to explore the potential use of the nPulse platform to treat disorders in other medical specialties, such as cardiology, gastroenterology, gynecology, and otolaryngology.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nPulse platform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14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formerly Electroblate, Inc., was incorporated in the State of Nevada on May 19, 2014, and was reincorporated in the State of Delaware on June 18, 2018. Our corporate offices are located at 601 Brickell Key Drive, Suite 1080, Miami, Florida, 33131. Our telephone number is (510) 906-4600. We maintain a website at www.pulsebiosciences.com where general information about us is available. Our website, and the information contained therein, or that can be accessed through, our website, is not a part of this prospectus, and the inclusion of our website address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additional information related to our business and operations, please refer to the reports incorporated herein by reference, as described under the captions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 in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Securities That May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or sell common stock, preferred stock, debt securities, depositary shares, warrants, subscription rights, purchase contracts, and units in one or more offerings and in any combination. The aggregate offering price of the securities we sell pursuant to this prospectus will not exceed $200,000,000.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securities may be sold from time to time pursuant to underwritten public offerings, negotiated transactions, block trades, “at the market” offerings into an existing trading market, subscription rights offering, or a combination of these methods, to or through underwriters, dealers or agents or directly to purchasers or as otherwise set forth in the section of this prospectus captioned “</w:t>
      </w:r>
      <w:r>
        <w:rPr>
          <w:rFonts w:ascii="Times New Roman" w:hAnsi="Times New Roman"/>
          <w:i/>
          <w:caps w:val="false"/>
          <w:smallCaps w:val="false"/>
          <w:sz w:val="20"/>
        </w:rPr>
        <w:t>Plan of Distribution</w:t>
      </w:r>
      <w:r>
        <w:rPr>
          <w:rFonts w:ascii="Times New Roman" w:hAnsi="Times New Roman"/>
          <w:caps w:val="false"/>
          <w:smallCaps w:val="false"/>
          <w:sz w:val="20"/>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shares of our common stock, par value $0.001 per share, either alone or underlying other registered securities convertible into our common stock. Holders of our common stock are entitled to receive dividends declared by our board of directors out of assets or funds legally available for the payment of dividends, subject to rights, if any, of preferred stockholders. The holders of common stock have no preemptive rights.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has the authority, subject to limitations prescribed by Delaware law and our restated certificate of incorporation, to issue up to 50,000,000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one or more series of senior or subordinated debt. The senior debt securities and the subordinated debt securities are together referred to in this prospectus as the “debt securities.” The debt securities may be issued in one or more series with the same or various maturities at par, at premium or at a discount. Unless otherwise specified in a prospectus supplement, the debt securities will be our direct, unsecured obligations. The subordinated debt securities generally will be entitled to payment only after payment of our senior debt. Senior debt generally includes all debt for money borrowed by us, except debt that is stated in the instrument governing the terms of that debt not to be senior to, or to have the same rank in right of payment as, or to be expressly junior to, the subordinated debt securities. We may issue debt securities that are convertible into shares of our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debt securities will be issued under an indenture between us and a trustee to be identified in an accompanying prospectus supplement. We have summarized the general features of the debt securities to be governed by the form of indenture in this prospectus and the form of indenture has been filed as an exhibit to the registration statement of which this prospectus forms a part. We encourage you to read the indenture.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fractional shares of preferred stock that will be represented by depositary shares and depositary receipts.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warrants for the purchase of common stock, preferred stock or debt securities. We may offer warrants independently or together with other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offer purchase contracts, including contracts obligating holders or us to purchase from the other a specific or variable number of securities at a future date or dates.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offer units comprised of one or more of the other classes of securities described in this prospectus in any combination. Each unit will be issued so that the holder of the unit is also the holder of each security included in the unit.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7" w:name="RISK_FACTORS_"/>
      <w:bookmarkStart w:id="88" w:name="RISK_FACTORS_"/>
      <w:bookmarkEnd w:id="87"/>
      <w:bookmarkEnd w:id="88"/>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(including our most recently filed Annual Report on Form 10-K), and in other documents which are incorporated by reference into this prospectus, including all future filings we make with the SEC pursuant to Sections 13(a), 13(c), 14, or 15(d) of the Securities Exchange Act of 1934, as amended (the “Exchange Act”) before investing in any of our securities. The risks referenced above are not the only risks facing our Company. Additional risk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more information about our SEC filings, please see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9" w:name="USE_OF_PROCEEDS"/>
      <w:bookmarkStart w:id="90" w:name="USE_OF_PROCEEDS"/>
      <w:bookmarkEnd w:id="89"/>
      <w:bookmarkEnd w:id="90"/>
      <w:r>
        <w:rPr>
          <w:rFonts w:ascii="Times New Roman" w:hAnsi="Times New Roman"/>
          <w:b/>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otherwise specified in a prospectus supplement accompanying this prospectus, the net proceeds from the sale by us of the securities to which this prospectus relates will be used for general corporate purposes. Net proceeds may be temporarily invested prior to use. When we offer and sell the securities to which this prospectus relates, the prospectus supplement related to such offering will set forth our intended use of the proceeds, if any, received from the sale of such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1" w:name="DESCRIPTION_OF_CAPITAL_STOCK"/>
      <w:bookmarkStart w:id="92" w:name="DESCRIPTION_OF_CAPITAL_STOCK"/>
      <w:bookmarkEnd w:id="91"/>
      <w:bookmarkEnd w:id="92"/>
      <w:r>
        <w:rPr>
          <w:rFonts w:ascii="Times New Roman" w:hAnsi="Times New Roman"/>
          <w:b/>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of our common stock is a summary and is qualified in its entirety by reference to our restated certificate of incorporation, as amended (“Certificate of Incorporation”) and amended and restated bylaws (“Bylaws”), copies of which have been filed with the SEC and are incorporated by reference as exhibits to the registration statement of which this prospectus forms a part, and by applicable law.</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the date of this prospectus, our authorized capital stock consists of 500,000,000 shares of common stock, par value $0.001 per share and 50,000,000 shares of preferred stock, par value $0.001 per share. As of December 31, 2025, we had 67,839,689 shares of our common stock issued and outstanding. The shares of our common stock were held by 11 stockholders of record.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Voting Rights</w:t>
      </w:r>
      <w:r>
        <w:rPr>
          <w:rFonts w:ascii="Times New Roman" w:hAnsi="Times New Roman"/>
          <w:caps w:val="false"/>
          <w:smallCaps w:val="false"/>
          <w:sz w:val="20"/>
        </w:rPr>
        <w:t>. Each holder of common stock is entitled to one vote for each share held of record on all matters to be voted upon by stockholders. The common stock does not have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Dividends</w:t>
      </w:r>
      <w:r>
        <w:rPr>
          <w:rFonts w:ascii="Times New Roman" w:hAnsi="Times New Roman"/>
          <w:caps w:val="false"/>
          <w:smallCaps w:val="false"/>
          <w:sz w:val="20"/>
        </w:rPr>
        <w:t>. Subject to the preferences that may be applicable to any preferred stock outstanding at the time, the holders of outstanding shares of our common stock are entitled to receive such dividends as may be declared from time to time by the board of directors out of funds legally available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Liquidation, Dissolution and Winding Up</w:t>
      </w:r>
      <w:r>
        <w:rPr>
          <w:rFonts w:ascii="Times New Roman" w:hAnsi="Times New Roman"/>
          <w:caps w:val="false"/>
          <w:smallCaps w:val="false"/>
          <w:sz w:val="20"/>
        </w:rPr>
        <w:t>. Subject to the rights, powers and preferences of any outstanding preferred stock, in the event of liquidation, dissolution or winding up of the company to holders of outstanding shares of our common stock are entitled to share ratably in all assets remaining after payment of liabilities and the liquidation preference of any then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Other Rights</w:t>
      </w:r>
      <w:r>
        <w:rPr>
          <w:rFonts w:ascii="Times New Roman" w:hAnsi="Times New Roman"/>
          <w:caps w:val="false"/>
          <w:smallCaps w:val="false"/>
          <w:sz w:val="20"/>
        </w:rPr>
        <w:t>. Holders of common stock have no preemptive or conversion rights. There are no redemption or sinking fund provisions applicable to the common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board of directors is authorized, subject to limitations prescribed by Delaware law, to issue up to 50,000,000 shares of preferred stock in one or more series without stockholder approval. Our board of directors may designate the powers, designations, preferences, and relative participation, optional or other rights, if any, and the qualifications, limitations or restrictions of the shares of each series of preferred stock, including dividend rights, conversion rights, voting rights, redemption rights, liquidation preference, sinking fund terms and the number of shares constituting any series or the designation or any series. The rights, preferences, rights and restrictions of the preferred stock of each series will be fixed by the certificate of designation relating to that series. There are no restrictions presently on the repurchase or redemption of any shares of our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issuance of shares of preferred stock will affect, and may adversely affect, the rights of holders of common stock. It is not possible to state the actual effect of the issuance of any shares of preferred stock on the rights of holders of common stock until our board of directors determines the specific rights attached to that preferred stock. The effects of issuing additional preferred stock could include one or more of the following:</w:t>
      </w:r>
    </w:p>
    <w:p>
      <w:pPr>
        <w:pStyle w:val="TextBody"/>
        <w:bidi w:val="0"/>
        <w:spacing w:before="0" w:after="0"/>
        <w:ind w:left="160" w:right="0" w:firstLine="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60"/>
        <w:gridCol w:w="170"/>
        <w:gridCol w:w="3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restricting dividends on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diluting the voting power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impairing the liquidation rights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delaying or preventing changes in control or management of our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Provisions of Our Certificate of Incorporation and Bylaws and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Some provisions of Delaware law and our certificate of incorporation and bylaws contain provisions that could make the following transactions more difficult:</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us by means of a tender offer;</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of us by means of a proxy contest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removal of our incumbent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certificate of incorporation and our bylaws provide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 xml:space="preserve">Stockholder Meetings. </w:t>
      </w:r>
      <w:r>
        <w:rPr>
          <w:rFonts w:ascii="Times New Roman" w:hAnsi="Times New Roman"/>
          <w:caps w:val="false"/>
          <w:smallCaps w:val="false"/>
          <w:sz w:val="20"/>
        </w:rPr>
        <w:t>Our bylaws provide that in general a special meeting of stockholders may be called only by our board of directors, the chairman of our board of directors, any of our officers, or any stockholder holding at least fifteen percent (15%) of the voting power of the capital stock issued and outstanding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Requirements for Advance Notification of Stockholder Nominations and Proposals</w:t>
      </w:r>
      <w:r>
        <w:rPr>
          <w:rFonts w:ascii="Times New Roman" w:hAnsi="Times New Roman"/>
          <w:caps w:val="false"/>
          <w:smallCaps w:val="false"/>
          <w:sz w:val="20"/>
        </w:rPr>
        <w:t>. Our bylaws establish advance notice procedures with respect to stockholder proposals and the nomination of candidates for election as directors, other than nominations made by or at the direction of our board of directors or a committee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Limits on Ability of Stockholders to Act by Written Consent</w:t>
      </w:r>
      <w:r>
        <w:rPr>
          <w:rFonts w:ascii="Times New Roman" w:hAnsi="Times New Roman"/>
          <w:caps w:val="false"/>
          <w:smallCaps w:val="false"/>
          <w:sz w:val="20"/>
        </w:rPr>
        <w:t>. We have provided in our bylaws that our 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Amendment of Certificate of Incorporation and Bylaws</w:t>
      </w:r>
      <w:r>
        <w:rPr>
          <w:rFonts w:ascii="Times New Roman" w:hAnsi="Times New Roman"/>
          <w:caps w:val="false"/>
          <w:smallCaps w:val="false"/>
          <w:sz w:val="20"/>
        </w:rPr>
        <w:t>. The amendment of the above provisions of our certificate of incorporation and bylaws requires approval by holders of at least two-thirds of our outstanding capital stock entitled to vote generally in the election of directors.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Delaware Anti-Takeover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the date of the transaction, the board of directors of the corporation approved either the business combination or the transaction which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Generally, a business combination includes a merger, asset or stock sale, or other transaction resulting in a financial benefit to the interested stockholder. An interested stockholder is a person who, together with affiliates and associates, owns 15% or more of a corporation’s outstanding voting stock or is an affiliate or associate of a corporation and was the owner of 15% or more of the corporation’s outstanding voting stock within three years prior to the determination of interested stockholder status.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bylaws provide that unless we consent in writing to the selection of an alternative forum, the Court of Chancery of the State of Delaware shall, to the fullest extent permitted by law, be the sole and exclusive forum for (a) any derivative action or proceeding brought on our behalf, (b) any action asserting a claim of breach of fiduciary duty owed by any our directors, officers or other employees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Broadridge Corporate Issuer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under the symbol “PLSE.”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3" w:name="DESCRIPTION_OF_DEBT_SECURITIES"/>
      <w:bookmarkStart w:id="94" w:name="DESCRIPTION_OF_DEBT_SECURITIES"/>
      <w:bookmarkEnd w:id="93"/>
      <w:bookmarkEnd w:id="94"/>
      <w:r>
        <w:rPr>
          <w:rFonts w:ascii="Times New Roman" w:hAnsi="Times New Roman"/>
          <w:b/>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indicate in the supplement to what extent the general terms and provisions described in this prospectus apply to a particular series of debt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debt securities either separately, or together with, or upon the conversion or exercise of or in exchange for, other securities described in this prospectus. Debt securities may be our senior or subordinated obligations and, unless otherwise specified in a supplement to this prospectus, the debt securities will be our direct, unsecured obligations and may be issued in one or more series. We may issue debt securities that are convertible into shares of our common stock.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In addition, any changes to the description below also will be set forth in the applicable prospectus supplement.</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160" w:right="0" w:firstLine="72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title and ranking of the debt securities (including the terms of any subordination provisions);  </w:t>
            </w:r>
          </w:p>
        </w:tc>
      </w:tr>
    </w:tbl>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price or prices (expressed as a percentage of the principal amount) at which we will sell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limit upon the aggregate principal amount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 or dates on which the principal of the securities of the series is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period or periods within which, the price or prices at which and the terms and conditions upon which we may redeem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denominations in which the debt securities will be issued,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debt securities will be issued in the form of certificated debt securities or global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portion of principal amount of the debt securities payable upon declaration of acceleration of the maturity date, if other than the principal amount;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designation of the currency, currencies or currency units in which payment of principal of, and premium and interest on the debt securities will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payments of principal of, or premium or interest on the debt securities will be made in one or more currencies or currency units other than those in which the debt securities are denominated, the manner in which the exchange rate with respect to these payments will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manner in which the amounts of payment of principal of, and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provisions relating to any security provided for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 to, deletion of or change in the covenants described in this prospectus or in the indenture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any of our direct or indirect subsidiaries will guarantee the debt securities of that series, including the terms of subordination, if any, of such guarantees.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Certificated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Global Debt Securities and Book-Entry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global debt security representing book-entry debt securities will be deposited with, or on behalf of, the depositary, and registered in the name of the depositary or a nominee of the depositary.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set forth in the applicable prospectus supplement any restrictive covenants applicable to any issue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not consolidate with or merge with or into, or convey, transfer or lease all or substantially all of our properties and assets to any person, which we refer to as a successor person, unless:</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immediately after giving effect to the transaction, no Default or Event of Default, shall have occurred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the above, any of our subsidiaries may consolidate with, merge into or transfer all or part of its assets or properties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Event of Default” means with respect to any series of debt securities, any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payment of principal of any security of that series at its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70"/>
        <w:gridCol w:w="76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voluntary or involuntary events of bankruptcy, insolvency or reorganization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Event of Default provided with respect to debt securities of that series that is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holder has previously given to the trustee written notice of a continuing Event of Default with respect to debt securities of that series;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cure any ambiguity, defect or inconsistency;</w:t>
            </w:r>
          </w:p>
        </w:tc>
      </w:tr>
    </w:tbl>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0"/>
        <w:gridCol w:w="170"/>
        <w:gridCol w:w="99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covenants in the indenture described above under the heading “Consolidation, Merger and Sale of Assets”;</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uncertificated securities in addition to or in place of certificated securities;</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guarantees with respect to debt securities of any series or secure debt securities of any series;</w:t>
            </w:r>
          </w:p>
        </w:tc>
      </w:tr>
    </w:tbl>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170"/>
        <w:gridCol w:w="4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surrender any of our rights or powers under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covenants or events of default for the benefit of the holders of debt securities of any series;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60"/>
        <w:gridCol w:w="170"/>
        <w:gridCol w:w="57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the applicable procedures of the applicable depositary;</w:t>
            </w:r>
          </w:p>
        </w:tc>
      </w:tr>
    </w:tbl>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make any change that does not adversely affect the rights of any holder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effect the appointment of a successor trustee with respect to the debt securities of any series and to add to or change any of the provisions of the indenture to provide for or facilitate administration by more than one trustee;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requirements of the SEC in order to effect or maintain the qualification of the indenture under the Trust Indenture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to, change or eliminate any provision of the indenture or the debt securities of any series in accordance with the Trust Indenture Act, or to comply with the provisions of DTC, Euroclear or Clearstream or the Trustee with respect to provisions of the indenture or the debt securities of any series relating to transfers or exchanges of the debt securities of such series or beneficial interests in such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conform any provision of the indenture, insofar as it relates to the debt securities of any series, to the description of the debt securities of such series in the prospectus supplement relating to the offering of the debt securities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amount of debt securities whose holders must consent to an amendment, supplement or waiver;</w:t>
            </w:r>
          </w:p>
        </w:tc>
      </w:tr>
    </w:tbl>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rate of or extend the time for payment of interest (including default interest) on any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 the principal amount of discount securities payable upon acceleration of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the principal of or premium or interest on any debt security payable in currency other than that stated in the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any change to certain provisions of the indenture relating to, among other things, the right of holders of debt securities to receive payment of the principal of, or premium and interest on those debt securities and to institute suit for the enforcement of any such payment; or</w:t>
            </w:r>
          </w:p>
        </w:tc>
      </w:tr>
    </w:tbl>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waive a redemption payment with respect to any debt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Defeasance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provides that, unless otherwise provided by the terms of the applicable series of debt securities, upon compliance with certain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omission to comply with those covenants will not constitute a Default or an Event of Default with respect to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refer to this as covenant defeasance. The conditions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deposit will not result in a breach or violation of, or constitute a default under the indenture or any other agreement to which we are a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Default or Event of Default with respect to the applicable series of debt securities shall have occurred or is continuing on the date of such deposit;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Personal Liability of Directors, Officers, Employees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5" w:name="DESCRIPTION_OF_DEPOSITARY_SHARES"/>
      <w:bookmarkStart w:id="96" w:name="DESCRIPTION_OF_DEPOSITARY_SHARES"/>
      <w:bookmarkEnd w:id="95"/>
      <w:bookmarkEnd w:id="96"/>
      <w:r>
        <w:rPr>
          <w:rFonts w:ascii="Times New Roman" w:hAnsi="Times New Roman"/>
          <w:b/>
          <w:caps w:val="false"/>
          <w:smallCaps w:val="false"/>
          <w:sz w:val="20"/>
        </w:rPr>
        <w:t>DESCRIPTION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of a share of a particular series of preferred stock, to be described in the applicable prospectus supplement. Unless otherwise provided in the prospectus supplement, each owner of a depositary share will be entitled to all the rights and preferences of the preferred stock represented by the depositary share, in proportion to the applicable fractional interest in a share of preferred stock represented by the depositary share. Those rights include dividend, voting, redemption, conversion, and liquidation rights.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will distribute all cash dividends or other cash distributions, if any, received in respect of the preferred stock underlying the depositary shares to the record holders of depositary shares in proportion to the number of depositary shares owned by those holders on the relevant record date. The relevant record date for depositary shares will be the same date as the record date for the underlying preferred stock.</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with our approval, the depositary may adopt another method for the distribution, including selling the property and distributing the net proceeds from the sale to the holders.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Liquidation Preference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 series of preferred stock underlying the depositary shares has a liquidation preference, in the event of the voluntary or involuntary liquidation, dissolution or winding up of the Company, holders of depositary shares will be entitled to receive the fraction of the liquidation preference accorded each share of the applicable series of preferred stock, as set forth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Withdrawal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so withdrawn may not thereafter deposit those shares under the deposit agreement or receive depositary receipts evidencing depositary shares therefor.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Redemption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Voting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Charges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 and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before="0" w:after="0"/>
        <w:ind w:left="160" w:right="0" w:firstLine="72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outstanding depositary shares have been redeemed;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a final distribution of the preferred stock in connection with our dissolution and such distribution has been made to all the holders of depositary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Resignation and Removal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7" w:name="DESCRIPTION_OF_WARRANTS"/>
      <w:bookmarkStart w:id="98" w:name="DESCRIPTION_OF_WARRANTS"/>
      <w:bookmarkEnd w:id="97"/>
      <w:bookmarkEnd w:id="98"/>
      <w:r>
        <w:rPr>
          <w:rFonts w:ascii="Times New Roman" w:hAnsi="Times New Roman"/>
          <w:b/>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describe the following terms of any warrants:</w:t>
      </w:r>
    </w:p>
    <w:p>
      <w:pPr>
        <w:pStyle w:val="TextBody"/>
        <w:bidi w:val="0"/>
        <w:spacing w:before="0" w:after="0"/>
        <w:ind w:left="160" w:right="0" w:firstLine="72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specific designation and aggregate number of, and the offering price at which we will issue,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warrants are to be sold separately or with other securities as parts of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warrants will be issued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material U.S. federal income tax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proposed listing, if any, of the warrants or any securities purchasable upon exercise of the warrants on any securities exchange;</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60"/>
        <w:gridCol w:w="170"/>
        <w:gridCol w:w="7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and terms of any equity securities purchasable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designation, aggregate principal amount, currency and terms of any debt securities that may be purchased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designation and terms of the debt securities, preferred stock, depositary shares or common stock with which the warrants are issued and the number of warrants issued with each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date from and after which any warrants issued as part of a unit and the related debt securities, preferred stock, depositary shares or common stock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preferred stock, the number of depositary shares or the number of shares of common stock purchasable upon exercise of a warrant and the price at which those shares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antidilution provisions, and other provisions for changes to or adjustment in the exercise price, of the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redemption or call provisions;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additional terms of the warrants, including terms, procedures and limitations relating to the exchange or exercise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9" w:name="DESCRIPTION_OF_SUBSCRIPTION_RIGHTS"/>
      <w:bookmarkStart w:id="100" w:name="DESCRIPTION_OF_SUBSCRIPTION_RIGHTS"/>
      <w:bookmarkEnd w:id="99"/>
      <w:bookmarkEnd w:id="100"/>
      <w:r>
        <w:rPr>
          <w:rFonts w:ascii="Times New Roman" w:hAnsi="Times New Roman"/>
          <w:b/>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160" w:right="0" w:firstLine="72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price, if any, for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exercise price payable for our common stock, preferred stock, warrants or debt securities, or units consisting of some or all of these securities, upon the exercise of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subscription rights to be issued to each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and terms of our common stock, preferred stock, warrants or debt securities, or units consisting of some or all of these securities, which may be purchased per each subscription right;</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the subscription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terms of the subscription rights, including the terms, procedures and limitations relating to the exchange and exercise of the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on which the right to exercise the subscription rights shall commence, and the date on which the subscription rights shall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 agreements,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1" w:name="DESCRIPTION_OF_PURCHASE_CONTRACTS"/>
      <w:bookmarkStart w:id="102" w:name="DESCRIPTION_OF_PURCHASE_CONTRACTS"/>
      <w:bookmarkEnd w:id="101"/>
      <w:bookmarkEnd w:id="102"/>
      <w:r>
        <w:rPr>
          <w:rFonts w:ascii="Times New Roman" w:hAnsi="Times New Roman"/>
          <w:b/>
          <w:caps w:val="false"/>
          <w:smallCaps w:val="false"/>
          <w:sz w:val="20"/>
        </w:rPr>
        <w:t>DESCRIPTION OF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offer any purchase contracts, certain terms of that series of purchase contracts will be described in the applicable prospectus supplement, including, without limitation, the following:</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price of the securities or other property subject to the purchase contracts (which may be determined by reference to a specific formula described in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issued separately, or as a part of units each consisting of a purchase contract and one or more of our other securities, securing the holder’s obligations under the purchase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requirement for us to make periodic payments to holders or vice versa, and whether the payments are unsecured or pre-funded;</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provisions relating to any security provided for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to be prepaid or not;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are to be settled by delivery, or by reference or linkage to the value, performance or level of the securities subject to purchase under the purchase contract;</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acceleration, cancellation, termination or other provisions relating to the settlement of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discussion of certain U.S. federal income tax considerations applicable to the purchase contracts;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purchase contracts will be issued in fully registered or global form; and</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terms of the purchase contracts and any securities subject to such purchase contracts.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3" w:name="DESCRIPTION_OF_UNITS"/>
      <w:bookmarkStart w:id="104" w:name="DESCRIPTION_OF_UNITS"/>
      <w:bookmarkEnd w:id="103"/>
      <w:bookmarkEnd w:id="104"/>
      <w:r>
        <w:rPr>
          <w:rFonts w:ascii="Times New Roman" w:hAnsi="Times New Roman"/>
          <w:b/>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units being offered, including:</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material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provisions relating to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material provisions of the governing unit agreement that differ from those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issue units in such amounts and in such numbers of distinct series as we determine.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provisions described in this section, as well as those described under “</w:t>
      </w:r>
      <w:r>
        <w:rPr>
          <w:rFonts w:ascii="Times New Roman" w:hAnsi="Times New Roman"/>
          <w:i/>
          <w:caps w:val="false"/>
          <w:smallCaps w:val="false"/>
          <w:sz w:val="20"/>
        </w:rPr>
        <w:t>Description of Debt Securities</w:t>
      </w:r>
      <w:r>
        <w:rPr>
          <w:rFonts w:ascii="Times New Roman" w:hAnsi="Times New Roman"/>
          <w:caps w:val="false"/>
          <w:smallCaps w:val="false"/>
          <w:sz w:val="20"/>
        </w:rPr>
        <w:t>,” “</w:t>
      </w:r>
      <w:r>
        <w:rPr>
          <w:rFonts w:ascii="Times New Roman" w:hAnsi="Times New Roman"/>
          <w:i/>
          <w:caps w:val="false"/>
          <w:smallCaps w:val="false"/>
          <w:sz w:val="20"/>
        </w:rPr>
        <w:t>Description of Capital Stock</w:t>
      </w:r>
      <w:r>
        <w:rPr>
          <w:rFonts w:ascii="Times New Roman" w:hAnsi="Times New Roman"/>
          <w:caps w:val="false"/>
          <w:smallCaps w:val="false"/>
          <w:sz w:val="20"/>
        </w:rPr>
        <w:t>” and “</w:t>
      </w:r>
      <w:r>
        <w:rPr>
          <w:rFonts w:ascii="Times New Roman" w:hAnsi="Times New Roman"/>
          <w:i/>
          <w:caps w:val="false"/>
          <w:smallCaps w:val="false"/>
          <w:sz w:val="20"/>
        </w:rPr>
        <w:t>Description of Warrants</w:t>
      </w:r>
      <w:r>
        <w:rPr>
          <w:rFonts w:ascii="Times New Roman" w:hAnsi="Times New Roman"/>
          <w:caps w:val="false"/>
          <w:smallCaps w:val="false"/>
          <w:sz w:val="20"/>
        </w:rPr>
        <w:t>” will apply to each unit, as applicable, and to any debt securities, common stock, preferred stock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name and address of the unit agent for any units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180"/>
        <w:jc w:val="center"/>
        <w:rPr>
          <w:rFonts w:ascii="Times New Roman" w:hAnsi="Times New Roman"/>
          <w:b/>
          <w:caps w:val="false"/>
          <w:smallCaps w:val="false"/>
          <w:sz w:val="20"/>
        </w:rPr>
      </w:pPr>
      <w:bookmarkStart w:id="105" w:name="DIVIDEND_POLICY"/>
      <w:bookmarkStart w:id="106" w:name="DIVIDEND_POLICY"/>
      <w:bookmarkEnd w:id="105"/>
      <w:bookmarkEnd w:id="106"/>
      <w:r>
        <w:rPr>
          <w:rFonts w:ascii="Times New Roman" w:hAnsi="Times New Roman"/>
          <w:b/>
          <w:caps w:val="false"/>
          <w:smallCaps w:val="false"/>
          <w:sz w:val="20"/>
        </w:rPr>
        <w:t>DIVIDEND POLICY</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7" w:name="PLAN_OF_DISTRIBUTION"/>
      <w:bookmarkStart w:id="108" w:name="PLANOFDISTRIBUTION"/>
      <w:bookmarkEnd w:id="107"/>
      <w:bookmarkEnd w:id="108"/>
      <w:r>
        <w:rPr>
          <w:rFonts w:ascii="Times New Roman" w:hAnsi="Times New Roman"/>
          <w:b/>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in one or more of the following ways (or in any combination) from time to time:</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170"/>
        <w:gridCol w:w="3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underwritten public offerings;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block trades;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“at the market” offerings, within the meaning of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70"/>
        <w:gridCol w:w="2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rights offerings,</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60"/>
        <w:gridCol w:w="170"/>
        <w:gridCol w:w="1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to purchasers;</w:t>
            </w:r>
          </w:p>
        </w:tc>
      </w:tr>
    </w:tbl>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agents; or</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distribution of the securities may be effected from time to time in one or more transactions:</w:t>
      </w:r>
    </w:p>
    <w:p>
      <w:pPr>
        <w:pStyle w:val="TextBody"/>
        <w:bidi w:val="0"/>
        <w:spacing w:before="0" w:after="0"/>
        <w:ind w:left="160" w:right="0" w:firstLine="72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fixed price, or prices, which may be changed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170"/>
        <w:gridCol w:w="4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use underwriters in the sale, the securities will be acquired by the underwriters for their own account and may be resold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fixed public offering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prices related to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Each prospectus supplement will describe the method of distribution of the securities and any applicable restrictions.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prospectus supplement with respect to the securities of a particular series will describe the terms of the offering of the securities, including the following:</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name of the agent or any underwriters;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public offering or purchase price and the proceeds we will receive from the sale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discounts and commissions to be allowed or re-allowed or paid to the agent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items constituting underwriting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discounts and commissions to be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60"/>
        <w:gridCol w:w="170"/>
        <w:gridCol w:w="4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exchanges on which the securities will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through agents from time to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sell the securities to other stockholders of the Company through a rights offering. This prospectus may be used in connection with any offering of our securities through any of these methods or other methods described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purchase by an institution of the securities covered under that contract shall not at the time of delivery be prohibited under the laws of the jurisdiction to which that institution is subject;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9" w:name="LEGAL_MATTERS"/>
      <w:bookmarkStart w:id="110" w:name="LEGALMATTERS"/>
      <w:bookmarkEnd w:id="109"/>
      <w:bookmarkEnd w:id="110"/>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the applicable prospectus supplement indicates otherwise, the validity of the securities being offered by this prospectus will be passed upon by Baker &amp; Hostetler, LLP. Additional legal matters may be passed upon for us or any underwriters, dealers or agents by counsel that we will name in the applicable prospectus supplement.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1" w:name="EXPERTS"/>
      <w:bookmarkEnd w:id="111"/>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financial statements of Pulse Biosciences, Inc. as of December 31, 2025 and 2024, and for each of the two years in the period ended December 31, 2025, incorporated by reference in this prospectus by reference to Pulse Biosciences Inc.’s annual report on Form 10-K for the year ended December 31, 2025,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2" w:name="INCORPORATION_BY_REFERENCE"/>
      <w:bookmarkStart w:id="113" w:name="INCORPORATIONBYREFERENCE"/>
      <w:bookmarkEnd w:id="112"/>
      <w:bookmarkEnd w:id="113"/>
      <w:r>
        <w:rPr>
          <w:rFonts w:ascii="Times New Roman" w:hAnsi="Times New Roman"/>
          <w:b/>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except any information that is superseded by information that is included in a document subsequently filed with the SEC.</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securities, except that we are not incorporating by reference any information furnished (and not filed) with the SEC, including any information furnished pursuant to Items 2.02 or 7.01 of Form 8-K or related exhibits furnished pursuant to Item 9.01 of Form 8-K:</w:t>
      </w:r>
    </w:p>
    <w:p>
      <w:pPr>
        <w:pStyle w:val="TextBody"/>
        <w:bidi w:val="0"/>
        <w:spacing w:before="0" w:after="0"/>
        <w:ind w:left="160" w:right="0" w:firstLine="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Annual Report on Form 10-K for the fiscal year ended </w:t>
            </w:r>
            <w:hyperlink r:id="rId22">
              <w:r>
                <w:rPr>
                  <w:rStyle w:val="InternetLink"/>
                  <w:rFonts w:ascii="Times New Roman" w:hAnsi="Times New Roman"/>
                  <w:caps w:val="false"/>
                  <w:smallCaps w:val="false"/>
                  <w:sz w:val="20"/>
                </w:rPr>
                <w:t>December 31, 2025</w:t>
              </w:r>
            </w:hyperlink>
            <w:r>
              <w:rPr>
                <w:rFonts w:ascii="Times New Roman" w:hAnsi="Times New Roman"/>
                <w:caps w:val="false"/>
                <w:smallCaps w:val="false"/>
                <w:sz w:val="20"/>
              </w:rPr>
              <w:t>, as filed on February 19, 2026;</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Current Reports on Form 8-K filed on </w:t>
            </w:r>
            <w:hyperlink r:id="rId23">
              <w:r>
                <w:rPr>
                  <w:rStyle w:val="InternetLink"/>
                  <w:rFonts w:ascii="Times New Roman" w:hAnsi="Times New Roman"/>
                  <w:caps w:val="false"/>
                  <w:smallCaps w:val="false"/>
                  <w:sz w:val="20"/>
                </w:rPr>
                <w:t>January 9, 2026</w:t>
              </w:r>
            </w:hyperlink>
            <w:r>
              <w:rPr>
                <w:rFonts w:ascii="Times New Roman" w:hAnsi="Times New Roman"/>
                <w:caps w:val="false"/>
                <w:smallCaps w:val="false"/>
                <w:sz w:val="20"/>
              </w:rPr>
              <w:t xml:space="preserve"> and </w:t>
            </w:r>
            <w:hyperlink r:id="rId24">
              <w:r>
                <w:rPr>
                  <w:rStyle w:val="InternetLink"/>
                  <w:rFonts w:ascii="Times New Roman" w:hAnsi="Times New Roman"/>
                  <w:caps w:val="false"/>
                  <w:smallCaps w:val="false"/>
                  <w:sz w:val="20"/>
                </w:rPr>
                <w:t>February 6,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our common stock contained in the </w:t>
            </w:r>
            <w:hyperlink r:id="rId25">
              <w:r>
                <w:rPr>
                  <w:rStyle w:val="InternetLink"/>
                  <w:rFonts w:ascii="Times New Roman" w:hAnsi="Times New Roman"/>
                  <w:caps w:val="false"/>
                  <w:smallCaps w:val="false"/>
                  <w:sz w:val="20"/>
                </w:rPr>
                <w:t>Registration Statement on Form 8-A relating thereto, filed on April 15, 2016</w:t>
              </w:r>
            </w:hyperlink>
            <w:r>
              <w:rPr>
                <w:rFonts w:ascii="Times New Roman" w:hAnsi="Times New Roman"/>
                <w:caps w:val="false"/>
                <w:smallCaps w:val="false"/>
                <w:sz w:val="20"/>
              </w:rPr>
              <w:t>, including any amendment or report filed for the purpose of updating such description.</w:t>
            </w:r>
          </w:p>
        </w:tc>
      </w:tr>
    </w:tbl>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copy of any document incorporated by reference in this prospectus may be obtained at no cost by writing or telephoning us at the following address and telephone number: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601 Brickell Key Drive, Suite 1080</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Miami, FL 33131</w:t>
        <w:br/>
        <w:t>Attn: Investor Relations</w:t>
        <w:br/>
        <w:t>510-906-4600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maintain a website at www.pulsebiosciences.com.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may read and copy any materials we file with the SEC at the SEC’s website mentioned under the heading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The information on the SEC’s website is not incorporated by reference in this prospectus.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4" w:name="WHERE_YOU_CAN_FIND_MORE_INFORMATION"/>
      <w:bookmarkStart w:id="115" w:name="WHERE_YOU_CAN_FIND_MORE_INFORMATION"/>
      <w:bookmarkEnd w:id="114"/>
      <w:bookmarkEnd w:id="115"/>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 pulsebiosciences.com. The information contained in, or accessible through, our website, however, should not be considered a part of this prospectus.</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we filed with the SEC. This prospectus does not contain all of the information included in the registration statement and the amendments, exhibits and schedules thereto, in accordance with SEC rules and regulations. You should review the information and exhibits in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1352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1371600" cy="1352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Pulse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28" w:type="dxa"/>
          <w:left w:w="0" w:type="dxa"/>
          <w:bottom w:w="28" w:type="dxa"/>
          <w:right w:w="0" w:type="dxa"/>
        </w:tblCellMar>
      </w:tblPr>
      <w:tblGrid>
        <w:gridCol w:w="2675"/>
      </w:tblGrid>
      <w:tr>
        <w:trPr/>
        <w:tc>
          <w:tcPr>
            <w:tcW w:w="2675" w:type="dxa"/>
            <w:tcBorders>
              <w:top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Mizuho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625101/000143774926004724/plse20251231_10k.htm" TargetMode="External"/><Relationship Id="rId4" Type="http://schemas.openxmlformats.org/officeDocument/2006/relationships/hyperlink" Target="http://www.sec.gov/ix?doc=/Archives/edgar/data/0001625101/000143774926014203/plse20260427_10ka.htm" TargetMode="External"/><Relationship Id="rId5" Type="http://schemas.openxmlformats.org/officeDocument/2006/relationships/hyperlink" Target="http://www.sec.gov/ix?doc=/Archives/edgar/data/0001625101/000143774926016897/plse20260331_10q.htm" TargetMode="External"/><Relationship Id="rId6" Type="http://schemas.openxmlformats.org/officeDocument/2006/relationships/hyperlink" Target="http://www.sec.gov/ix?doc=/Archives/edgar/data/0001625101/000143774926026288/plse20260630_10q.htm" TargetMode="External"/><Relationship Id="rId7" Type="http://schemas.openxmlformats.org/officeDocument/2006/relationships/hyperlink" Target="http://www.sec.gov/ix?doc=/Archives/edgar/data/0001625101/000143774926003256/plse20260204_8k.htm" TargetMode="External"/><Relationship Id="rId8" Type="http://schemas.openxmlformats.org/officeDocument/2006/relationships/hyperlink" Target="http://www.sec.gov/ix?doc=/Archives/edgar/data/0001625101/000143774926004739/plse20251122_8k.htm" TargetMode="External"/><Relationship Id="rId9" Type="http://schemas.openxmlformats.org/officeDocument/2006/relationships/hyperlink" Target="http://www.sec.gov/ix?doc=/Archives/edgar/data/0001625101/000143774926006141/plse20260226_8k.htm" TargetMode="External"/><Relationship Id="rId10" Type="http://schemas.openxmlformats.org/officeDocument/2006/relationships/hyperlink" Target="http://www.sec.gov/ix?doc=/Archives/edgar/data/0001625101/000143774926006269/plse20260228d_8ka.htm" TargetMode="External"/><Relationship Id="rId11" Type="http://schemas.openxmlformats.org/officeDocument/2006/relationships/hyperlink" Target="http://www.sec.gov/ix?doc=/Archives/edgar/data/0001625101/000143774926007283/plse20260306_8k.htm" TargetMode="External"/><Relationship Id="rId12" Type="http://schemas.openxmlformats.org/officeDocument/2006/relationships/hyperlink" Target="http://www.sec.gov/ix?doc=/Archives/edgar/data/0001625101/000143774926007839/plse20260309_8k.htm" TargetMode="External"/><Relationship Id="rId13" Type="http://schemas.openxmlformats.org/officeDocument/2006/relationships/hyperlink" Target="http://www.sec.gov/ix?doc=/Archives/edgar/data/0001625101/000143774926008511/plse20260316c_8k.htm" TargetMode="External"/><Relationship Id="rId14" Type="http://schemas.openxmlformats.org/officeDocument/2006/relationships/hyperlink" Target="http://www.sec.gov/ix?doc=/Archives/edgar/data/0001625101/000143774926011546/plse20260406_8k.htm" TargetMode="External"/><Relationship Id="rId15" Type="http://schemas.openxmlformats.org/officeDocument/2006/relationships/hyperlink" Target="http://www.sec.gov/ix?doc=/Archives/edgar/data/0001625101/000143774926011831/plse20260316_8k.htm" TargetMode="External"/><Relationship Id="rId16" Type="http://schemas.openxmlformats.org/officeDocument/2006/relationships/hyperlink" Target="http://www.sec.gov/ix?doc=/Archives/edgar/data/0001625101/000143774926014547/plse20260312_8k.htm" TargetMode="External"/><Relationship Id="rId17" Type="http://schemas.openxmlformats.org/officeDocument/2006/relationships/hyperlink" Target="http://www.sec.gov/ix?doc=/Archives/edgar/data/0001625101/000143774926015039/plse20260505_8k.htm" TargetMode="External"/><Relationship Id="rId18" Type="http://schemas.openxmlformats.org/officeDocument/2006/relationships/hyperlink" Target="http://www.sec.gov/ix?doc=/Archives/edgar/data/0001625101/000143774926020085/plse20260607_8k.htm" TargetMode="External"/><Relationship Id="rId19" Type="http://schemas.openxmlformats.org/officeDocument/2006/relationships/hyperlink" Target="http://www.sec.gov/ix?doc=/Archives/edgar/data/0001625101/000143774926020464/plse20260607c_8k.htm" TargetMode="External"/><Relationship Id="rId20" Type="http://schemas.openxmlformats.org/officeDocument/2006/relationships/hyperlink" Target="http://www.sec.gov/ix?doc=/Archives/edgar/data/0001625101/000143774926024758/plse20260728_8k.htm" TargetMode="External"/><Relationship Id="rId21" Type="http://schemas.openxmlformats.org/officeDocument/2006/relationships/hyperlink" Target="http://www.sec.gov/Archives/edgar/data/1625101/000119312516542755/d190495d8a12b.htm" TargetMode="External"/><Relationship Id="rId22" Type="http://schemas.openxmlformats.org/officeDocument/2006/relationships/hyperlink" Target="http://www.sec.gov/ix?doc=/Archives/edgar/data/1625101/000143774926004724/plse20251231_10k.htm" TargetMode="External"/><Relationship Id="rId23" Type="http://schemas.openxmlformats.org/officeDocument/2006/relationships/hyperlink" Target="http://www.sec.gov/ix?doc=/Archives/edgar/data/1625101/000143774926000938/plse20260106_8k.htm" TargetMode="External"/><Relationship Id="rId24" Type="http://schemas.openxmlformats.org/officeDocument/2006/relationships/hyperlink" Target="http://www.sec.gov/ix?doc=/Archives/edgar/data/1625101/000143774926003256/plse20260204_8k.htm" TargetMode="External"/><Relationship Id="rId25" Type="http://schemas.openxmlformats.org/officeDocument/2006/relationships/hyperlink" Target="http://www.sec.gov/Archives/edgar/data/1625101/000119312516542755/d190495d8a12b.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24137</Words>
  <Characters>126648</Characters>
  <CharactersWithSpaces>150704</CharactersWithSpaces>
  <Paragraphs>1674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