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660" w:right="1280" w:hanging="3652"/>
        <w:spacing w:after="0" w:line="500" w:lineRule="auto"/>
        <w:tabs>
          <w:tab w:leader="none" w:pos="8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88" w:right="339" w:bottom="353" w:gutter="0" w:footer="0" w:header="0"/>
        </w:sectPr>
      </w:pPr>
    </w:p>
    <w:p>
      <w:pPr>
        <w:spacing w:after="0" w:line="23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420" w:space="580"/>
            <w:col w:w="4240"/>
          </w:cols>
          <w:pgMar w:left="320" w:top="688" w:right="339" w:bottom="353"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88" w:right="339" w:bottom="353"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Pulse Biosciences,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80" w:type="dxa"/>
            <w:vAlign w:val="bottom"/>
          </w:tcPr>
          <w:p>
            <w:pPr>
              <w:spacing w:after="0"/>
              <w:rPr>
                <w:sz w:val="18"/>
                <w:szCs w:val="18"/>
                <w:color w:val="auto"/>
              </w:rPr>
            </w:pPr>
          </w:p>
        </w:tc>
        <w:tc>
          <w:tcPr>
            <w:tcW w:w="360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46-5696597</w:t>
            </w:r>
          </w:p>
        </w:tc>
      </w:tr>
      <w:tr>
        <w:trPr>
          <w:trHeight w:val="216"/>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480" w:type="dxa"/>
            <w:vAlign w:val="bottom"/>
          </w:tcPr>
          <w:p>
            <w:pPr>
              <w:spacing w:after="0"/>
              <w:rPr>
                <w:sz w:val="18"/>
                <w:szCs w:val="18"/>
                <w:color w:val="auto"/>
              </w:rPr>
            </w:pPr>
          </w:p>
        </w:tc>
        <w:tc>
          <w:tcPr>
            <w:tcW w:w="36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480" w:type="dxa"/>
            <w:vAlign w:val="bottom"/>
          </w:tcPr>
          <w:p>
            <w:pPr>
              <w:spacing w:after="0"/>
              <w:rPr>
                <w:sz w:val="20"/>
                <w:szCs w:val="20"/>
                <w:color w:val="auto"/>
              </w:rPr>
            </w:pPr>
          </w:p>
        </w:tc>
        <w:tc>
          <w:tcPr>
            <w:tcW w:w="36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601 Brickell Key Drive</w:t>
            </w:r>
          </w:p>
        </w:tc>
        <w:tc>
          <w:tcPr>
            <w:tcW w:w="24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Miami, FL</w:t>
            </w:r>
          </w:p>
        </w:tc>
        <w:tc>
          <w:tcPr>
            <w:tcW w:w="2480" w:type="dxa"/>
            <w:vAlign w:val="bottom"/>
          </w:tcPr>
          <w:p>
            <w:pPr>
              <w:spacing w:after="0"/>
              <w:rPr>
                <w:sz w:val="18"/>
                <w:szCs w:val="18"/>
                <w:color w:val="auto"/>
              </w:rPr>
            </w:pPr>
          </w:p>
        </w:tc>
        <w:tc>
          <w:tcPr>
            <w:tcW w:w="3600" w:type="dxa"/>
            <w:vAlign w:val="bottom"/>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33131</w:t>
            </w:r>
          </w:p>
        </w:tc>
      </w:tr>
      <w:tr>
        <w:trPr>
          <w:trHeight w:val="238"/>
        </w:trPr>
        <w:tc>
          <w:tcPr>
            <w:tcW w:w="41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80" w:type="dxa"/>
            <w:vAlign w:val="bottom"/>
          </w:tcPr>
          <w:p>
            <w:pPr>
              <w:spacing w:after="0"/>
              <w:rPr>
                <w:sz w:val="20"/>
                <w:szCs w:val="20"/>
                <w:color w:val="auto"/>
              </w:rPr>
            </w:pPr>
          </w:p>
        </w:tc>
        <w:tc>
          <w:tcPr>
            <w:tcW w:w="36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0"/>
        </w:trPr>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(510) 906-4600</w:t>
            </w:r>
          </w:p>
        </w:tc>
        <w:tc>
          <w:tcPr>
            <w:tcW w:w="3600" w:type="dxa"/>
            <w:vAlign w:val="bottom"/>
          </w:tcPr>
          <w:p>
            <w:pPr>
              <w:spacing w:after="0"/>
              <w:rPr>
                <w:sz w:val="24"/>
                <w:szCs w:val="24"/>
                <w:color w:val="auto"/>
              </w:rPr>
            </w:pPr>
          </w:p>
        </w:tc>
      </w:tr>
      <w:tr>
        <w:trPr>
          <w:trHeight w:val="238"/>
        </w:trPr>
        <w:tc>
          <w:tcPr>
            <w:tcW w:w="102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r>
      <w:tr>
        <w:trPr>
          <w:trHeight w:val="270"/>
        </w:trPr>
        <w:tc>
          <w:tcPr>
            <w:tcW w:w="3800" w:type="dxa"/>
            <w:vAlign w:val="bottom"/>
          </w:tcPr>
          <w:p>
            <w:pPr>
              <w:spacing w:after="0"/>
              <w:rPr>
                <w:sz w:val="23"/>
                <w:szCs w:val="23"/>
                <w:color w:val="auto"/>
              </w:rPr>
            </w:pPr>
          </w:p>
        </w:tc>
        <w:tc>
          <w:tcPr>
            <w:tcW w:w="2800" w:type="dxa"/>
            <w:vAlign w:val="bottom"/>
            <w:tcBorders>
              <w:bottom w:val="single" w:sz="8" w:color="auto"/>
            </w:tcBorders>
            <w:gridSpan w:val="2"/>
          </w:tcPr>
          <w:p>
            <w:pPr>
              <w:spacing w:after="0"/>
              <w:rPr>
                <w:sz w:val="23"/>
                <w:szCs w:val="23"/>
                <w:color w:val="auto"/>
              </w:rPr>
            </w:pPr>
          </w:p>
        </w:tc>
        <w:tc>
          <w:tcPr>
            <w:tcW w:w="3600" w:type="dxa"/>
            <w:vAlign w:val="bottom"/>
          </w:tcPr>
          <w:p>
            <w:pPr>
              <w:spacing w:after="0"/>
              <w:rPr>
                <w:sz w:val="23"/>
                <w:szCs w:val="23"/>
                <w:color w:val="auto"/>
              </w:rPr>
            </w:pPr>
          </w:p>
        </w:tc>
      </w:tr>
      <w:tr>
        <w:trPr>
          <w:trHeight w:val="264"/>
        </w:trPr>
        <w:tc>
          <w:tcPr>
            <w:tcW w:w="102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626"/>
        </w:trPr>
        <w:tc>
          <w:tcPr>
            <w:tcW w:w="41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41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PLSE</w:t>
            </w:r>
          </w:p>
        </w:tc>
        <w:tc>
          <w:tcPr>
            <w:tcW w:w="36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98"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500"/>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October 25, 2024: 61,516,677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35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20" w:type="dxa"/>
            <w:vAlign w:val="bottom"/>
            <w:gridSpan w:val="10"/>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6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300" w:type="dxa"/>
            <w:vAlign w:val="bottom"/>
            <w:gridSpan w:val="4"/>
            <w:vMerge w:val="restart"/>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60" w:type="dxa"/>
            <w:vAlign w:val="bottom"/>
            <w:tcBorders>
              <w:bottom w:val="single" w:sz="8" w:color="0000EE"/>
            </w:tcBorders>
            <w:gridSpan w:val="8"/>
            <w:vMerge w:val="continue"/>
          </w:tcPr>
          <w:p>
            <w:pPr>
              <w:spacing w:after="0"/>
              <w:rPr>
                <w:sz w:val="15"/>
                <w:szCs w:val="15"/>
                <w:color w:val="auto"/>
              </w:rPr>
            </w:pPr>
          </w:p>
        </w:tc>
        <w:tc>
          <w:tcPr>
            <w:tcW w:w="3300" w:type="dxa"/>
            <w:vAlign w:val="bottom"/>
            <w:gridSpan w:val="4"/>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Financial Statements (unaudited):</w:t>
            </w:r>
          </w:p>
        </w:tc>
        <w:tc>
          <w:tcPr>
            <w:tcW w:w="7460" w:type="dxa"/>
            <w:vAlign w:val="bottom"/>
            <w:gridSpan w:val="13"/>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9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and Nine-Month Periods Ended September 30,</w:t>
            </w:r>
          </w:p>
        </w:tc>
        <w:tc>
          <w:tcPr>
            <w:tcW w:w="300" w:type="dxa"/>
            <w:vAlign w:val="bottom"/>
          </w:tcPr>
          <w:p>
            <w:pPr>
              <w:spacing w:after="0"/>
              <w:rPr>
                <w:sz w:val="17"/>
                <w:szCs w:val="17"/>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10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2024 and 2023</w:t>
            </w:r>
          </w:p>
        </w:tc>
        <w:tc>
          <w:tcPr>
            <w:tcW w:w="9220" w:type="dxa"/>
            <w:vAlign w:val="bottom"/>
            <w:gridSpan w:val="20"/>
            <w:vMerge w:val="restart"/>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 w:type="dxa"/>
            <w:vAlign w:val="bottom"/>
          </w:tcPr>
          <w:p>
            <w:pPr>
              <w:spacing w:after="0"/>
              <w:rPr>
                <w:sz w:val="7"/>
                <w:szCs w:val="7"/>
                <w:color w:val="auto"/>
              </w:rPr>
            </w:pPr>
          </w:p>
        </w:tc>
        <w:tc>
          <w:tcPr>
            <w:tcW w:w="1060" w:type="dxa"/>
            <w:vAlign w:val="bottom"/>
            <w:tcBorders>
              <w:bottom w:val="single" w:sz="8" w:color="0000EE"/>
            </w:tcBorders>
            <w:gridSpan w:val="3"/>
            <w:vMerge w:val="continue"/>
          </w:tcPr>
          <w:p>
            <w:pPr>
              <w:spacing w:after="0"/>
              <w:rPr>
                <w:sz w:val="7"/>
                <w:szCs w:val="7"/>
                <w:color w:val="auto"/>
              </w:rPr>
            </w:pPr>
          </w:p>
        </w:tc>
        <w:tc>
          <w:tcPr>
            <w:tcW w:w="9220" w:type="dxa"/>
            <w:vAlign w:val="bottom"/>
            <w:gridSpan w:val="20"/>
            <w:vMerge w:val="continue"/>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Nine-Month Periods Ended September 30, 2024 and 2023</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Nine-Month Periods Ended September 30, 2024 and 2023</w:t>
            </w:r>
          </w:p>
        </w:tc>
        <w:tc>
          <w:tcPr>
            <w:tcW w:w="320" w:type="dxa"/>
            <w:vAlign w:val="bottom"/>
            <w:gridSpan w:val="2"/>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9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20" w:type="dxa"/>
            <w:vAlign w:val="bottom"/>
            <w:gridSpan w:val="2"/>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44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54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25</w:t>
            </w: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20" w:type="dxa"/>
            <w:vAlign w:val="bottom"/>
            <w:gridSpan w:val="10"/>
          </w:tcPr>
          <w:p>
            <w:pPr>
              <w:jc w:val="center"/>
              <w:ind w:right="346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2340" w:type="dxa"/>
            <w:vAlign w:val="bottom"/>
            <w:gridSpan w:val="6"/>
          </w:tcPr>
          <w:p>
            <w:pPr>
              <w:spacing w:after="0"/>
              <w:rPr>
                <w:sz w:val="17"/>
                <w:szCs w:val="17"/>
                <w:color w:val="auto"/>
              </w:rPr>
            </w:pPr>
          </w:p>
        </w:tc>
        <w:tc>
          <w:tcPr>
            <w:tcW w:w="2760" w:type="dxa"/>
            <w:vAlign w:val="bottom"/>
            <w:tcBorders>
              <w:top w:val="single" w:sz="8" w:color="0000EE"/>
            </w:tcBorders>
            <w:gridSpan w:val="4"/>
          </w:tcPr>
          <w:p>
            <w:pPr>
              <w:spacing w:after="0"/>
              <w:rPr>
                <w:sz w:val="17"/>
                <w:szCs w:val="17"/>
                <w:color w:val="auto"/>
              </w:rPr>
            </w:pPr>
          </w:p>
        </w:tc>
        <w:tc>
          <w:tcPr>
            <w:tcW w:w="34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8860" w:type="dxa"/>
            <w:vAlign w:val="bottom"/>
            <w:gridSpan w:val="18"/>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Default Upon Senior Securities</w:t>
            </w:r>
          </w:p>
        </w:tc>
        <w:tc>
          <w:tcPr>
            <w:tcW w:w="2080" w:type="dxa"/>
            <w:vAlign w:val="bottom"/>
            <w:tcBorders>
              <w:top w:val="single" w:sz="8" w:color="0000EE"/>
            </w:tcBorders>
            <w:gridSpan w:val="5"/>
          </w:tcPr>
          <w:p>
            <w:pPr>
              <w:spacing w:after="0"/>
              <w:rPr>
                <w:sz w:val="17"/>
                <w:szCs w:val="17"/>
                <w:color w:val="auto"/>
              </w:rPr>
            </w:pPr>
          </w:p>
        </w:tc>
        <w:tc>
          <w:tcPr>
            <w:tcW w:w="556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812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Other Information</w:t>
            </w:r>
          </w:p>
        </w:tc>
        <w:tc>
          <w:tcPr>
            <w:tcW w:w="8580" w:type="dxa"/>
            <w:vAlign w:val="bottom"/>
            <w:gridSpan w:val="17"/>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0" w:type="dxa"/>
            <w:vAlign w:val="bottom"/>
          </w:tcPr>
          <w:p>
            <w:pPr>
              <w:spacing w:after="0"/>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9300" w:type="dxa"/>
            <w:vAlign w:val="bottom"/>
            <w:gridSpan w:val="21"/>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33" w:lineRule="auto"/>
        <w:rPr>
          <w:sz w:val="20"/>
          <w:szCs w:val="20"/>
          <w:color w:val="auto"/>
        </w:rPr>
      </w:pPr>
      <w:r>
        <w:rPr>
          <w:rFonts w:ascii="Times New Roman" w:cs="Times New Roman" w:eastAsia="Times New Roman" w:hAnsi="Times New Roman"/>
          <w:sz w:val="18"/>
          <w:szCs w:val="18"/>
          <w:color w:val="auto"/>
        </w:rPr>
        <w:t xml:space="preserve">“Pulse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nsPFA, nano-PFA, CellFX nsPFA, and NPS, are the property of Pulse Biosciences, Inc. Solely for your convenience, some of our trademarks and trade names referred to in this Quarterly Report are listed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9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93,046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59,154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14,794</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 50,000 shares; no shares issued and outstanding</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500,000 shares; issued and outstanding – 61,516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55,144 shares at September 30, 2024 and December 31, 2023,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450,184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381,220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(371,115)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(336,915)</w:t>
            </w:r>
          </w:p>
        </w:tc>
      </w:tr>
      <w:tr>
        <w:trPr>
          <w:trHeight w:val="210"/>
        </w:trPr>
        <w:tc>
          <w:tcPr>
            <w:tcW w:w="800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44,360</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and expenses:</w:t>
      </w:r>
    </w:p>
    <w:p>
      <w:pPr>
        <w:spacing w:after="0" w:line="9" w:lineRule="exact"/>
        <w:rPr>
          <w:sz w:val="20"/>
          <w:szCs w:val="20"/>
          <w:color w:val="auto"/>
        </w:rPr>
      </w:pPr>
    </w:p>
    <w:p>
      <w:pPr>
        <w:ind w:left="180"/>
        <w:spacing w:after="0" w:line="273" w:lineRule="auto"/>
        <w:rPr>
          <w:sz w:val="20"/>
          <w:szCs w:val="20"/>
          <w:color w:val="auto"/>
        </w:rPr>
      </w:pPr>
      <w:r>
        <w:rPr>
          <w:rFonts w:ascii="Times New Roman" w:cs="Times New Roman" w:eastAsia="Times New Roman" w:hAnsi="Times New Roman"/>
          <w:sz w:val="17"/>
          <w:szCs w:val="17"/>
          <w:color w:val="auto"/>
        </w:rPr>
        <w:t>Research and development General and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and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3300" w:type="dxa"/>
        <w:tblCellMar>
          <w:top w:w="0" w:type="dxa"/>
          <w:left w:w="0" w:type="dxa"/>
          <w:bottom w:w="0" w:type="dxa"/>
          <w:right w:w="0" w:type="dxa"/>
        </w:tblCellMar>
      </w:tblPr>
      <w:tr>
        <w:trPr>
          <w:trHeight w:val="216"/>
        </w:trPr>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42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407"/>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7,472</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21,674</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19,998</w:t>
            </w:r>
          </w:p>
        </w:tc>
      </w:tr>
      <w:tr>
        <w:trPr>
          <w:trHeight w:val="234"/>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14,322</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11,043</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31,041</w:t>
            </w:r>
          </w:p>
        </w:tc>
        <w:tc>
          <w:tcPr>
            <w:tcW w:w="60" w:type="dxa"/>
            <w:vAlign w:val="bottom"/>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(31,041)</w:t>
            </w:r>
          </w:p>
        </w:tc>
        <w:tc>
          <w:tcPr>
            <w:tcW w:w="60" w:type="dxa"/>
            <w:vAlign w:val="bottom"/>
          </w:tcPr>
          <w:p>
            <w:pPr>
              <w:spacing w:after="0"/>
              <w:rPr>
                <w:sz w:val="19"/>
                <w:szCs w:val="19"/>
                <w:color w:val="auto"/>
              </w:rPr>
            </w:pPr>
          </w:p>
        </w:tc>
      </w:tr>
      <w:tr>
        <w:trPr>
          <w:trHeight w:val="414"/>
        </w:trPr>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1,796</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-1405255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-1122045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-839470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-556895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-273685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120" w:space="560"/>
            <w:col w:w="856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5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975</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686</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1,796</w:t>
            </w: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(12,680)</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(10,566)</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(34,200)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(30,277)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(12,680)</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(10,566)</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(34,200)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(30,277)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(12,680)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(10,566)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(30,277)</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loss per common share — basic</w:t>
            </w:r>
          </w:p>
        </w:tc>
        <w:tc>
          <w:tcPr>
            <w:tcW w:w="3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61,066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56,866</w:t>
            </w:r>
          </w:p>
        </w:tc>
        <w:tc>
          <w:tcPr>
            <w:tcW w:w="3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57,169</w:t>
            </w:r>
          </w:p>
        </w:tc>
        <w:tc>
          <w:tcPr>
            <w:tcW w:w="320" w:type="dxa"/>
            <w:vAlign w:val="bottom"/>
          </w:tcPr>
          <w:p>
            <w:pPr>
              <w:spacing w:after="0"/>
              <w:rPr>
                <w:sz w:val="15"/>
                <w:szCs w:val="15"/>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47,288</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(34,200)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(30,277)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Right-of-use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interest on related party note payable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(27,199)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(26,259)</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198"/>
        </w:trPr>
        <w:tc>
          <w:tcPr>
            <w:tcW w:w="80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warrants in relation to rights offering, net of issuance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9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59,649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Issuance cost in relation to related party note extinguishment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issuance costs in relation to future at-the-market equity offering</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15,584</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(10,753)</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61,139</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79,033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50,386</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purchases included in accounts payable and accrued expenses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offering deemed pro-rata distribution to shareholders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47,700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and accrued interest of related party note settled via issuance of common stock</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65,249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 from exercises of warrants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offering and at-the-market issuance costs in accounts payable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0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20" w:type="dxa"/>
            <w:vAlign w:val="bottom"/>
            <w:gridSpan w:val="10"/>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55,228</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385,349</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(358,435)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26,969</w:t>
            </w:r>
          </w:p>
        </w:tc>
        <w:tc>
          <w:tcPr>
            <w:tcW w:w="0" w:type="dxa"/>
            <w:vAlign w:val="bottom"/>
          </w:tcPr>
          <w:p>
            <w:pPr>
              <w:spacing w:after="0"/>
              <w:rPr>
                <w:sz w:val="1"/>
                <w:szCs w:val="1"/>
                <w:color w:val="auto"/>
              </w:rPr>
            </w:pPr>
          </w:p>
        </w:tc>
      </w:tr>
      <w:tr>
        <w:trPr>
          <w:trHeight w:val="178"/>
        </w:trPr>
        <w:tc>
          <w:tcPr>
            <w:tcW w:w="3320" w:type="dxa"/>
            <w:vAlign w:val="bottom"/>
            <w:tcBorders>
              <w:top w:val="single" w:sz="8" w:color="CCEEFF"/>
            </w:tcBorders>
            <w:gridSpan w:val="2"/>
          </w:tcPr>
          <w:p>
            <w:pPr>
              <w:ind w:left="180"/>
              <w:spacing w:after="0" w:line="178" w:lineRule="exact"/>
              <w:rPr>
                <w:sz w:val="20"/>
                <w:szCs w:val="20"/>
                <w:color w:val="auto"/>
              </w:rPr>
            </w:pPr>
            <w:r>
              <w:rPr>
                <w:rFonts w:ascii="Times New Roman" w:cs="Times New Roman" w:eastAsia="Times New Roman" w:hAnsi="Times New Roman"/>
                <w:sz w:val="18"/>
                <w:szCs w:val="18"/>
                <w:color w:val="auto"/>
              </w:rPr>
              <w:t>Issuance of common stock and warrants</w:t>
            </w: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connection with rights offering, net of</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of $364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59,630</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59,636</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198"/>
        </w:trPr>
        <w:tc>
          <w:tcPr>
            <w:tcW w:w="3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under employee stock</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8"/>
        </w:trPr>
        <w:tc>
          <w:tcPr>
            <w:tcW w:w="3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in at-the-market</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offering, net of issuance costs of $24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2,982</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(12,680)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(12,680)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450,184</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(371,115)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79,131</w:t>
            </w:r>
          </w:p>
        </w:tc>
        <w:tc>
          <w:tcPr>
            <w:tcW w:w="0" w:type="dxa"/>
            <w:vAlign w:val="bottom"/>
          </w:tcPr>
          <w:p>
            <w:pPr>
              <w:spacing w:after="0"/>
              <w:rPr>
                <w:sz w:val="1"/>
                <w:szCs w:val="1"/>
                <w:color w:val="auto"/>
              </w:rPr>
            </w:pPr>
          </w:p>
        </w:tc>
      </w:tr>
      <w:tr>
        <w:trPr>
          <w:trHeight w:val="390"/>
        </w:trPr>
        <w:tc>
          <w:tcPr>
            <w:tcW w:w="128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381,220</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(336,915)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44,360</w:t>
            </w:r>
          </w:p>
        </w:tc>
        <w:tc>
          <w:tcPr>
            <w:tcW w:w="0" w:type="dxa"/>
            <w:vAlign w:val="bottom"/>
          </w:tcPr>
          <w:p>
            <w:pPr>
              <w:spacing w:after="0"/>
              <w:rPr>
                <w:sz w:val="1"/>
                <w:szCs w:val="1"/>
                <w:color w:val="auto"/>
              </w:rPr>
            </w:pPr>
          </w:p>
        </w:tc>
      </w:tr>
      <w:tr>
        <w:trPr>
          <w:trHeight w:val="178"/>
        </w:trPr>
        <w:tc>
          <w:tcPr>
            <w:tcW w:w="3320" w:type="dxa"/>
            <w:vAlign w:val="bottom"/>
            <w:tcBorders>
              <w:top w:val="single" w:sz="8" w:color="CCEEFF"/>
            </w:tcBorders>
            <w:gridSpan w:val="2"/>
          </w:tcPr>
          <w:p>
            <w:pPr>
              <w:ind w:left="180"/>
              <w:spacing w:after="0" w:line="178" w:lineRule="exact"/>
              <w:rPr>
                <w:sz w:val="20"/>
                <w:szCs w:val="20"/>
                <w:color w:val="auto"/>
              </w:rPr>
            </w:pPr>
            <w:r>
              <w:rPr>
                <w:rFonts w:ascii="Times New Roman" w:cs="Times New Roman" w:eastAsia="Times New Roman" w:hAnsi="Times New Roman"/>
                <w:sz w:val="18"/>
                <w:szCs w:val="18"/>
                <w:color w:val="auto"/>
              </w:rPr>
              <w:t>Issuance of common stock and warrants</w:t>
            </w: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connection with rights offering, net of</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of $364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59,630</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59,636</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198"/>
        </w:trPr>
        <w:tc>
          <w:tcPr>
            <w:tcW w:w="3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under employee stock</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198"/>
        </w:trPr>
        <w:tc>
          <w:tcPr>
            <w:tcW w:w="3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in at-the-market</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offering, net of issuance costs of $24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equity-classified subscription</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as part of rights offering (Note 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47,700</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198"/>
        </w:trPr>
        <w:tc>
          <w:tcPr>
            <w:tcW w:w="3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Rights offering deemed pro-rata</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 to shareholders (Note 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(47,700)</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6,793</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6,793</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4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450,184</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(371,115)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79,131</w:t>
            </w:r>
          </w:p>
        </w:tc>
        <w:tc>
          <w:tcPr>
            <w:tcW w:w="0" w:type="dxa"/>
            <w:vAlign w:val="bottom"/>
          </w:tcPr>
          <w:p>
            <w:pPr>
              <w:spacing w:after="0"/>
              <w:rPr>
                <w:sz w:val="1"/>
                <w:szCs w:val="1"/>
                <w:color w:val="auto"/>
              </w:rPr>
            </w:pPr>
          </w:p>
        </w:tc>
      </w:tr>
      <w:tr>
        <w:trPr>
          <w:trHeight w:val="390"/>
        </w:trPr>
        <w:tc>
          <w:tcPr>
            <w:tcW w:w="128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54,771</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374,861</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(314,416)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60,500</w:t>
            </w:r>
          </w:p>
        </w:tc>
        <w:tc>
          <w:tcPr>
            <w:tcW w:w="0" w:type="dxa"/>
            <w:vAlign w:val="bottom"/>
          </w:tcPr>
          <w:p>
            <w:pPr>
              <w:spacing w:after="0"/>
              <w:rPr>
                <w:sz w:val="1"/>
                <w:szCs w:val="1"/>
                <w:color w:val="auto"/>
              </w:rPr>
            </w:pPr>
          </w:p>
        </w:tc>
      </w:tr>
      <w:tr>
        <w:trPr>
          <w:trHeight w:val="178"/>
        </w:trPr>
        <w:tc>
          <w:tcPr>
            <w:tcW w:w="3320" w:type="dxa"/>
            <w:vAlign w:val="bottom"/>
            <w:tcBorders>
              <w:top w:val="single" w:sz="8" w:color="CCEEFF"/>
            </w:tcBorders>
            <w:gridSpan w:val="2"/>
          </w:tcPr>
          <w:p>
            <w:pPr>
              <w:ind w:left="180"/>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under employee stock</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8"/>
        </w:trPr>
        <w:tc>
          <w:tcPr>
            <w:tcW w:w="3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exercise, issuance cost</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1,798</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(10,566)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54,991</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377,072</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(324,982)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52,145</w:t>
            </w:r>
          </w:p>
        </w:tc>
        <w:tc>
          <w:tcPr>
            <w:tcW w:w="0" w:type="dxa"/>
            <w:vAlign w:val="bottom"/>
          </w:tcPr>
          <w:p>
            <w:pPr>
              <w:spacing w:after="0"/>
              <w:rPr>
                <w:sz w:val="1"/>
                <w:szCs w:val="1"/>
                <w:color w:val="auto"/>
              </w:rPr>
            </w:pPr>
          </w:p>
        </w:tc>
      </w:tr>
      <w:tr>
        <w:trPr>
          <w:trHeight w:val="390"/>
        </w:trPr>
        <w:tc>
          <w:tcPr>
            <w:tcW w:w="128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37,235</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292,420</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(294,705)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 as part of debt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65,233</w:t>
            </w:r>
          </w:p>
        </w:tc>
        <w:tc>
          <w:tcPr>
            <w:tcW w:w="10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65,243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 net of issuance costs of</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upon exercise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net of issuance costs of $9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14,821</w:t>
            </w:r>
          </w:p>
        </w:tc>
        <w:tc>
          <w:tcPr>
            <w:tcW w:w="5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14,828</w:t>
            </w: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under employee stock</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5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5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3,837</w:t>
            </w:r>
          </w:p>
        </w:tc>
        <w:tc>
          <w:tcPr>
            <w:tcW w:w="540" w:type="dxa"/>
            <w:vAlign w:val="bottom"/>
          </w:tcPr>
          <w:p>
            <w:pPr>
              <w:spacing w:after="0"/>
              <w:rPr>
                <w:sz w:val="18"/>
                <w:szCs w:val="18"/>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(30,277)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(30,277)</w:t>
            </w: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54,991</w:t>
            </w:r>
          </w:p>
        </w:tc>
        <w:tc>
          <w:tcPr>
            <w:tcW w:w="260" w:type="dxa"/>
            <w:vAlign w:val="bottom"/>
          </w:tcPr>
          <w:p>
            <w:pPr>
              <w:spacing w:after="0"/>
              <w:rPr>
                <w:sz w:val="18"/>
                <w:szCs w:val="18"/>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377,072</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(324,982)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52,145</w:t>
            </w: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Pulse Biosciences, Inc. is a novel bioelectric medicine company committed to health innovation using its patented Nano-pulse Stimulation ("NPS") technology, a revolutionary energy modality that delivers nanosecond-duration pulses of electrical energy, each less than a millionth of a second long, to nonthermally clear targeted cells while sparing adjacent noncellular materials. NPS technology, also referred to as Nanosecond Pulsed-Field Ablation ("nsPFA" or "nano-PFA") technology when used to ablate cellular tissue, can be used to treat a variety of medical conditions for which an optimal solution remains unfulfilled. The Company developed its proprietary CellFX System, a novel nano-PFA delivery platform, and commercialized the initial application of its nano-PFA technology to treat benign lesions of the skin. In parallel, the Company has designed a variety of applicators, or disposables,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2022 to focus its primary efforts on the use of nsPFA energy and the CellFX platform in the treatment of atrial fibrillation ("AF") and in a select few other markets where it could have a profound positive impact on healthcare for both patients and providers, such as soft tissue ablation.</w:t>
      </w:r>
    </w:p>
    <w:p>
      <w:pPr>
        <w:spacing w:after="0" w:line="19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was incorporated in Nevada on May 19, 2014. On June 18, 2018, the Company reincorporated from the State of Nevada to the State of Delaware. The Company is located in Miami, Florida, and continues to maintain its offices in Hayward, California. The Company maintains a website at www.pulsebiosciences.com where general information about the Company is available.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the need for additional capital. The Company does not currently have any material cash flows from operations. It currently generates no revenue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basis consistent with the Company’s December 31, 2023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2023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2023. The results of operations for the three-month and nine-month periods ended September 30, 2024, are not necessarily indicative of the results to be expected for the entire year or any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that affect the amounts reported in the financial statements and accompanying notes to the financial statements. Estimates include, but are not limited to, the valuation and recognition of stock-based compensation, the valuation of equity-classified subscription rights, inventory valuation, warranty obligations,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December 31, 2023. The Company continually evaluates the accounting policies and estimates used in preparing the consolidated financial statements. During both the year ended December 31, 2023, and the nine-month period ended September 30, 2024, the Company issued stock options to certain employees which contain market conditions related to overall market capitalization. Additionally, the Company has issued stock options to certain employees which contain performance conditions related to certain financial measures and achievements of strategic and operational milestones.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stock-based compensation programs include stock options and an employee stock purchase program.</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periodically issues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vesting period. The Company has granted stock options with both time-based as well as performance-based vesting conditions. For stock awards with performance-based vesting conditions, the Company does not recognize compensation expense until it is probable that the performance-based vesting condition will be achieved. The analysis to determine such probability involves estimates and judgements from management and the estimate of expense may be revised periodically.</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also issued certain stock options with market-based vesting conditions. These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in the option-pricing model represent management’s best estimates. If factors change and different assumptions are used, the Company's stock-based compensation expense could be materially different in the future.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 for a detailed discussion of the Company’s stock plans and stock-based compensation expense.</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provides a standard warranty on eligible products which provides the customer assurances that the products comply with the agreed-upon specifications. The standard warranty does not provide any services in addition to those assurances. The Company accrued a warranty reserve for products sold based upon the best estimate of the nature, frequency, and costs of future claims. These estimates are inherently uncertain given the short history of sales, and changes to the historical or projected warranty experience may cause material changes to the warranty reserve in the future. In June 2023, the Company reduced the accrued warranty liability to zero. Based upon the Company's shift in focus, there are a limited number of consoles currently covered under the standard warranty. All inventory has been fully written off, therefore the only incremental costs to fulfill a warranty claim in 2024 would be shipping costs or the costs to replace the CellFX nsPFA electrode, which would be immaterial in nature.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Warranty accrual activity consisted of the following for the three-month and nine-month periods ended September 30, 2024 and 2023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16"/>
        </w:trPr>
        <w:tc>
          <w:tcPr>
            <w:tcW w:w="5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Accruals for warranties issued during the period</w:t>
            </w:r>
          </w:p>
        </w:tc>
        <w:tc>
          <w:tcPr>
            <w:tcW w:w="84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Adjustment for inventory at cost and excessive and obsolete inventory</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59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8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Based on the Accounting Standards Codification ("ASC") 260-10-55, </w:t>
      </w:r>
      <w:r>
        <w:rPr>
          <w:rFonts w:ascii="Times New Roman" w:cs="Times New Roman" w:eastAsia="Times New Roman" w:hAnsi="Times New Roman"/>
          <w:sz w:val="18"/>
          <w:szCs w:val="18"/>
          <w:i w:val="1"/>
          <w:iCs w:val="1"/>
          <w:color w:val="auto"/>
        </w:rPr>
        <w:t>Earnings Per Share - Implementation Guidance and Illustrations</w:t>
      </w:r>
      <w:r>
        <w:rPr>
          <w:rFonts w:ascii="Times New Roman" w:cs="Times New Roman" w:eastAsia="Times New Roman" w:hAnsi="Times New Roman"/>
          <w:sz w:val="18"/>
          <w:szCs w:val="18"/>
          <w:color w:val="auto"/>
        </w:rPr>
        <w:t>, the Company determined that the 2024 Rights Offering (Note 6), contained a bonus element. A rights offering is deemed to have a bonus element when the exercise price at issuance is less than fair value of the Company's stock. The Company has retroactively adjusted earnings per share and weighted average number of shares outstanding for the bonus element for prior periods presented.</w:t>
      </w:r>
    </w:p>
    <w:p>
      <w:pPr>
        <w:spacing w:after="0" w:line="18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Basic and diluted net loss per common share is the same for all periods presented because all warrants, stock options and restricted stock units outstanding are anti-dilutive.</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outstanding stock options, and warrants were excluded from the computation of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2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80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5,857,680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12,327,332</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7,902,948</w:t>
            </w:r>
          </w:p>
        </w:tc>
        <w:tc>
          <w:tcPr>
            <w:tcW w:w="100" w:type="dxa"/>
            <w:vAlign w:val="bottom"/>
          </w:tcPr>
          <w:p>
            <w:pPr>
              <w:spacing w:after="0"/>
              <w:rPr>
                <w:sz w:val="18"/>
                <w:szCs w:val="18"/>
                <w:color w:val="auto"/>
              </w:rPr>
            </w:pPr>
          </w:p>
        </w:tc>
      </w:tr>
      <w:tr>
        <w:trPr>
          <w:trHeight w:val="249"/>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18,185,012</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7,902,948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an amendment of the FASB Accounting Standards Codification. The amendments in this ASU are related to the removal of various references to FASB Concept Statements from the codification to make clear distinctions between authoritative and non-authoritative literature in the codification. This ASU is effective for fiscal years beginning after December 15, 2024, with early adoption permitted. The Company does not believe this standard will have an impact on its consolidated financial statements and related disclosures.</w:t>
      </w:r>
    </w:p>
    <w:p>
      <w:pPr>
        <w:spacing w:after="0" w:line="185"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no additional material changes to the information provided regarding recent accounting pronouncements in Note 2, “Summary of Significant Accounting Policies” in the Company’s Form 10-K for the fiscal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which are directly observable for the asset or liability or indirectly observable through corroboration with observable market data. The Company did not classify any of its investments within Level 2 of the fair value hierarchy.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fair value of the Company’s financial instruments measured on a recurring basis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respectively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76,386</w:t>
            </w:r>
          </w:p>
        </w:tc>
      </w:tr>
      <w:tr>
        <w:trPr>
          <w:trHeight w:val="20"/>
        </w:trPr>
        <w:tc>
          <w:tcPr>
            <w:tcW w:w="314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76,386</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76,386</w:t>
            </w:r>
          </w:p>
        </w:tc>
      </w:tr>
      <w:tr>
        <w:trPr>
          <w:trHeight w:val="20"/>
        </w:trPr>
        <w:tc>
          <w:tcPr>
            <w:tcW w:w="3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41,184</w:t>
            </w:r>
          </w:p>
        </w:tc>
      </w:tr>
      <w:tr>
        <w:trPr>
          <w:trHeight w:val="20"/>
        </w:trPr>
        <w:tc>
          <w:tcPr>
            <w:tcW w:w="314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41,184</w:t>
            </w:r>
          </w:p>
        </w:tc>
      </w:tr>
      <w:tr>
        <w:trPr>
          <w:trHeight w:val="20"/>
        </w:trPr>
        <w:tc>
          <w:tcPr>
            <w:tcW w:w="3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have any financial liabilities measured on a recurring basis as of September 30, 2024 or December 31, 2023.</w:t>
      </w:r>
    </w:p>
    <w:p>
      <w:pPr>
        <w:spacing w:after="0" w:line="248" w:lineRule="exact"/>
        <w:rPr>
          <w:sz w:val="20"/>
          <w:szCs w:val="20"/>
          <w:color w:val="auto"/>
        </w:rPr>
      </w:pPr>
    </w:p>
    <w:p>
      <w:pPr>
        <w:ind w:left="500" w:right="8460" w:hanging="492"/>
        <w:spacing w:after="0" w:line="532" w:lineRule="auto"/>
        <w:tabs>
          <w:tab w:leader="none" w:pos="19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 Components Property and Equipment, Net</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(3,476)</w:t>
            </w:r>
          </w:p>
        </w:tc>
      </w:tr>
      <w:tr>
        <w:trPr>
          <w:trHeight w:val="210"/>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was $0.1 million for each of the three-month periods ended September 30, 2024 and 2023, and $0.4 million for each of the nine-month periods ended September 30, 2024 and 2023,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patents and licenses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(6,099)</w:t>
            </w:r>
          </w:p>
        </w:tc>
      </w:tr>
      <w:tr>
        <w:trPr>
          <w:trHeight w:val="25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schedule of the amortization of intangible assets for the remainder of 2024 and the succeeding two fiscal years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3 months)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r>
      <w:tr>
        <w:trPr>
          <w:trHeight w:val="209"/>
        </w:trPr>
        <w:tc>
          <w:tcPr>
            <w:tcW w:w="9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Accrued Expenses</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jc w:val="right"/>
        <w:ind w:right="244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191"/>
        </w:trPr>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3,199</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r>
      <w:tr>
        <w:trPr>
          <w:trHeight w:val="234"/>
        </w:trPr>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r>
      <w:tr>
        <w:trPr>
          <w:trHeight w:val="209"/>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08"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 2014, the Company acquired three companies (the “Acquisitions”) for aggregate consideration of $5.5 million.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recorded goodwill of $2.8 million in connection with the Acquisitions as the consideration paid exceeded the fair value of the net tangible assets and the intangible assets acquired.</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 amended by Accounting Standards Update 2017-04), the Company reviews goodwill for impairment at least annually or whenever any events or circumstances indicate that it is more likely than not that the fair value of a reporting unit is less than its carrying amount. As of September 30, 2024, there were no indicators of impairment and it was determined that no impairment of goodwill existed.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and Stock-Based Compensation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and Subscription Rights</w:t>
      </w:r>
    </w:p>
    <w:p>
      <w:pPr>
        <w:spacing w:after="0" w:line="229" w:lineRule="exact"/>
        <w:rPr>
          <w:sz w:val="20"/>
          <w:szCs w:val="20"/>
          <w:color w:val="auto"/>
        </w:rPr>
      </w:pPr>
    </w:p>
    <w:p>
      <w:pPr>
        <w:jc w:val="both"/>
        <w:ind w:left="20" w:firstLine="486"/>
        <w:spacing w:after="0" w:line="252" w:lineRule="auto"/>
        <w:rPr>
          <w:sz w:val="20"/>
          <w:szCs w:val="20"/>
          <w:color w:val="auto"/>
        </w:rPr>
      </w:pPr>
      <w:r>
        <w:rPr>
          <w:rFonts w:ascii="Times New Roman" w:cs="Times New Roman" w:eastAsia="Times New Roman" w:hAnsi="Times New Roman"/>
          <w:sz w:val="18"/>
          <w:szCs w:val="18"/>
          <w:color w:val="auto"/>
        </w:rPr>
        <w:t>On March 28, 2024, the Company announced that its Board of Directors ("Board") unanimously approved plans to initiate a rights offering, whereby the Company would distribute non-transferable subscription rights at no charge to all holders of the Company's common stock, par value $0.001 per share (the "Common Stock"), as of the close of business on a record date to be determined. On May 20, 2024, the Company announced that the Board had set May 31, 2024 as the record date (the "Record Date"). All holders of Common Stock as of the Record Date received non-transferable subscription rights to purchase up to an aggregate of six million units (the “2024 Units”) with an aggregate offering value of up to $60 million (the "2024 Rights Offering") at a price per 2024 Unit equal to the lesser of: (i) $10 (the “Initial Price”) and (ii) the volume weighted average price of the Common Stock for the ten trading day period through and including the expiration date, June 26, 2024 (the "Expiration Date"), of the Rights Offering (the “Alternate Price”). Each subscription right entitled the holder to purchase 0.10864186 2024 Units for each share of Common Stock owned as of the Record Date. Each 2024 Unit consisted of one share of Common Stock and two warrants, each being a warrant to purchase one-half of one share of Common Stock. The subscription rights were to expire and have no value if they were not exercised prior to the Expiration Date. The Company determined that the equity-classified subscription rights represent a pro-rata distribution issued to existing stockholders as of the Record Date, which is based on a purchase price of $10 per 2024 Unit as compared to (1) the price of $11.55 per one share of Common Stock on the Record Date, plus (2) the value of the warrants on the Record Date. The Company determined the fair value of the equity-classified subscription rights as of the Record Date, which involved the use of a Monte Carlo simulation to value the underlying warrants. The Monte Carlo simulation was based on certain significant unobservable inputs, such as a risk-free interest rate, stock price volatility, dividend yield, and expected term of the rights offering. The fair value of the equity-classified subscription rights was $47.7 million and was recorded in equity on the balance sheet as part of additional paid-in capital. The deemed pro-rata distribution to shareholders of $47.7 million was reflected as an offsetting reduction in additional paid-in capital. The Company is in an accumulated deficit position and has elected a policy of recognizing the deemed pro-rata distribution to shareholders as a reduction to additional paid-in capital rather than a further increase to its accumulated deficit.</w:t>
      </w:r>
    </w:p>
    <w:p>
      <w:pPr>
        <w:spacing w:after="0" w:line="191"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On July 3, 2024, the Company announced the closing of its 2024 Rights Offering. The 2024 Rights Offering resulted in the sale of six million 2024 Units, at a price of $10.00 per 2024 Unit. Each 2024 Unit consisted of one share of the Company’s common stock, par value $0.001 per share, and two warrants, each being a warrant to purchase one-half of one share of common stock. The common stock and warrants comprising the 2024 Units separated upon the closing of the 2024 Rights Offering and were issued individually. A total of 5,999,998 shares of common stock and warrants to acquire up to approximately an additional six million shares of common stock were issued in the offering. The Company received aggregate gross proceeds from the 2024 Rights Offering of $60 million. If exercised, additional gross proceeds of up to $66 million may be received through the exercise of warrants issued in the 2024 Rights Offering. See 2024 Rights Offering Warrants below for additional details of the warrants. Robert W. Duggan, the Company’s majority stockholder and Co-Chairman, purchased approximately 88% of the units offered through the 2024 Rights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Securities Purchase Agreement</w:t>
      </w:r>
    </w:p>
    <w:p>
      <w:pPr>
        <w:spacing w:after="0" w:line="22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On April 30, 2023, the Company entered into a Securities Purchase Agreement with Robert W. Duggan, the Company’s majority stockholder and Co-Chairman, pursuant to which the Company agreed to issue and sell to Mr. Duggan 10,022,937 shares of the Company’s common stock, par value $0.001 per share, in a Private Placement, at a price per share of $6.51. The parties completed the Private Placement on May 9, 2023, after satisfying all pre-closing conditions, and the Company issued the full number of shares to Mr. Duggan. The shares were paid for through the cancellation of the principal sum of $65.0 million borrowed by the Company pursuant to the 2022 Loan Agreement (See Note 7), together with all accrued and unpaid interest outstanding owed at the time of closing.</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Rights Offering</w:t>
      </w:r>
    </w:p>
    <w:p>
      <w:pPr>
        <w:spacing w:after="0" w:line="229"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On June 9, 2022, the Company completed a rights offering (the “2022 Rights Offering") resulting in the sale of 7,317,072 units (the “2022 Units”), at a price of $2.05 per 2022 Unit, with each 2022 Unit consisting of one share of the Company’s common stock, par value $0.001 per share, and one warrant (the “2022 Rights Offering Warrants”) to purchase one share of common stock at a price of $2.05 per share. The common stock and warrants comprising the 2022 Units separated upon the closing of the 2022 Rights Offering and were issued individually.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See the Common Stock Warrants section below for further details. Robert W. Duggan, the Company’s majority stockholder and Co-Chairman, purchased approximately 56% of the shares offered through the 2022 Rights Offering.</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Warrants</w:t>
      </w:r>
    </w:p>
    <w:p>
      <w:pPr>
        <w:spacing w:after="0" w:line="229" w:lineRule="exact"/>
        <w:rPr>
          <w:sz w:val="20"/>
          <w:szCs w:val="20"/>
          <w:color w:val="auto"/>
        </w:rPr>
      </w:pPr>
    </w:p>
    <w:p>
      <w:pPr>
        <w:ind w:left="20" w:firstLine="486"/>
        <w:spacing w:after="0" w:line="270" w:lineRule="auto"/>
        <w:rPr>
          <w:sz w:val="20"/>
          <w:szCs w:val="20"/>
          <w:color w:val="auto"/>
        </w:rPr>
      </w:pPr>
      <w:r>
        <w:rPr>
          <w:rFonts w:ascii="Times New Roman" w:cs="Times New Roman" w:eastAsia="Times New Roman" w:hAnsi="Times New Roman"/>
          <w:sz w:val="17"/>
          <w:szCs w:val="17"/>
          <w:color w:val="auto"/>
        </w:rPr>
        <w:t>In connection with the 2024 Rights Offering, the Company issued 2024 Rights Offering Warrants to purchase a total of 5,999,999 shares of its common stock at an exercise price of $11.00 per whole share, which equals 110% of the subscription price for the Units. The aggregate number of shares of our common stock issuable upon the exercise of each set of warrants included in a given subscription for Units was rounded up to the nearest whole share. Warrants are exercisable immediately and will expire on the fifth anniversary of the closing of the 2024 Rights Offering. Half of the warrants issued in the rights offering are redeemable for $0.01 per underlying share of common stock, on not less than thirty days’ written notice, if the volume weighted average price of the Company’s common stock equals or exceeds 150% of the exercise price for the warrants, or $16.50, for twenty consecutive trading days. The other half of the warrants issued in the rights offering are redeemable for $0.01 per underlying share of common stock, on not less than thirty days’ written notice, if the volume weighted average price of the Company’s common stock equals or exceeds 200% of the exercise price for the warrants, or $22.00, for twenty consecutive trading days. In both cases the Company can not redeem the warrants prior to the date that is three months after the issuance date. As of September 30, 2024, there were 2024 Rights Offering Warrants to purchase up to 5,857,680 shares of common stock, in aggregate, outstanding.</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2022 Rights Offering Warrants</w:t>
      </w:r>
    </w:p>
    <w:p>
      <w:pPr>
        <w:spacing w:after="0" w:line="229" w:lineRule="exact"/>
        <w:rPr>
          <w:sz w:val="20"/>
          <w:szCs w:val="20"/>
          <w:color w:val="auto"/>
        </w:rPr>
      </w:pPr>
    </w:p>
    <w:p>
      <w:pPr>
        <w:ind w:left="20" w:firstLine="486"/>
        <w:spacing w:after="0" w:line="312" w:lineRule="auto"/>
        <w:rPr>
          <w:sz w:val="20"/>
          <w:szCs w:val="20"/>
          <w:color w:val="auto"/>
        </w:rPr>
      </w:pPr>
      <w:r>
        <w:rPr>
          <w:rFonts w:ascii="Times New Roman" w:cs="Times New Roman" w:eastAsia="Times New Roman" w:hAnsi="Times New Roman"/>
          <w:sz w:val="17"/>
          <w:szCs w:val="17"/>
          <w:color w:val="auto"/>
        </w:rPr>
        <w:t>In connection with the 2022 Rights Offering, the Company issued 2022 Rights Offering Warrants to purchase a total of 7,317,072 shares of its common stock at an exercise price of $2.05. The 2022 Rights Offering Warrants were subject to redemption by the Company for $0.01 per underlying share</w:t>
      </w:r>
    </w:p>
    <w:p>
      <w:pPr>
        <w:sectPr>
          <w:pgSz w:w="11900" w:h="16868" w:orient="portrait"/>
          <w:cols w:equalWidth="0" w:num="1">
            <w:col w:w="11260"/>
          </w:cols>
          <w:pgMar w:left="300" w:top="121" w:right="339" w:bottom="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of common stock, on not less than 30 days written notice, if the volume weighted average price of the Company’s common stock equaled or exceeded 200% of the exercise price for the warrants, subject to adjustment, per share, for 20 consecutive trading days, provided that the Company could not redeem the warrants prior to the date that was three months after the issuance date. On May 10, 2023, the Company issued a press release announcing that on May 9, 2023 the terms for warrant redemption had been met. Pursuant to the redemption, the Company redeemed 66,175 warrants on the redemption date, June 16, 2023. Prior to the redemption date, warrants to purchase 7,250,897 shares were exercised, generating approximately $14.9 million of total gross proceeds to the Company. As of September 30, 2024, there were no 2022 Rights Offering Warrants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 and 2017 Inducement Equity Incentive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Board previously adopted, and the Company’s stockholders approved, the Company’s 2017 Equity Incentive Plan (the “2017 Plan”).</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2017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at both January 1, 2024 and 2023, the number of shares of common stock available under the 2017 Plan increased by 1,200,000, respectively, pursuant to the evergreen provision of the 2017 Plan. Under the evergreen provision of the 2017 Plan, the share increase is determined based on the least of (i) 1,200,000 shares,</w:t>
      </w:r>
    </w:p>
    <w:p>
      <w:pPr>
        <w:spacing w:after="0" w:line="6" w:lineRule="exact"/>
        <w:rPr>
          <w:sz w:val="20"/>
          <w:szCs w:val="20"/>
          <w:color w:val="auto"/>
        </w:rPr>
      </w:pPr>
    </w:p>
    <w:p>
      <w:pPr>
        <w:jc w:val="both"/>
        <w:ind w:firstLine="8"/>
        <w:spacing w:after="0" w:line="253" w:lineRule="auto"/>
        <w:tabs>
          <w:tab w:leader="none" w:pos="2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Company’s common stock outstanding at December 31 of the immediately preceding year, or (iii) such number of shares as determined by the Board. Additionally, the number of shares of common stock available under the 2017 Plan increased by 1,375,000 shares as a result of a stockholder vote held at a special meeting of stockholders in December 2023. As of September 30, 2024, a total of 78,490 shares of common stock remained available for issuance under the 2017 Plan.</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Inducement Plan has a 10-year term and provides for the grant of equity-based awards, including non-statutory stock options, RSUs,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to non-executive employees generally vest 25% per year starting upon the first anniversary of the grant. New hire grants to executive employees generally consist of both time-vesting and performance-vesting options. Equity-based awards issued under the Inducement Plan are only issuable to individuals not previously engaged as employees or individuals returning to employment with the Company following a bona-fide period of non-employment. In May 2021, the Board approved an amendment to the Inducement Plan to reserve an additional 1,000,000 shares of the Company’s common stock for issuance pursuant to the Inducement Plan. And, in March 2024, the Board approved a second amendment to the Inducement Plan to reserve an additional 2,000,000 shares of the Company’s common stock for issuance pursuant to the Inducement Plan. As of September 30, 2024, 1,642,626 shares of common stock remained available for issuance under the Inducement Plan.</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2015 Plan, 2017 Plan, and Inducement Plan for the nine-months ended September 30,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4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4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3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9,466,036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3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3,017,643</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10.38</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3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(110,847)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4.49</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3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(9,542)</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15.19</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2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(35,958)</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19.82</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Balances — September 30, 2024</w:t>
            </w:r>
          </w:p>
        </w:tc>
        <w:tc>
          <w:tcPr>
            <w:tcW w:w="228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12,327,332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r>
      <w:tr>
        <w:trPr>
          <w:trHeight w:val="20"/>
        </w:trPr>
        <w:tc>
          <w:tcPr>
            <w:tcW w:w="4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September 30, 2024</w:t>
            </w:r>
          </w:p>
        </w:tc>
        <w:tc>
          <w:tcPr>
            <w:tcW w:w="3980" w:type="dxa"/>
            <w:vAlign w:val="bottom"/>
            <w:gridSpan w:val="3"/>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4,178,088</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13.32</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5.06</w:t>
            </w:r>
          </w:p>
        </w:tc>
      </w:tr>
      <w:tr>
        <w:trPr>
          <w:trHeight w:val="412"/>
        </w:trPr>
        <w:tc>
          <w:tcPr>
            <w:tcW w:w="4040" w:type="dxa"/>
            <w:vAlign w:val="bottom"/>
            <w:tcBorders>
              <w:top w:val="single" w:sz="8" w:color="CCEEFF"/>
            </w:tcBorders>
          </w:tcPr>
          <w:p>
            <w:pPr>
              <w:spacing w:after="0"/>
              <w:rPr>
                <w:sz w:val="24"/>
                <w:szCs w:val="24"/>
                <w:color w:val="auto"/>
              </w:rPr>
            </w:pPr>
          </w:p>
        </w:tc>
        <w:tc>
          <w:tcPr>
            <w:tcW w:w="228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Time-based Options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spacing w:after="0" w:line="17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 summary of the time-based stock option activity under the 2015 Plan, 2017 Plan and Inducement Plan for the nine-months ended September 30,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6,141,906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2,123,643</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(100,897)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(6,542)</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(34,958)</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Balances — September 30, 2024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8,123,152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September 30, 2024</w:t>
            </w:r>
          </w:p>
        </w:tc>
        <w:tc>
          <w:tcPr>
            <w:tcW w:w="17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3,745,410</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13.97</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4.84</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the time-based options granted during the nine-month period ended September 30, 2024 was $18.7 million.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Performance-based Options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stock options awarded by the Company contain performance conditions related to certain financial measures and achievements of strategic and operational milestones. Once a specific performance condition is fulfilled, the associated options will fully vest and become exercisable.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summary of the performance-based option activity under the 2017 Plan and Inducement Plan for the nine-months ended September 30,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1,224,130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8.44</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(9,950)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Balances — September 30, 2024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1,249,180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September 30, 2024</w:t>
            </w:r>
          </w:p>
        </w:tc>
        <w:tc>
          <w:tcPr>
            <w:tcW w:w="17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432,678</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7.69</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6.98</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the performance-based options granted during the nine-month period ended September 30, 2024 was $0.3 million.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Market-based Options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Certain stock options awarded by the Company contain market conditions related to achievement of certain market capitalization targets. The options will vest and become exercisable once the specific market capitalization targets are fulfilled.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market-based option activity under the 2017 Plan for the nine-months ended September 30,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855,000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8.16</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Balances — September 30, 2024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2,955,000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September 30, 2024</w:t>
            </w:r>
          </w:p>
        </w:tc>
        <w:tc>
          <w:tcPr>
            <w:tcW w:w="17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the market-based options granted during the nine-month period ended September 30, 2024 was $5.3 million.</w:t>
      </w:r>
    </w:p>
    <w:p>
      <w:pPr>
        <w:sectPr>
          <w:pgSz w:w="11900" w:h="16838" w:orient="portrait"/>
          <w:cols w:equalWidth="0" w:num="1">
            <w:col w:w="11240"/>
          </w:cols>
          <w:pgMar w:left="320" w:top="121" w:right="339" w:bottom="86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66"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time-based and performance-based stock options on the grant date using the Black-Scholes option pricing model. The estimated fair value of these employee stock options is amortized on a straight-line basis over the requisite service period of the awards. The Company reviews, and when deemed appropriate, updates the assumptions used on a periodic basis. The fair value of time-based and performance-based stock options was estimated using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13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- 97%</w:t>
            </w:r>
          </w:p>
        </w:tc>
        <w:tc>
          <w:tcPr>
            <w:tcW w:w="13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6"/>
              </w:rPr>
              <w:t>93%</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- 97%</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- 94%</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5"/>
              </w:rPr>
              <w:t>3.7%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- 4.5%</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- 3.8%</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market-based stock options on the grant date using a Monte Carlo simulation model. The estimated fair value of these employee stock options is amortized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fair value of market-based stock options was estimated using the following weighted-average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2.2 - 4.2</w:t>
            </w:r>
          </w:p>
        </w:tc>
        <w:tc>
          <w:tcPr>
            <w:tcW w:w="13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4.0 - 6.3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2.2 - 5.8</w:t>
            </w:r>
          </w:p>
        </w:tc>
        <w:tc>
          <w:tcPr>
            <w:tcW w:w="136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4.0 - 6.3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90%</w:t>
            </w:r>
          </w:p>
        </w:tc>
        <w:tc>
          <w:tcPr>
            <w:tcW w:w="13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6"/>
              </w:rPr>
              <w:t>90%</w:t>
            </w:r>
          </w:p>
        </w:tc>
        <w:tc>
          <w:tcPr>
            <w:tcW w:w="220" w:type="dxa"/>
            <w:vAlign w:val="bottom"/>
          </w:tcPr>
          <w:p>
            <w:pPr>
              <w:spacing w:after="0"/>
              <w:rPr>
                <w:sz w:val="18"/>
                <w:szCs w:val="18"/>
                <w:color w:val="auto"/>
              </w:rPr>
            </w:pP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90%</w:t>
            </w:r>
          </w:p>
        </w:tc>
        <w:tc>
          <w:tcPr>
            <w:tcW w:w="13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3.9%</w:t>
            </w:r>
          </w:p>
        </w:tc>
        <w:tc>
          <w:tcPr>
            <w:tcW w:w="13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3.7 - 3.8%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3.9% - 4.4%</w:t>
            </w:r>
          </w:p>
        </w:tc>
        <w:tc>
          <w:tcPr>
            <w:tcW w:w="136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3.4 - 3.8%</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2017 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Board previously adopted, and the Company's stockholders approved, the Company’s 2017 Employee Stock Purchase Plan (the “2017 ESPP”).</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In 2024, the Company reserved an additional 450,000 shares under the 2017 ESPP pursuant to the evergreen provision. In 2023, the Board waived the evergreen provision and no additional shares were reserved under the 2017 ESPP. During the nine months ended September 30, 2024, the Company issued 117,539 shares of common stock under the 2017 ESPP. As of September 30, 2024, 445,779 shares of common stock remained available for issuance under the 2017 ESPP.</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20"/>
                <w:szCs w:val="20"/>
                <w:color w:val="auto"/>
              </w:rPr>
            </w:pPr>
          </w:p>
        </w:tc>
      </w:tr>
      <w:tr>
        <w:trPr>
          <w:trHeight w:val="210"/>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500" w:type="dxa"/>
            <w:vAlign w:val="bottom"/>
            <w:gridSpan w:val="2"/>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0.5 - 1.0</w:t>
            </w:r>
          </w:p>
        </w:tc>
        <w:tc>
          <w:tcPr>
            <w:tcW w:w="13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0.5 - 1.0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0.5 - 1.0</w:t>
            </w:r>
          </w:p>
        </w:tc>
        <w:tc>
          <w:tcPr>
            <w:tcW w:w="136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0.5 - 1.0</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00" w:type="dxa"/>
            <w:vAlign w:val="bottom"/>
            <w:gridSpan w:val="2"/>
          </w:tcPr>
          <w:p>
            <w:pPr>
              <w:jc w:val="center"/>
              <w:ind w:left="2410"/>
              <w:spacing w:after="0"/>
              <w:rPr>
                <w:sz w:val="20"/>
                <w:szCs w:val="20"/>
                <w:color w:val="auto"/>
              </w:rPr>
            </w:pPr>
            <w:r>
              <w:rPr>
                <w:rFonts w:ascii="Times New Roman" w:cs="Times New Roman" w:eastAsia="Times New Roman" w:hAnsi="Times New Roman"/>
                <w:sz w:val="18"/>
                <w:szCs w:val="18"/>
                <w:color w:val="auto"/>
                <w:w w:val="96"/>
              </w:rPr>
              <w:t>98%</w:t>
            </w:r>
          </w:p>
        </w:tc>
        <w:tc>
          <w:tcPr>
            <w:tcW w:w="13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6"/>
              </w:rPr>
              <w:t>83%</w:t>
            </w:r>
          </w:p>
        </w:tc>
        <w:tc>
          <w:tcPr>
            <w:tcW w:w="220" w:type="dxa"/>
            <w:vAlign w:val="bottom"/>
          </w:tcPr>
          <w:p>
            <w:pPr>
              <w:spacing w:after="0"/>
              <w:rPr>
                <w:sz w:val="18"/>
                <w:szCs w:val="18"/>
                <w:color w:val="auto"/>
              </w:rPr>
            </w:pP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98%</w:t>
            </w:r>
          </w:p>
        </w:tc>
        <w:tc>
          <w:tcPr>
            <w:tcW w:w="13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00" w:type="dxa"/>
            <w:vAlign w:val="bottom"/>
            <w:gridSpan w:val="2"/>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w w:val="99"/>
              </w:rPr>
              <w:t>4.4% - 5.3%</w:t>
            </w:r>
          </w:p>
        </w:tc>
        <w:tc>
          <w:tcPr>
            <w:tcW w:w="13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7"/>
              </w:rPr>
              <w:t>5.4% - 5.5%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4.9% - 5.3%</w:t>
            </w:r>
          </w:p>
        </w:tc>
        <w:tc>
          <w:tcPr>
            <w:tcW w:w="136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5.1% - 5.5%</w:t>
            </w:r>
          </w:p>
        </w:tc>
        <w:tc>
          <w:tcPr>
            <w:tcW w:w="100" w:type="dxa"/>
            <w:vAlign w:val="bottom"/>
            <w:shd w:val="clear" w:color="auto" w:fill="CCEEFF"/>
          </w:tcPr>
          <w:p>
            <w:pPr>
              <w:spacing w:after="0"/>
              <w:rPr>
                <w:sz w:val="18"/>
                <w:szCs w:val="18"/>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380" w:type="dxa"/>
            <w:vAlign w:val="bottom"/>
          </w:tcPr>
          <w:p>
            <w:pPr>
              <w:spacing w:after="0"/>
              <w:rPr>
                <w:sz w:val="20"/>
                <w:szCs w:val="20"/>
                <w:color w:val="auto"/>
              </w:rPr>
            </w:pP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14"/>
        </w:trPr>
        <w:tc>
          <w:tcPr>
            <w:tcW w:w="3600" w:type="dxa"/>
            <w:vAlign w:val="bottom"/>
          </w:tcPr>
          <w:p>
            <w:pPr>
              <w:spacing w:after="0"/>
              <w:rPr>
                <w:sz w:val="24"/>
                <w:szCs w:val="24"/>
                <w:color w:val="auto"/>
              </w:rPr>
            </w:pPr>
          </w:p>
        </w:tc>
        <w:tc>
          <w:tcPr>
            <w:tcW w:w="2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not all of the performance conditions of the performance options are probable to be achieved. Compensation expense has only been recognized for those conditions that are assumed to be probable.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by award type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Time-based options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options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Market-based options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right="8500" w:hanging="492"/>
        <w:spacing w:after="0" w:line="532" w:lineRule="auto"/>
        <w:tabs>
          <w:tab w:leader="none" w:pos="19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2022 Loan Agreement</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September 20, 2022, the Company and Robert W. Duggan, the Company's majority stockholder and Co-Chairman, entered into a Loan Agreement (“2022 Loan Agreement”) in connection with Mr. Duggan lending the principal sum of $65.0 million to the Company. The 2022 Loan Agreement bore interest at a rate per annum equal to 5.0%, payable quarterly commencing on January 1, 2023, with the principal sum payable on March 20, 2024. On March 17, 2023, the Company and Mr. Duggan amended certain terms of the 2022 Loan Agreement. There were no changes to the interest rate, but the principal sum repayment date was changed to September 30, 2024. During the year ended December 31, 2023, the Company made cash payments of $1.7 million for accrued interest on the loan, and recorded an additional $1.1 million of interest expense in relation to the 2022 Loan Agreement. 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No additional amounts are owed to Mr. Duggan under the 2022 Loan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January 2017, the Company entered into a five-year lease (the “Existing Lease”) for approximately 15,700 square feet for its corporate headquarters located in Hayward, California. The lease commenced in July 2017.</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October 2029 to be coterminous with Expansion Premises 1 and Expansion Premises 2.</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9,144</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cash paid for operating lease liabilities (in thousands):</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432"/>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3 months)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as of September 30, 2024, were as follows:</w:t>
            </w: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Rent expense, including common area maintenance charges, was approximately $0.6 million for each of the three-month periods ended September 30, 2024 and 2023, respectively, and was approximately $1.8 million and $1.7 million for the nine-month periods ended September 30, 2024 and 2023,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the Company is not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not adversely affect our consolidated position, results of operations, or cash flows.</w:t>
      </w:r>
    </w:p>
    <w:p>
      <w:pPr>
        <w:sectPr>
          <w:pgSz w:w="11900" w:h="16838" w:orient="portrait"/>
          <w:cols w:equalWidth="0" w:num="1">
            <w:col w:w="11240"/>
          </w:cols>
          <w:pgMar w:left="320" w:top="121" w:right="33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the business as one reportable and operating segment. The Company’s Chief Executive Officer acts as the chief operating decision maker (“CODM”) of the Company. The CODM reviews the results of the Company on a consolidated basis. All of the Company’s long-lived assets are based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May 2022, the Company determined not to renew its annual director and officer liability insurance policy due to disproportionately high premiums quoted by insurance companies. Instead, on May 31, 2022, the Company and Robert W. Duggan, majority stockholder and Co-Chairman, entered into a letter agreement (the “Letter Agreement”) pursuant to which Mr. Duggan agreed with the Company to personally provide indemnity coverage for a one-year period, and he agreed to deposit cash and/or marketable securities into a third-party escrow, as security for these obligations, if requested by the Company. On May 31, 2023, the last day of the one-year period, the Company paid Mr. Duggan a fee of $1.0 million in consideration of the obligations set forth in the Letter Agreement. As of September 30, 2024, there were no additional amounts owed to Mr. Duggan under the Letter Agreement.</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September 20, 2022, the Company and Robert W. Duggan, the Company's majority stockholder and Co-Chairman, entered into the 2022 Loan Agreement in connection with Mr. Duggan lending the principal sum of $65.0 million to the Company. 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Upon closing of the Private Placement and satisfaction of the outstanding debt, the 2022 Loan Agreement terminated, without early termination fees or penalties being owed by the Company. No additional amounts are owed to Mr. Duggan under the 2022 Loan Agreement. See Note 7 for further details.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Restructuring Charges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2023, the Company eliminated seven positions and incurred a discrete restructuring related charge of $0.1 million which was fully recorded in February 2023 and the related expenses are included within total cost and expenses on the condensed consolidated statement of operations for the nine months ended September 30, 2023. This charge represents the total amount incurred in connection with the activity.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October 2024, the Board approved changes to the performance-based vesting conditions of certain unvested outstanding common stock option awards that were improbable of vesting. Specifically, certain performance-based stock option awards were changed to time-based vesting criteria and certain performance-based stock option awards were changed to market-based vesting criteria. Based on our preliminary analysis, the Company estimates it will recognize approximately $12 million of stock-based compensation expense over the next 1 to 4 years from these modified stock option awards.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 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or "nano-PFA") technology when used to ablate cellular tissue, can be used to treat a variety of medical conditions for which an optimal solution remains unfulfilled. We developed our proprietary CellFX System, a novel nsPFA delivery platform, and commercialized the initial application of its nsPFA technology to treat benign lesions of the skin. In parallel, we have designed a variety of applicators, or disposables,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nano-PFA energy and the CellFX platform in the treatment of atrial fibrillation and in a select few other markets where it could have a profound positive impact on healthcare for both patients and providers, such as soft tissue ablation.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CellFX nsPFA Percutaneous Electrode System</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product for soft tissue ablation in a surgical setting, the CellFX nsPFA Percutaneous Electrode System, consists of a disposable, percutaneous, needle electrode for use with our proprietary CellFX nsPFA Console. This novel electrode is designed to harness and deliver the key advantages of nsPFA energy, enabling precise nonthermal removal of cellular tissue without inducing thermal necrosis.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After years of preclinical development and testing, in June 2023, we initiated a first-in-human study using our proprietary nsPFA-enabled percutaneous electrode. This study, which is still ongoing, is being conducted by Professor Stefano Spiezia at the Ospedale del Mare in Naples, Italy, to help us better understand and confirm the mechanism of action and tissue response of nano-PFA energy in internal organs such as the thyroid. To date, we have treated thirty study subjects, all of whom tolerated the procedure well with no reported serious side effects. Ultrasound images post procedure have shown that the treated portions of the benign thyroid nodules have mostly been resorbed with no sign of scarring or fibrosis, which can be a side effect of other ablation modalities. We expect to complete this study in 2025.</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parallel, in November 2023, we filed a premarket notification 510(k) with the FDA for clearance to commercialize our novel CellFX nsPFA Percutaneous Electrode System in the United States. In March 2024, we received FDA 510(k) clearance for our CellFX nsPFA Percutaneous Electrode System for use in the ablation of soft tissue in percutaneous and intraoperative surgical procedures. More recently, in July 2024, we received FDA 510(k) clearance for a second size of the percutaneous electrode needle, which we believe will provide our customers with an additional treatment option for their patients.</w:t>
      </w:r>
    </w:p>
    <w:p>
      <w:pPr>
        <w:spacing w:after="0" w:line="18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Having secured 510(k) clearance to market and sell the CellFX nsPFA Percutaneous Electrode System in the United States with different sizes of percutaneous electrode needles, we have engaged with experts in the field of soft tissue ablation to gather information that will help shape our future commercial endeavors. To date, we have placed our CellFX System with seven sites in the United States and these sites have been performing initial patient treatments and evaluating the CellFX System under short-term evaluation agreements. To date, the clinicians in our pilot program have completed more than twenty-five patient procedures. We expect to pursue more clinical evidenced-based milestones throughout 2024 and into 2025 in connection with evaluating the early pilot commercialization of our percutaneous electrodes, and we expect to commence a pivotal clinical trial in mid-2025 to support a specific labeling indication to commercialize the Percutaneous Electrode System in the United States as a treatment for benign thyroid nodules.</w:t>
      </w:r>
    </w:p>
    <w:p>
      <w:pPr>
        <w:sectPr>
          <w:pgSz w:w="11900" w:h="16838" w:orient="portrait"/>
          <w:cols w:equalWidth="0" w:num="1">
            <w:col w:w="11240"/>
          </w:cols>
          <w:pgMar w:left="320" w:top="121" w:right="339" w:bottom="0" w:gutter="0" w:footer="0" w:header="0"/>
        </w:sectPr>
      </w:pPr>
    </w:p>
    <w:bookmarkStart w:id="20" w:name="page21"/>
    <w:bookmarkEnd w:id="20"/>
    <w:p>
      <w:pPr>
        <w:ind w:left="480"/>
        <w:spacing w:after="0"/>
        <w:rPr>
          <w:sz w:val="20"/>
          <w:szCs w:val="20"/>
          <w:color w:val="auto"/>
        </w:rPr>
      </w:pPr>
      <w:r>
        <w:rPr>
          <w:rFonts w:ascii="Times New Roman" w:cs="Times New Roman" w:eastAsia="Times New Roman" w:hAnsi="Times New Roman"/>
          <w:sz w:val="18"/>
          <w:szCs w:val="18"/>
          <w:i w:val="1"/>
          <w:iCs w:val="1"/>
          <w:color w:val="auto"/>
        </w:rPr>
        <w:t>Our Cardiac Surgical Program</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Atrial fibrillation (“AF”)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nano-PFA technology is uniquely suited to perform an integral role for this application and that it will prove to be highly differentiated from standard thermal energy modalities in use today.</w:t>
      </w:r>
    </w:p>
    <w:p>
      <w:pPr>
        <w:spacing w:after="0" w:line="183"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results of preclinical and clinical testing of both our nano-PFA cardiac products, namely our surgical ablation clamp and our endocardial ablation catheter, have exceeded our expectations and initial data have been presented at physician and industry conferences.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surgical ablation clamp and cardiac endocardial ablation catheter both generate our proprietary nano-PFA pulses of electrical energy. We discuss each of these products under development in more detail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CellFX nsPFA Cardiac Clamp</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These ablation lines block the conduction of electrical impulses and can cure patients of their AF.</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our nsPFA technology can provide important advantages over today’s thermal modalities in creating these ablation lines. For example, surgeons using the CellFX System should be able to deliver faster ablations through thicker tissue than thermal modalities because of the nonthermal mechanism of action that nano-PFA employs, which is not affected by heatsinks such as blood in the heart. In preclinical studies, our nsPFA Cardiac Clamp has consistently achieved transmural ablations in less than two seconds, independent of tissue type or thickness. Moreover, thermal modalities can cause char formation on electrode surfaces which can cause gaps in the ablation lines that might lead to treatment failure. This should not be an issue with nano-PFA ablation given its nonthermal nature. We believe these advantages will be important to cardiac surgeons, so we are working with leaders in the field to develop this technology quickly.</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Over the last several years, we have been developing the cardiac ablation clamp from proof-of-concept to prototype, and we now have what we believe is our initial clinical design. We plan to pursue a PMA application for FDA approval to market the cardiac clamp, which will require pivotal clinical data to support the application. With PMA approval, we expect that we would commercialize the nsPFA Cardiac Surgical System in the United States specifically as a treatment for AF. If granted by the FDA, a specific treatment indication would permit direct marketing of the treatment benefits provided by the device. We expect to begin our pivotal clinical trial for AF in mid-2025. In parallel, we have initiated a multi-site clinical study to treat up to 30 patients in the Netherlands. The first five patients in this cardiac clamp study tolerated the procedure well and acute data have been encouraging. This study should provide information on first-in-human effectiveness and safety with our cardiac surgical ablation clamp.</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2024, we received Breakthrough Device Designation from the FDA for our CellFX nsPFA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CellFX nsPFA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Cardiac Catheter</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cardiac, endocardial, catheter ablation device will have many of the same advantages that the surgical ablation clamp appears to have with respect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recent years, Pulsed Field Ablation (“PFA”) has gained attention in electrophysiology for the treatment of AF because of its safety profile and speed. Current clinical products employing PFA in AF treatment differ from CellFX nsPFA technology in that the pulse widths are longer, typically in the microsecond domain. We believe CellFX nsPFA technology, which delivers pulses of electrical energy that are each less than a millionth of a second long, can offer similar safety advantages as PFA and may provide improved efficacy advantages based on the circumferential design of our catheter and because it appears CellFX nsPFA technology can create deeper ablations.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clinical study in Prague, Czech Republic, to test our CellFX nsPFA 360° Cardiac Catheter in patients with AF and early acute data and remapping data from this study have been promising. We have therefore expanded the initial clinical protocol to enroll up to 60 patients, from 30, and to include participation by two additional sites. The study is now almost fully enrolled. Investigators have successfully remapped the first half of the study participants and we have been encouraged by the preliminary results seen in the study. We believe the catheter will need to go through the PMA process for FDA approval to market and sell our cardiac endocardial catheter in the United States. We expect to commence a U.S. IDE pivotal clinical study sometime in the middle of 2025.</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The CellFX Console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CellFX Console is a tunable, software-enabled, console-based platform, designed to accommodate the clinical workflow preferred by physicians. The CellFX System is configured to accept a variety of disposable end-effectors or electrodes across a range of clinical applications. In February 2021, we received 510(k) clearance from the FDA for the CellFX System for dermatologic procedures requiring ablation and resurfacing of the skin. In January 2021, we received Conformité Européene (“CE”) marking approval for the CellFX System, which allows for marketing of the system in the European Union (“EU”). Shortly after these regulatory clearances, we began commercializing the CellFX System in dermatology for the treatment of benign skin lesions. However, in September 2022, we announced a shift in our focus from dermatology to cardiology and the treatment of AF. We have ceased all commercial sales and marketing operations in dermatology. At the present time, we continue to support our remaining commercial users and remain open to a potential commercial partnership. The CellFX System is being used for our current efforts in the treatment of AF and as part of the CellFX nsPFA Percutaneous Electrode System.</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believe nano-PFA ablation, as well as NPS technology more broadly, has the potential to provide superior outcomes across a variety of medical disciplines and we may seek partnership opportunities to develop additional applications.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Our Business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Over the past few years, Robert Duggan, our majority stockholder and Co-Chairman, has made significant investments in our Company to fund its operations. In June 2022, we completed a common stock rights offering to our existing stockholders, which raised $15 million in aggregate. Mr. Duggan purchased approximately 56% of the shares offered through this offering. Then, in September 2022, we entered into a loan agreement with Mr. Duggan</w:t>
      </w:r>
    </w:p>
    <w:p>
      <w:pPr>
        <w:sectPr>
          <w:pgSz w:w="11900" w:h="16838" w:orient="portrait"/>
          <w:cols w:equalWidth="0" w:num="1">
            <w:col w:w="11240"/>
          </w:cols>
          <w:pgMar w:left="320" w:top="121" w:right="339" w:bottom="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which he lent us $65 million to fund our product development operations. In April 2023, this loan agreement was terminated when Mr. Duggan and the Company entered into a Securities Purchase Agreement whereby the shares were paid for through the cancellation of both the principal sum of $65.0 million and all accrued and unpaid interest owed at the time under the 2022 loan agreement, which totaled approximately $0.2 million. In June 2024, we completed a rights offering of units (each unit comprising a share of our common stock and two warrants, each to purchase a one-half share of our common stock) to our existing stockholders, which raised $60 million in aggregate. Mr. Duggan purchased approximately 88% of the shares offered through this offering. Mr. Duggan may or may not elect to participate in any number of future fundraisings by the Company, whether similar to those described above or otherwise, and he may choose to invest more than his current pro rata share in any of these fundraisings, or alternatively he may offer to provide additional debt financing as may be needed in order to maintain the Company as a going concern.</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economic instability caused by the armed conflicts in the Middle East and Ukraine and high interest rates, together with other market factors, could have an adverse impact on potential sources of future financing.</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incurred substantial operating losses and have used cash in our operating activities since inception. To fund our business, we may utilize some combination of public or private equity offerings, debt financings, or potential new collaborations in the future. There can be no assurance, however, that any additional financing or any revenue-generating collaboration will be available when needed or that we will be able to obtain financing or enter into a collaboration on terms acceptable to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unaudited condensed consolidated financial statements, which have been prepared in accordance with the rules and regulations of the U.S. Securities and Exchange Commission. The preparation of these condensed consolidated financial statements requires us to make estimates and judgments that affect the reported amounts of assets, liabilities, revenues,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On an ongoing basis, we evaluate our critical accounting policies and estimates. Our critical accounting policies and estimates are described in our Annual Report on Form 10-K for the year ended December 31, 2023.</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stock-based compensation programs include stock options and an employee stock purchase program. We periodically issue stock options to officers, directors, employees, and consultants for their services to the Company.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requisite service period. We have granted stock options with time-based, performance-based, and market-based vesting conditions. In October 2024, our Board approved changes to the vesting conditions of certain outstanding common stock option awards so that the performance-based vesting criteria of those particular awards will be changed to either time-based or market-based vesting criteria.</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stock options with performance-based vesting conditions, we do not recognize compensation expense until it is probable that the performance-based vesting condition will be achieved. The analysis to determine such probability involves estimates and judgements from management. The estimate of expense may be revised periodically based on the probability of achieving the required performance targets.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vesting conditions for stock options with market-based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we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“Recent Accounting Pronouncements” in Note 2 of Notes to Condensed Consolidated Financial Statements of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Geographical Information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operate and manage our business as one reportable and operating segment. Our Chief Operating Decision Maker ("CODM") reviews financial information on an aggregate basis for purposes of allocating resources and evaluating financial performance. All of our long-lived assets are based in the United States.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three-month periods ended September 30, 2024 and 2023</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operations as discussed herein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7,703</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5,952</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13,655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(13,655)</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975</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(12,680)</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(12,680)</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(10,566)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revenues for the three-month periods ended September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$0.2 million to $7.7 million for the three-month period ended September 30, 2024, compared to $7.5 million during the same period in 2023 primarily due to increases of $0.4 million in supplies, $0.3 million in compensation and other employee-related expenses, and $0.1 million in stock-based compensation; partially offset by a decrease of $0.6 million in paid services.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$2.2 million to $6.0 million for the three-month period ended September 30, 2024, compared to $3.8 million during the same period in 2023 primarily due to increases of $1.1 million in stock-based compensation, $0.6 million in compensation and other employee-related expenses, and $0.5 million in paid services and general administrative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income, net, increased by $0.3 million to $1.0 million for the three-month period ended September 30, 2024, compared to $0.7 million during the same period in 2023. Interest income increased by $0.3 million, driven by increased returns on higher cash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nine-month periods ended September 30, 2024 and 2023</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operations as discussed herein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21,674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14,322</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35,996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(35,996)</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1,796</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(34,200)</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(34,200)</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(30,277)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revenues for the nine-month periods ended September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$1.7 million to $21.7 million for the nine-month period ended September 30, 2024, compared to $20.0 million during the same period in 2023 primarily due to increases of $1.3 million in stock-based compensation, $0.9 million in compensation and other employee-related expenses, and $0.3 million in supplies. These increases were partially offset by a decrease of $0.8 million in paid services.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$3.3 million to $14.3 million for the nine-month period ended September 30, 2024, compared to $11.0 million during the same period in 2023 primarily due to increases of $1.7 million in stock-based compensation, $0.8 million in compensation and other employee-related expenses, $0.6 million in paid services, and $0.2 million in facilities and IT cost allocations driven by our shift in focus.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income, net, increased by $1.0 million to $1.8 million for the nine-month period ended September 30, 2024, compared to $0.8 million during the same period in 2023. Interest income decreased by $0.1 million to $1.8 million for the nine-month period ended September 30, 2024, compared to $1.9 million during the same period in 2023. Interest expense decreased by $1.1 million to zero for the nine-month period ended September 30, 2024, compared to $1.1 million during the same period in 2023 driven by the extinguishment of the 2022 Loan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date, we have not generated significant revenues from product sales. Since inception, we have funded our business primarily through the issuance of equity securities and debt. Over the next few years, we intend to invest in research and development to develop additional commercially viable products and to assess the feasibility of potential future products.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9, 2022, we completed the 2022 Rights Offering resulting in the sale of 7,317,072 Units, at a price of $2.05 per Unit, with each Unit consisting of one share of the Company’s common stock, par value $0.001 per share, and one warrant to purchase one share of common stock at $2.05 per share.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Prior to the redemption date, warrants to purchase 7,250,897 shares were exercised, generating approximately $14.9 million of total gross proceeds to the Company. As of September 30, 2023, there were no 2022 Rights Offering Warrants outstanding. Robert W. Duggan, the Company’s majority stockholder and Co-Chairman, purchased approximately 56% of the shares offered through the 2022 Rights Offering.</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September 2022, we entered into the 2022 Loan Agreement with Robert W. Duggan, our majority stockholder and Co-Chairman, in connection with Mr. Duggan lending the principal sum of $65.0 million to the Company. The 2022 Loan Agreement had a maturity date of March 20, 2024. Under the 2022 Loan Agreement, Mr. Duggan provided us, subject to certain conditions, an unsecured term loan facility in an original aggregate principal amount of $65.0 million. The 2022 Loan Agreement bore interest at a rate per annum equal to 5.0%, payable quarterly, commencing on January 1, 2023. On March 17, 2023, the Company and Mr. Duggan amended certain terms of the Loan Agreement. There were no changes to the interest rate, the principal sum repayment date was changed to September 30, 2024. However, on April 30, 2023, we entered into a Securities Purchase Agreement with Mr. Duggan, pursuant to which we agreed to issue and sell to Mr. Duggan 10,022,937 shares of our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No additional amounts are owed to Mr. Duggan under the 2022 Loan Agreement.</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July 3, 2024, we announced the closing of our 2024 Rights Offering. The 2024 Rights Offering resulted in the sale of six million 2024 Units, at a price of $10.00 per 2024 Unit. Each 2024 Unit consisted of one share of our common stock, par value $0.001 per share, and two warrants, each being a warrant to purchase one-half of one share of common stock. The common stock and warrants comprising the 2024 Units separated upon the closing of the 2024 Rights Offering and were issued individually. A total of 5,999,998 shares of common stock and warrants to acquire up to approximately an additional six million shares of common stock were issued in the offering. We received aggregate gross proceeds from the 2024 Rights Offering of $60 million. If exercised, additional gross proceeds of up to $66 million may be received through the exercise of warrants issued in the 2024 Rights Offering. Each warrant will be exercisable for $11.00 per whole share, which equals 110% of the subscription price for the Units. Warrants are exercisable immediately and will expire on the fifth anniversary of the closing of the 2024 Rights Offering. Half of the warrants issued in the rights offering are redeemable by us if our stock trading price exceeds $16.50 for twenty consecutive trading days and the other half of the warrants issued in the rights offering are redeemable by us if our stock trading price exceeds $22.00 for twenty consecutive trading days. As of September 30, 2024, we have received $1.5 million in gross proceeds from exercises of the 2024 Rights Offering warrants.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cash flows as discussed herein are presented below:</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83"/>
        </w:trPr>
        <w:tc>
          <w:tcPr>
            <w:tcW w:w="80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(27,199)</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(26,259)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(10,753)</w:t>
            </w:r>
          </w:p>
        </w:tc>
      </w:tr>
      <w:tr>
        <w:trPr>
          <w:trHeight w:val="20"/>
        </w:trPr>
        <w:tc>
          <w:tcPr>
            <w:tcW w:w="1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date, we have generated limited revenue and used cash in our operating activities. As a result, we have incurred significant operating losses in each year since our inception and we may continue to incur additional losses for the next several years. As of September 30, 2024, we had cash and cash equivalents of $79.0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We can give no assurance, at this time, that additional financing or a collaboration will be available when needed on terms acceptable to us, however.</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w:t>
      </w:r>
    </w:p>
    <w:p>
      <w:pPr>
        <w:sectPr>
          <w:pgSz w:w="11900" w:h="16878" w:orient="portrait"/>
          <w:cols w:equalWidth="0" w:num="1">
            <w:col w:w="11240"/>
          </w:cols>
          <w:pgMar w:left="320" w:top="121" w:right="339" w:bottom="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instability in economic activity caused by the armed conflicts in the Middle East and Ukraine and high interest rates, together with other market factors, could have an adverse impact on potential sources of future financing.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used cash in the amount of $27.2 million in operating activities. The difference between cash used in operating activities and net loss consisted primarily of stock-based compensation, depreciation and amortization, as well as a decreases in accounts payable and an increase in prepaids and other current assets.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we used cash in the amount of $26.3 million in operating activities. The difference between cash used in operating activities and net loss consisted primarily of stock-based compensation, depreciation and amortization, as well as increases in accrued expenses and right-of-use assets, offset by accrued interest on related party note payable and lease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investing activities consist primarily of investment purchases, sales and maturities and capital expenditures.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$0.1 million of cash used in investing activities was driven by the purchase of property and equipment.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$0.1 million of cash used in investing activities was driven by the purchase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cash provided by financing activities was $61.9 million, primarily due to $59.6 million of net proceeds from the 2024 Rights Offering, $1.5 million of proceeds from the exercise of warrants, $0.5 million of proceeds from issuance of common stock under employee stock purchase plan and $0.5 million of proceeds from the exercise of stock options, offset by $0.2 million of deferred issuance costs in relation to a future at-the-market equity offering.</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cash provided by financing activities was $15.6 million, primarily due to $14.8 million of proceeds from the exercise of warrants, $0.4 million of proceeds from issuance of common stock under employee stock purchase plan and $0.4 million of proceeds from the exercise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to the contractual obligations disclosed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September 30, 2024, we did not have any transactions, obligations or relationships that constitute off-balance sheet arrangements.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Events and Uncertainties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 /or other alternatives.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or tumors and nodules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ectPr>
          <w:pgSz w:w="11900" w:h="16838" w:orient="portrait"/>
          <w:cols w:equalWidth="0" w:num="1">
            <w:col w:w="11240"/>
          </w:cols>
          <w:pgMar w:left="320" w:top="121" w:right="339" w:bottom="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2023.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who is our principal executive officer and principal financial officer,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has concluded that, as of September 30, 2024,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Rule 13a-15(d) and 15d-15(d) of the Exchange Act, as amended, that occurred during the quarter ended September 30, 2024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the Company is not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not adversely affect our consolidated position, results of operation, or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following the summary.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obtain additional funding to finance our operations and complete the development and any commercialization of our products. If we do not receive substantial capital when needed, we may be forced to restrict our operations or delay, reduce or eliminate our product development programs.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in which we will incur significant financial losses as an organization.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development-stage company with very limited experience commercializing products. We have incurred significant losses since our inception. We anticipate that we will continue to incur losses for at least the next several years and may never generate profits from operations or maintain profitability.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which may result in further dilution to our investors, or incur additional indebtedness. The servicing of future debt may impair our liquidity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Development and Commercialization of our Medical Products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 that our clinical product candidates, including our product candidates for the treatment of atrial fibrillation ("AF"), our CellFX nsPFA Cardiac Clamp and our CellFX nsPFA 360° Cardiac Catheter and our soft tissue ablation product specifically indicated for treatment of benign thyroid nodules, will obtain regulatory approval or that the results of clinical studies will be favorable.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development and commercialization is a complex, time-consuming and expensive process. Our industry is fraught with risk and a high rate of failure.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limited sales and marketing experience and no experience commercializing our CellFX nsPFA Percutaneous Electrode System or either of our cardiac products currently under development. We can give no assurances that our devices will be adopted by surgeons or other physicians to treat any medical condition.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timelines may affect the scope and timeline of our trials and the potential market for our product candidates, including the possibility of significant delays to any product launch.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any number of possible unforeseen events in connection with our clinical trials, potential marketing approval or commercialization of our product candidates could be delayed or prevented.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our product candidates fail to demonstrate safety and efficacy to the satisfaction of applicable regulatory bodies, such as the U.S. Food and Drug Administration or the European Medicines Agency, we may incur additional costs or experience delays in completing, or ultimately be unable to complete, the development and commercialization of our medical devices.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timelines may affect the scope and timeline of our trials and the potential market for our product candidates.</w:t>
      </w:r>
    </w:p>
    <w:p>
      <w:pPr>
        <w:sectPr>
          <w:pgSz w:w="11900" w:h="16838" w:orient="portrait"/>
          <w:cols w:equalWidth="0" w:num="1">
            <w:col w:w="11240"/>
          </w:cols>
          <w:pgMar w:left="320" w:top="121" w:right="339" w:bottom="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 and Market</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products before or more successfully than we do.</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against well-established incumbent technologies offering products in cardiology, oncology, and dermatology, as well as in minimally invasive procedures. All of these companies currently have greater financial, technical, research, and/or other resources than we do and have larger and more established manufacturing capabilities and marketing, sales, and support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business development opportunities to expand or enhance our pipeline of potential products, including through potential acquisitions of and/or collaborations with other entities or the acquisition of products unrelated to NPS technology, which may not achieve intended results or could increase the number of our outstanding shares or amount of outstanding debt or result in a change of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Tax, Regulatory, and Compliance Risks</w:t>
      </w:r>
    </w:p>
    <w:p>
      <w:pPr>
        <w:spacing w:after="0" w:line="22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is subject to substantial regulatory and legislative uncertainty, including as to pricing, reimbursement practices or other healthcare initiatives which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costly legal claims, in particular related to product liability and intellectual property infringement.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U.S. and foreign anti-corruption, anti-money laundering, export control, sanctions, and other trade laws and regulations. We can face serious consequences for violations.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 Cybersecurity and Data Privacy</w:t>
      </w:r>
    </w:p>
    <w:p>
      <w:pPr>
        <w:spacing w:after="0" w:line="22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patents to protect our technology. We may be unable to protect our intellectual property rights and we may be liable for infringing the intellectual property rights of others.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stringent and changing obligations related to data privacy and security could lead to regulatory investigations and actions, litigation, fines and penalties, disruptions to our business operations, reputational harm, loss of revenue and profits, and other adverse business impacts.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cybersecurity and data privacy threats and incidents and we are subject to restrictions and changes in laws and regulations governing our data privacy and data protection, any of which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Corporate Governance and Employee Relations</w:t>
      </w:r>
    </w:p>
    <w:p>
      <w:pPr>
        <w:spacing w:after="0" w:line="229" w:lineRule="exact"/>
        <w:rPr>
          <w:sz w:val="20"/>
          <w:szCs w:val="20"/>
          <w:color w:val="auto"/>
        </w:rPr>
      </w:pPr>
    </w:p>
    <w:p>
      <w:pPr>
        <w:ind w:left="660" w:right="1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Chief Executive Officer, our Chief Technology Officer, our Chief Commercial Officer, our Chief Strategy Officer, and other key executives and to attract, retain and motivate qualified personnel.</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Co-Chairman owns more than a majority of the voting power of the outstanding shares of our common stock and, as a result, investors may have limited ability to affect either the corporate governance of the Company or the taking of certain major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Owning Our Common Stock</w:t>
      </w:r>
    </w:p>
    <w:p>
      <w:pPr>
        <w:spacing w:after="0" w:line="229" w:lineRule="exact"/>
        <w:rPr>
          <w:sz w:val="20"/>
          <w:szCs w:val="20"/>
          <w:color w:val="auto"/>
        </w:rPr>
      </w:pPr>
    </w:p>
    <w:p>
      <w:pPr>
        <w:ind w:left="660" w:right="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shares of common stock in the public market, or the perception that these sales could occur, could cause the price of the shares to decline significantly, even if our business is doing well.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shares of common stock may be volatile and fluctuate substantially, which could result in substantial losses for our stockholders.</w:t>
      </w:r>
    </w:p>
    <w:p>
      <w:pPr>
        <w:spacing w:after="0" w:line="225"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of our outstanding shares are owned by our Co-Chairman, Robert Duggan, and his affiliates, which can reduce liquidity of our stock. Historically, our trading volume on Nasdaq has been 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Industry and Financial Condition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Because we have a limited operating history and no significant revenue stream, it is difficult to evaluate the future of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 bioelectric medicine technology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significant revenue, and we may never become profitable.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Investment in medical technology is highly speculative because it entails substantial upfront capital expenditures and significant risk that any potential product will fail to demonstrate adequate efficacy or clinical utility. Our past successes in dermatology may not translate into similar results in cardiology or elsewhere.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can give no assurance that our internal and external sources of liquidity will be sufficient for our cash requirements.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experienced operating losses, and we expect to continue to incur operating losses for the next several years as we implement our business plan. Currently, we have no significant revenue from operations, and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will need to raise additional capital in order to continue to execute our business plan. If we are unable to raise sufficient additional funds, we may need to scale back our future operations. Also, the ongoing armed conflicts in the Middle East, Ukraine, and elsewhere, which have negatively impacted the global macroeconomic environment and capital markets, may make it more difficult for us to raise additional funds.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w:t>
      </w:r>
    </w:p>
    <w:p>
      <w:pPr>
        <w:sectPr>
          <w:pgSz w:w="11900" w:h="16838" w:orient="portrait"/>
          <w:cols w:equalWidth="0" w:num="1">
            <w:col w:w="11240"/>
          </w:cols>
          <w:pgMar w:left="320" w:top="121" w:right="339" w:bottom="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consequence of our corporate realignment, we experienced employee turnover in 2022 higher than industry norms, and in February 2023 we continued to reduce headcount by eliminating another seven positions at the Company. If we decide to further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and future profitability are entirely dependent upon one family of products, the CellFX System, and one platform technology, Nano-pulse Stimulation.</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to date has been generated entirely from the CellFX System, which consists of a console, connectors and end-effectors, and these products and all our potential products under development are based upon the same patented platform technology, Nano-pulse Stimulation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market the CellFX nsPFA Percutaneous Electrode System primarily to Otolaryngologists, Endocrine Surgeons, and Interventional Radiologists (“surgeons”) who may be slow or fail to adopt our products or who may use our products in only a small percentage of their eligible patients for a variety of reasons, including but not limited to:</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reimbursement or cost to the patient;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conviction regarding evidence supporting cost benefits or cost effectiveness of our products over existing alternatives;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clinical data showing longer-term patient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introduction of new technologies competitive to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procedures.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Moreover, our products, including our platform NPS technology, could be rendered obsolete or economically impractical by numerous factors, many of which are beyond our control, including but not limited to:</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of new competitors into our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of alternative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relationships with suppliers, group purchasing organizations, or end-user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interruptions;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product market acceptance;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regulatory approvals or the imposition of new requirements to maintain such approvals or to receive new approvals;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safety alerts.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could cause our stock price to decline.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such guidance or that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62"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relating to our product and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or clearances for our product candidates from regulatory authorities internationally or in the United States, such as the U.S. FDA;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products, as well as building out our supply chain, which may vary depending on the quantity of production and which will vary significantly depending upon the terms of our agreements with manufacturers;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and any product candidates, if approved or cleared, which may vary significantly over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patent, employment, securities class action, stockholder derivative, general commercial, and other lawsuits;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previously publicly stated revenue or earnings guidance.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professionals, customers, and third-party payers;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with greater efficacy or better safety profiles;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distribution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higher discounts, or incentives to gain a competitive advantage;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patents and regulatory approvals for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conducting new product research and development, manufacturing therapies, conducting clinical trials, obtaining regulatory approval for products, and marketing approved products;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AF is the use of thermal ablation modalities, primarily the use of radiofrequency ablation but has recently seen increased use of a different type of PFA called micro-PFA.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for our sales, marketing, manufacturing, and/or distribution activities, and these third parties may not perform satisfactorily.</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including our Chief Executive Officer, Burke Barrett, our Chief Commercial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83"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very limited experience selling the CellFX System.</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December 31, 2023, we had no U.S. or international sales force. We have only just recently begun to hire employees to help market and sell our CellFX nsPFA Percutaneous Electrode System. We therefore have limited experience marketing and selling the CellFX System and our revenues and cash flows have been volatile and difficult to predict.</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intend to hire and train a very limited number of sales representatives and clinical specialists with backgrounds and experience in the relevant markets, especially those familiar with energy-based therapies and who have existing relationships with otolaryngologists, endocrine surgeons, interventional radiologists, and cardiothoracic surgeons.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commercialization efforts depend on the efforts of our management and sales team, our third-party manufacturers and suppliers, physicians and medical clinics, and general economic conditions, among other factors, including the following: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 the United States and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educating surgeons and other physicians and patients about the benefits, administration and use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physicians and patients of the safety and 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therapies;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compliance with all regulatory requirements applicable to our products.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few in number, we expect our direct sales representatives to develop long-lasting relationships with the surgeons they serve. Our future success will depend largely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technology in life sciences could make the products we are developing obsolete.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ectPr>
          <w:pgSz w:w="11900" w:h="16838" w:orient="portrait"/>
          <w:cols w:equalWidth="0" w:num="1">
            <w:col w:w="11240"/>
          </w:cols>
          <w:pgMar w:left="320" w:top="121" w:right="339" w:bottom="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harmed.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From time to time, we have experienced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We may be unable to maintain the quality of, or delivery timelines of, our products or satisfy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educate and train surgeons and their staff on the proper use of the CellFX System; if our customers do not adopt our technology into their medical practices, or adopt our technology slower than expected, our business could suffer.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most surgeons may have adequate knowledge on how to use our novel CellFX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 and our business could suffer.</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encounter manufacturing problems or delays that could result in lost revenue or slower than anticipated product development. Additionally, we currently rely on third-party suppliers for critical components needed to manufacture the CellFX System and related applicators. Any problems experienced by these suppliers could result in a delay or interruption of their supply to us and, as a result, we may face delays in the development and commercialization of products.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Any failure of these suppliers to perform satisfactorily could adversely impact our business and results of operations and we may experience delays in manufacturing of our devices while finding another acceptable supplier.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provisions might apply to the CellFX System or to any of our proposed devices and products, as they are still largely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Product-Related Risks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CellFX System and any future product candidates may cause serious adverse side effects or have other properties that could delay or prevent their regulatory approval, limit their commercial desirability or result in significant negative consequences.</w:t>
      </w:r>
    </w:p>
    <w:p>
      <w:pPr>
        <w:spacing w:after="0" w:line="15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risk of failure of clinical development is high. For example, the vast majority of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data has been a result of animal testing outside of cardiac animal models, and we have only completed a limited number of feasibility studies in humans. Undesirable side effects caused by the CellFX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8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caused by the CellFX System, a number of potentially significant negative consequences could result,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such product and suspend the marketing of such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and/or narrow the indication of use for the product which could diminish the usage or otherwise limit the commercial success of such product;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such product;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restrict distribution of our product and impose burdensome implementation requirements on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could suffer.</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CellFX System or of any future particular planned product, if approved.</w:t>
      </w:r>
    </w:p>
    <w:p>
      <w:pPr>
        <w:spacing w:after="0" w:line="15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preclinical experience using NPS technology in animal models of cardiac disease and very limited clinical experience treating AF with our CellFX nsPFA 360° Cardiac Catheter; our past successes in dermatology may not translate into similar results in cardiology. In particular, the safety and efficacy data we have generated using NPS technology and the CellFX System to treat benign lesions in the skin and the preliminary feasibility results we have seen in benign thyroid nodules might not be replicated in other areas of medicine, including the use of CellFX nsPFA technology and the CellFX System to treat AF or other cardiac disease.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develop marketable products to treat AF, tumors and nodules through our research and development efforts, and if we fail to do so we may be unable to compete effectively or we may decide to scale back or eliminate some or all of our activities or otherwise curtail, suspend or discontinue our operations entirely.</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Moreover, if our technology cannot be used to successfully treat AF,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and our first-in-human cardiac catheter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necessary regulatory clearance for our products, or if clearances or approvals for future devices and indications are delayed or not issued, the commercial prospects for our CellFX System and other NPS technologies would be harmed.</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design, development and manufacture;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and storage;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marketing, promotion and advertising, sales and distribution;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and serious injuries and recalls and correction and removals.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repair, replace, refund, or recall our marketed devices, or government seizure of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devices, new intended uses or modifications to existing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approvals that have already been granted;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any of these events were to occur, our business and financial condition would be harmed.</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mechanism of action of NPS technology platform has not been fully determined or validated.</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exact mechanism(s) of action(s) of our NPS technology platform, including nano-PFA,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Issues with our firmware and software may negatively affect the function of our devices.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ectPr>
          <w:pgSz w:w="11900" w:h="16838" w:orient="portrait"/>
          <w:cols w:equalWidth="0" w:num="1">
            <w:col w:w="11240"/>
          </w:cols>
          <w:pgMar w:left="320" w:top="121" w:right="339" w:bottom="393"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Cybersecurity, Data Privacy, &amp; Litigation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8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spacing w:after="0" w:line="176"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on our intellectual property rights;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harm our business.</w:t>
      </w:r>
    </w:p>
    <w:p>
      <w:pPr>
        <w:sectPr>
          <w:pgSz w:w="11900" w:h="16838" w:orient="portrait"/>
          <w:cols w:equalWidth="0" w:num="1">
            <w:col w:w="11240"/>
          </w:cols>
          <w:pgMar w:left="320" w:top="121" w:right="339" w:bottom="609"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8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has caused us to modify our information technology practices including that our employees may work remotely which increases the risk of data breaches. Additionally, the prevalent use of mobile devices that access our sensitive data increases the risk of data breaches.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w:t>
      </w:r>
    </w:p>
    <w:p>
      <w:pPr>
        <w:sectPr>
          <w:pgSz w:w="11900" w:h="16838" w:orient="portrait"/>
          <w:cols w:equalWidth="0" w:num="1">
            <w:col w:w="11240"/>
          </w:cols>
          <w:pgMar w:left="320" w:top="121" w:right="339" w:bottom="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however, this insurance may not be sufficient to cover the financial, legal, business or reputational losses that may result from an interruption or breach of our systems.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our product or any future products that we may develop.</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or any planned products that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studies or cancellation of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distraction to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or enforcement 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future products that we may develop.</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8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indeterminate amount of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rigorous preclinical and clinical testing, and possibly post-market surveillance;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design changes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indicated uses of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never being granted the regulatory approval or clearance we seek.</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experience any of these occurrences, our operations may suffer and we might experience harm to our competitive standing, which could adversely affect our financial condition.</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Changes in healthcare policy could increase our costs and subject us to additional regulatory requirements that may interrupt commercialization of our current and future solutions. Changes in healthcare policy could increase our costs, decrease our revenues, and impact sales of and reimbursement for our current and future solutions. The Affordable Care Act substantially changes the way healthcare is financed by both governmental and private insurers, and significantly impacts our industry. The Affordance Care Act contains a number of provisions that impact our business and operations, some of which in ways we cannot currently predict, including those governing enrollments in federal healthcare programs and reimbursement changes.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solutions or the amounts of reimbursement available for our current and future solutions from governmental agencies or third-party payors. While in general it is too early to predict specifically what effect the Affordable Care Act and its implementation or any future healthcare reform legislation or policies will have on our business, current and future healthcare reform legislation and policies could have a material adverse effect on our business and financial condition.</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All our product development depends upon maintaining strong working relationships with physicians.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ectPr>
          <w:pgSz w:w="11900" w:h="16838" w:orient="portrait"/>
          <w:cols w:equalWidth="0" w:num="1">
            <w:col w:w="11240"/>
          </w:cols>
          <w:pgMar w:left="320" w:top="121" w:right="339" w:bottom="609"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87" w:lineRule="exact"/>
        <w:rPr>
          <w:sz w:val="20"/>
          <w:szCs w:val="20"/>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CCPA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and could cause us to incur substantial costs and expenses in an effort to comply;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Also, any material changes to any of the laws or regulations applicable to our business could harm our business, financial condition and results of operations.</w:t>
      </w:r>
    </w:p>
    <w:p>
      <w:pPr>
        <w:sectPr>
          <w:pgSz w:w="11900" w:h="16838" w:orient="portrait"/>
          <w:cols w:equalWidth="0" w:num="1">
            <w:col w:w="11240"/>
          </w:cols>
          <w:pgMar w:left="320" w:top="121" w:right="33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a technology or device to be reasonably safe or effective for any intended use or indication;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interpret data from preclinical and clinical testing differently than we 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our manufacturing facility or processes do not comply with quality system regulations;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conclude that our products do not meet quality standards for durability, long-term reliability, biocompatibility, electromagnetic compatibility, or electrical safety;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their approval or clearance policies or adopt new regulations in a manner that is adverse to us.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ongoing requirements and inspections that could lead to the restriction, suspension or revocation of our clearance.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ectPr>
          <w:pgSz w:w="11900" w:h="16838" w:orient="portrait"/>
          <w:cols w:equalWidth="0" w:num="1">
            <w:col w:w="11240"/>
          </w:cols>
          <w:pgMar w:left="320" w:top="121" w:right="339" w:bottom="111" w:gutter="0" w:footer="0" w:header="0"/>
        </w:sectPr>
      </w:pPr>
    </w:p>
    <w:p>
      <w:pPr>
        <w:spacing w:after="0" w:line="185"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any failure to comply with applicable laws could subject us to significant liabilities and harm our business.</w:t>
      </w:r>
    </w:p>
    <w:p>
      <w:pPr>
        <w:sectPr>
          <w:pgSz w:w="11900" w:h="16838" w:orient="portrait"/>
          <w:cols w:equalWidth="0" w:num="1">
            <w:col w:w="11240"/>
          </w:cols>
          <w:pgMar w:left="320" w:top="121" w:right="339" w:bottom="111" w:gutter="0" w:footer="0" w:header="0"/>
          <w:type w:val="continuous"/>
        </w:sectPr>
      </w:pPr>
    </w:p>
    <w:bookmarkStart w:id="53" w:name="page54"/>
    <w:bookmarkEnd w:id="53"/>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actual or perceived violations of applicable anti-corruption law or our own internal policies designed to ensure ethical business practices.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5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planned products or those of our competitors;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regulatory bodies, such as the FDA, that affect our business or have the effect of delaying or rejecting approval or clearance of our planned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customers, partners or suppliers relating directly or indirectly to our products, services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CellFX System or to our planned end-effectors;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achievement of significant milestones;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or our ability to obtain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guidance and ratings issued by securities or industry analysts;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market, including the negative impact of armed conflicts, health epidemics and climate change on the global economy and markets;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ectPr>
          <w:pgSz w:w="11900" w:h="16838" w:orient="portrait"/>
          <w:cols w:equalWidth="0" w:num="1">
            <w:col w:w="11240"/>
          </w:cols>
          <w:pgMar w:left="320" w:top="121" w:right="339" w:bottom="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Co-Chairman’s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Sales or purchases of shares of our common stock may adversely affect the market for our common stock.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Co-Chairman,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8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exist for our common stock and as a result it may be difficult for you to sell your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majority percentage of our outstanding stock is held by Robert W. Duggan, Co-Chairman of our Board, who beneficially owns approximately 73% of our common stock outstanding as of the date of this Quarterly Report. As a result, Mr. Duggan has control over corporate actions requiring stockholder approval, including the following actions:</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7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Robert W. Duggan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controlling ownership position may impact our stock price and may deter or prevent efforts by others to acquire us, which could prevent our stockholders from realizing a control premium.</w:t>
      </w:r>
    </w:p>
    <w:p>
      <w:pPr>
        <w:sectPr>
          <w:pgSz w:w="11900" w:h="16838" w:orient="portrait"/>
          <w:cols w:equalWidth="0" w:num="1">
            <w:col w:w="11240"/>
          </w:cols>
          <w:pgMar w:left="320" w:top="121" w:right="339" w:bottom="0" w:gutter="0" w:footer="0" w:header="0"/>
        </w:sectPr>
      </w:pPr>
    </w:p>
    <w:bookmarkStart w:id="57" w:name="page58"/>
    <w:bookmarkEnd w:id="57"/>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Robert W. Duggan is our Co-Chairman, and he beneficially owns approximately 73%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Co-Chairman,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we cannot be certain if the applicable reduced disclosure requirements will make our common stock less attractive to investors.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83"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plans to pay dividends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80"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holders of at least 66 2/3% of the voting power of all the then outstanding shares of our voting stock, voting together as a single class, to amend provisions of our certificate of incorporation or our bylaws;</w:t>
      </w:r>
    </w:p>
    <w:p>
      <w:pPr>
        <w:sectPr>
          <w:pgSz w:w="11900" w:h="16838" w:orient="portrait"/>
          <w:cols w:equalWidth="0" w:num="1">
            <w:col w:w="11240"/>
          </w:cols>
          <w:pgMar w:left="320" w:top="121" w:right="339" w:bottom="0" w:gutter="0" w:footer="0" w:header="0"/>
        </w:sectPr>
      </w:pPr>
    </w:p>
    <w:bookmarkStart w:id="59" w:name="page60"/>
    <w:bookmarkEnd w:id="59"/>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board of directors the ability to amend our bylaws by majority vote;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the negative impact of armed conflicts, health epidemics and global warming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90"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184" w:lineRule="exact"/>
        <w:rPr>
          <w:sz w:val="20"/>
          <w:szCs w:val="20"/>
          <w:color w:val="auto"/>
        </w:rPr>
      </w:pPr>
    </w:p>
    <w:p>
      <w:pPr>
        <w:ind w:right="4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interpretations, estimates or judgments we use to prepare our financial statements prove to be incorrect, investors and others may lose confidence in our financial data, which could cause our stock price to decline.</w:t>
      </w:r>
    </w:p>
    <w:p>
      <w:pPr>
        <w:spacing w:after="0" w:line="159"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We, like all publicly traded companies,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liabilities at the date of the financial statements, as well as the reported expenses incurred during the reporting periods. We base our interpretations, estimates and judgments on our historical experience, appropriate accounting guidance and on various other factors that we believe are reasonable under the circumstances, the results of which form the basis for the preparation of our financial statements. However, accounting guidance can sometimes be conflicting, especially with respect to accounting for complex corporate transactions, such as accounting for the issuance of warrants as equity. Warrants classified as liabilities result in non-cash fair value measurement adjustments that are recorded in other income (expense). Moreover, generally accepted accounting principles presentation is subject to interpretation by the SEC, the Financial Accounting Standards Board (“FASB”) and various other bodies formed to interpret and create appropriate accounting principles and guidance. If one of these bodies disagrees with our accounting recognition, measurement or disclosure or any of our accounting interpretations, estimates or assumptions, we may have to retroactively revise our previously reported results and our investors could lose confidence in the accuracy and completeness of our financial reports, which could cause our stock price to decline.</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w:t>
      </w:r>
    </w:p>
    <w:p>
      <w:pPr>
        <w:sectPr>
          <w:pgSz w:w="11900" w:h="16838" w:orient="portrait"/>
          <w:cols w:equalWidth="0" w:num="1">
            <w:col w:w="11240"/>
          </w:cols>
          <w:pgMar w:left="320" w:top="121" w:right="339" w:bottom="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three-month period ended September 30, 2024, we completed no unregistered sale of our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September 30, 2024, none of our directors or officers (as defined in Rule 16a-1(f) under the Exchange Act) adopted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2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9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pursuant to Section 906 of the Sarbanes-Oxley Act of 2002 (18 U.S.C. Section 1350).</w:t>
            </w:r>
          </w:p>
        </w:tc>
        <w:tc>
          <w:tcPr>
            <w:tcW w:w="520" w:type="dxa"/>
            <w:vAlign w:val="bottom"/>
          </w:tcPr>
          <w:p>
            <w:pPr>
              <w:spacing w:after="0"/>
              <w:rPr>
                <w:sz w:val="17"/>
                <w:szCs w:val="17"/>
                <w:color w:val="auto"/>
              </w:rPr>
            </w:pPr>
          </w:p>
        </w:tc>
      </w:tr>
      <w:tr>
        <w:trPr>
          <w:trHeight w:val="21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jc w:val="both"/>
        <w:ind w:firstLine="8"/>
        <w:spacing w:after="0" w:line="261" w:lineRule="auto"/>
        <w:tabs>
          <w:tab w:leader="none" w:pos="1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06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70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Burke T. Barrett</w:t>
            </w:r>
          </w:p>
        </w:tc>
      </w:tr>
      <w:tr>
        <w:trPr>
          <w:trHeight w:val="187"/>
        </w:trPr>
        <w:tc>
          <w:tcPr>
            <w:tcW w:w="36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Burke T. Barrett</w:t>
            </w:r>
          </w:p>
        </w:tc>
      </w:tr>
      <w:tr>
        <w:trPr>
          <w:trHeight w:val="218"/>
        </w:trPr>
        <w:tc>
          <w:tcPr>
            <w:tcW w:w="3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r>
      <w:tr>
        <w:trPr>
          <w:trHeight w:val="236"/>
        </w:trPr>
        <w:tc>
          <w:tcPr>
            <w:tcW w:w="36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and Principal Financial Officer)</w:t>
            </w:r>
          </w:p>
        </w:tc>
      </w:tr>
      <w:tr>
        <w:trPr>
          <w:trHeight w:val="432"/>
        </w:trPr>
        <w:tc>
          <w:tcPr>
            <w:tcW w:w="3620" w:type="dxa"/>
            <w:vAlign w:val="bottom"/>
          </w:tcPr>
          <w:p>
            <w:pPr>
              <w:spacing w:after="0"/>
              <w:rPr>
                <w:sz w:val="24"/>
                <w:szCs w:val="24"/>
                <w:color w:val="auto"/>
              </w:rPr>
            </w:pPr>
          </w:p>
        </w:tc>
        <w:tc>
          <w:tcPr>
            <w:tcW w:w="2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49</w:t>
            </w:r>
          </w:p>
        </w:tc>
        <w:tc>
          <w:tcPr>
            <w:tcW w:w="41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Burke Barrett,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Pulse Biosciences,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Burke T. Barrett</w:t>
            </w:r>
          </w:p>
        </w:tc>
      </w:tr>
      <w:tr>
        <w:trPr>
          <w:trHeight w:val="191"/>
        </w:trPr>
        <w:tc>
          <w:tcPr>
            <w:tcW w:w="3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Burke T. Barrett</w:t>
            </w:r>
          </w:p>
        </w:tc>
      </w:tr>
      <w:tr>
        <w:trPr>
          <w:trHeight w:val="216"/>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tc>
      </w:tr>
    </w:tbl>
    <w:p>
      <w:pPr>
        <w:sectPr>
          <w:pgSz w:w="11900" w:h="16838" w:orient="portrait"/>
          <w:cols w:equalWidth="0" w:num="1">
            <w:col w:w="11240"/>
          </w:cols>
          <w:pgMar w:left="320" w:top="11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Pulse Biosciences, Inc. (the “Company”) on Form 10-Q for the period ended September 30, 2024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840" w:hanging="382"/>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60" w:hanging="50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Burke T. Barrett</w:t>
            </w:r>
          </w:p>
        </w:tc>
      </w:tr>
      <w:tr>
        <w:trPr>
          <w:trHeight w:val="191"/>
        </w:trPr>
        <w:tc>
          <w:tcPr>
            <w:tcW w:w="604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Burke T. Barrett</w:t>
            </w:r>
          </w:p>
        </w:tc>
      </w:tr>
      <w:tr>
        <w:trPr>
          <w:trHeight w:val="216"/>
        </w:trPr>
        <w:tc>
          <w:tcPr>
            <w:tcW w:w="60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0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4"/>
    </w:lvl>
  </w:abstractNum>
  <w:abstractNum w:abstractNumId="3">
    <w:nsid w:val="431BD7B7"/>
    <w:multiLevelType w:val="hybridMultilevel"/>
    <w:lvl w:ilvl="0">
      <w:lvlJc w:val="left"/>
      <w:lvlText w:val="(%1)"/>
      <w:numFmt w:val="lowerRoman"/>
      <w:start w:val="2"/>
    </w:lvl>
  </w:abstractNum>
  <w:abstractNum w:abstractNumId="4">
    <w:nsid w:val="3F2DBA31"/>
    <w:multiLevelType w:val="hybridMultilevel"/>
    <w:lvl w:ilvl="0">
      <w:lvlJc w:val="left"/>
      <w:lvlText w:val="%1."/>
      <w:numFmt w:val="decimal"/>
      <w:start w:val="7"/>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2024-10-30T15:22:49Z</dcterms:created>
  <dcterms:modified xsi:type="dcterms:W3CDTF">2024-10-30T15:22:49Z</dcterms:modified>
</cp:coreProperties>
</file>