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825500</wp:posOffset>
            </wp:positionH>
            <wp:positionV relativeFrom="page">
              <wp:posOffset>268605</wp:posOffset>
            </wp:positionV>
            <wp:extent cx="589788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97880" cy="26035"/>
                    </a:xfrm>
                    <a:prstGeom prst="rect">
                      <a:avLst/>
                    </a:prstGeom>
                    <a:noFill/>
                  </pic:spPr>
                </pic:pic>
              </a:graphicData>
            </a:graphic>
          </wp:anchor>
        </w:drawing>
        <w:t>UNITED STATES</w:t>
      </w:r>
    </w:p>
    <w:p>
      <w:pPr>
        <w:jc w:val="center"/>
        <w:ind w:right="-3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line="200" w:lineRule="auto"/>
        <w:rPr>
          <w:sz w:val="20"/>
          <w:szCs w:val="20"/>
          <w:color w:val="auto"/>
        </w:rPr>
      </w:pPr>
      <w:r>
        <w:rPr>
          <w:rFonts w:ascii="Arial" w:cs="Arial" w:eastAsia="Arial" w:hAnsi="Arial"/>
          <w:sz w:val="20"/>
          <w:szCs w:val="20"/>
          <w:b w:val="1"/>
          <w:bCs w:val="1"/>
          <w:color w:val="auto"/>
        </w:rPr>
        <w:t>Washington, D.C. 20549</w:t>
      </w:r>
    </w:p>
    <w:p>
      <w:pPr>
        <w:ind w:left="30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ind w:left="30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20" w:right="20" w:hanging="420"/>
        <w:spacing w:after="0" w:line="224" w:lineRule="auto"/>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-252095</wp:posOffset>
            </wp:positionV>
            <wp:extent cx="95250" cy="96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420" w:hanging="420"/>
        <w:spacing w:after="0" w:line="224" w:lineRule="auto"/>
        <w:tabs>
          <w:tab w:leader="none" w:pos="4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-252095</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54" w:lineRule="exact"/>
        <w:rPr>
          <w:sz w:val="24"/>
          <w:szCs w:val="24"/>
          <w:color w:val="auto"/>
        </w:rPr>
      </w:pPr>
    </w:p>
    <w:p>
      <w:pPr>
        <w:ind w:left="3120"/>
        <w:spacing w:after="0"/>
        <w:tabs>
          <w:tab w:leader="none" w:pos="6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001-34899</w:t>
      </w:r>
    </w:p>
    <w:p>
      <w:pPr>
        <w:ind w:left="30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3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2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Delaware</w:t>
            </w:r>
          </w:p>
        </w:tc>
        <w:tc>
          <w:tcPr>
            <w:tcW w:w="3700" w:type="dxa"/>
            <w:vAlign w:val="bottom"/>
          </w:tcPr>
          <w:p>
            <w:pPr>
              <w:jc w:val="right"/>
              <w:ind w:right="15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29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2"/>
              </w:rPr>
              <w:t>(State or other jurisdiction of</w:t>
            </w:r>
          </w:p>
        </w:tc>
        <w:tc>
          <w:tcPr>
            <w:tcW w:w="3700" w:type="dxa"/>
            <w:vAlign w:val="bottom"/>
          </w:tcPr>
          <w:p>
            <w:pPr>
              <w:jc w:val="center"/>
              <w:ind w:left="2359"/>
              <w:spacing w:after="0" w:line="162"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2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incorporation or organization)</w:t>
            </w:r>
          </w:p>
        </w:tc>
        <w:tc>
          <w:tcPr>
            <w:tcW w:w="3700" w:type="dxa"/>
            <w:vAlign w:val="bottom"/>
          </w:tcPr>
          <w:p>
            <w:pPr>
              <w:jc w:val="center"/>
              <w:ind w:left="2359"/>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89"/>
        </w:trPr>
        <w:tc>
          <w:tcPr>
            <w:tcW w:w="2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3957 Point Eden Way</w:t>
            </w:r>
          </w:p>
        </w:tc>
        <w:tc>
          <w:tcPr>
            <w:tcW w:w="37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29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Hayward, CA</w:t>
            </w: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(Address of principal executive offices)</w:t>
            </w:r>
          </w:p>
        </w:tc>
        <w:tc>
          <w:tcPr>
            <w:tcW w:w="3700" w:type="dxa"/>
            <w:vAlign w:val="bottom"/>
          </w:tcPr>
          <w:p>
            <w:pPr>
              <w:jc w:val="center"/>
              <w:ind w:left="2359"/>
              <w:spacing w:after="0" w:line="162" w:lineRule="exact"/>
              <w:rPr>
                <w:sz w:val="20"/>
                <w:szCs w:val="20"/>
                <w:color w:val="auto"/>
              </w:rPr>
            </w:pPr>
            <w:r>
              <w:rPr>
                <w:rFonts w:ascii="Arial" w:cs="Arial" w:eastAsia="Arial" w:hAnsi="Arial"/>
                <w:sz w:val="16"/>
                <w:szCs w:val="16"/>
                <w:b w:val="1"/>
                <w:bCs w:val="1"/>
                <w:color w:val="auto"/>
                <w:w w:val="93"/>
              </w:rPr>
              <w:t>(Zip Code)</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3700" w:type="dxa"/>
            <w:vAlign w:val="bottom"/>
          </w:tcPr>
          <w:p>
            <w:pPr>
              <w:jc w:val="right"/>
              <w:ind w:right="2359"/>
              <w:spacing w:after="0" w:line="180" w:lineRule="exact"/>
              <w:rPr>
                <w:sz w:val="20"/>
                <w:szCs w:val="20"/>
                <w:color w:val="auto"/>
              </w:rPr>
            </w:pPr>
            <w:r>
              <w:rPr>
                <w:rFonts w:ascii="Arial" w:cs="Arial" w:eastAsia="Arial" w:hAnsi="Arial"/>
                <w:sz w:val="16"/>
                <w:szCs w:val="16"/>
                <w:b w:val="1"/>
                <w:bCs w:val="1"/>
                <w:color w:val="auto"/>
              </w:rPr>
              <w:t>(510) 906-4600</w:t>
            </w:r>
          </w:p>
        </w:tc>
        <w:tc>
          <w:tcPr>
            <w:tcW w:w="0" w:type="dxa"/>
            <w:vAlign w:val="bottom"/>
          </w:tcPr>
          <w:p>
            <w:pPr>
              <w:spacing w:after="0"/>
              <w:rPr>
                <w:sz w:val="1"/>
                <w:szCs w:val="1"/>
                <w:color w:val="auto"/>
              </w:rPr>
            </w:pPr>
          </w:p>
        </w:tc>
      </w:tr>
    </w:tbl>
    <w:p>
      <w:pPr>
        <w:jc w:val="center"/>
        <w:ind w:right="-39"/>
        <w:spacing w:after="0" w:line="211" w:lineRule="auto"/>
        <w:rPr>
          <w:sz w:val="20"/>
          <w:szCs w:val="20"/>
          <w:color w:val="auto"/>
        </w:rPr>
      </w:pPr>
      <w:r>
        <w:rPr>
          <w:rFonts w:ascii="Arial" w:cs="Arial" w:eastAsia="Arial" w:hAnsi="Arial"/>
          <w:sz w:val="16"/>
          <w:szCs w:val="16"/>
          <w:b w:val="1"/>
          <w:bCs w:val="1"/>
          <w:color w:val="auto"/>
        </w:rPr>
        <w:t>(Registrant’s telephone number, including area code)</w:t>
      </w:r>
    </w:p>
    <w:p>
      <w:pPr>
        <w:ind w:left="3220"/>
        <w:spacing w:after="0" w:line="211" w:lineRule="auto"/>
        <w:rPr>
          <w:sz w:val="20"/>
          <w:szCs w:val="20"/>
          <w:color w:val="auto"/>
        </w:rPr>
      </w:pPr>
      <w:r>
        <w:rPr>
          <w:rFonts w:ascii="Arial" w:cs="Arial" w:eastAsia="Arial" w:hAnsi="Arial"/>
          <w:sz w:val="16"/>
          <w:szCs w:val="16"/>
          <w:b w:val="1"/>
          <w:bCs w:val="1"/>
          <w:color w:val="auto"/>
        </w:rPr>
        <w:t>___________________________________</w:t>
      </w: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9260"/>
          </w:cols>
          <w:pgMar w:left="1300" w:top="548" w:right="1339" w:bottom="1440" w:gutter="0" w:footer="0" w:header="0"/>
        </w:sectPr>
      </w:pPr>
    </w:p>
    <w:p>
      <w:pPr>
        <w:spacing w:after="0" w:line="140"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3">
            <w:col w:w="3200" w:space="720"/>
            <w:col w:w="1400" w:space="720"/>
            <w:col w:w="3220"/>
          </w:cols>
          <w:pgMar w:left="1300" w:top="548" w:right="1339" w:bottom="1440" w:gutter="0" w:footer="0" w:header="0"/>
          <w:type w:val="continuous"/>
        </w:sectPr>
      </w:pPr>
    </w:p>
    <w:p>
      <w:pPr>
        <w:ind w:left="220"/>
        <w:spacing w:after="0"/>
        <w:rPr>
          <w:sz w:val="20"/>
          <w:szCs w:val="20"/>
          <w:color w:val="auto"/>
        </w:rPr>
      </w:pPr>
      <w:r>
        <w:rPr>
          <w:rFonts w:ascii="Arial" w:cs="Arial" w:eastAsia="Arial" w:hAnsi="Arial"/>
          <w:sz w:val="14"/>
          <w:szCs w:val="14"/>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PLSE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Stock Market</w:t>
      </w:r>
    </w:p>
    <w:p>
      <w:pPr>
        <w:spacing w:after="0" w:line="86" w:lineRule="exact"/>
        <w:rPr>
          <w:sz w:val="24"/>
          <w:szCs w:val="24"/>
          <w:color w:val="auto"/>
        </w:rPr>
      </w:pPr>
    </w:p>
    <w:p>
      <w:pPr>
        <w:sectPr>
          <w:pgSz w:w="11900" w:h="16838" w:orient="portrait"/>
          <w:cols w:equalWidth="0" w:num="3">
            <w:col w:w="3620" w:space="720"/>
            <w:col w:w="1500" w:space="720"/>
            <w:col w:w="2700"/>
          </w:cols>
          <w:pgMar w:left="1300" w:top="548" w:right="1339" w:bottom="1440" w:gutter="0" w:footer="0" w:header="0"/>
          <w:type w:val="continuous"/>
        </w:sectPr>
      </w:pPr>
    </w:p>
    <w:p>
      <w:pPr>
        <w:ind w:right="300" w:firstLine="441"/>
        <w:spacing w:after="0" w:line="24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tabs>
          <w:tab w:leader="none" w:pos="4600" w:val="left"/>
          <w:tab w:leader="none" w:pos="5180" w:val="left"/>
        </w:tabs>
        <w:rPr>
          <w:sz w:val="20"/>
          <w:szCs w:val="20"/>
          <w:color w:val="auto"/>
        </w:rPr>
      </w:pPr>
      <w:r>
        <w:rPr>
          <w:rFonts w:ascii="Arial" w:cs="Arial" w:eastAsia="Arial" w:hAnsi="Arial"/>
          <w:sz w:val="16"/>
          <w:szCs w:val="16"/>
          <w:color w:val="auto"/>
        </w:rPr>
        <w:t>(2) has been subject to such filing requirements for the past 90 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3117215</wp:posOffset>
            </wp:positionH>
            <wp:positionV relativeFrom="paragraph">
              <wp:posOffset>-99695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12"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1540510</wp:posOffset>
            </wp:positionH>
            <wp:positionV relativeFrom="paragraph">
              <wp:posOffset>-120015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-120015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1" w:lineRule="exact"/>
        <w:rPr>
          <w:sz w:val="24"/>
          <w:szCs w:val="24"/>
          <w:color w:val="auto"/>
        </w:rPr>
      </w:pPr>
    </w:p>
    <w:p>
      <w:pPr>
        <w:ind w:right="20" w:firstLine="441"/>
        <w:spacing w:after="0" w:line="2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2"/>
        </w:trPr>
        <w:tc>
          <w:tcPr>
            <w:tcW w:w="2380" w:type="dxa"/>
            <w:vAlign w:val="bottom"/>
          </w:tcPr>
          <w:p>
            <w:pPr>
              <w:spacing w:after="0" w:line="152" w:lineRule="exact"/>
              <w:rPr>
                <w:sz w:val="20"/>
                <w:szCs w:val="20"/>
                <w:color w:val="auto"/>
              </w:rPr>
            </w:pPr>
            <w:r>
              <w:rPr>
                <w:rFonts w:ascii="Arial" w:cs="Arial" w:eastAsia="Arial" w:hAnsi="Arial"/>
                <w:sz w:val="16"/>
                <w:szCs w:val="16"/>
                <w:color w:val="auto"/>
              </w:rPr>
              <w:t>Large accelerated filer</w:t>
            </w:r>
          </w:p>
        </w:tc>
        <w:tc>
          <w:tcPr>
            <w:tcW w:w="1720" w:type="dxa"/>
            <w:vAlign w:val="bottom"/>
          </w:tcPr>
          <w:p>
            <w:pPr>
              <w:ind w:left="940"/>
              <w:spacing w:after="0" w:line="152"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640"/>
              <w:spacing w:after="0" w:line="152" w:lineRule="exact"/>
              <w:rPr>
                <w:sz w:val="20"/>
                <w:szCs w:val="20"/>
                <w:color w:val="auto"/>
              </w:rPr>
            </w:pPr>
            <w:r>
              <w:rPr>
                <w:rFonts w:ascii="Arial" w:cs="Arial" w:eastAsia="Arial" w:hAnsi="Arial"/>
                <w:sz w:val="16"/>
                <w:szCs w:val="16"/>
                <w:color w:val="auto"/>
              </w:rPr>
              <w:t>Accelerated filer</w:t>
            </w:r>
          </w:p>
        </w:tc>
        <w:tc>
          <w:tcPr>
            <w:tcW w:w="1440" w:type="dxa"/>
            <w:vAlign w:val="bottom"/>
          </w:tcPr>
          <w:p>
            <w:pPr>
              <w:ind w:left="1280"/>
              <w:spacing w:after="0" w:line="152" w:lineRule="exact"/>
              <w:rPr>
                <w:sz w:val="20"/>
                <w:szCs w:val="20"/>
                <w:color w:val="auto"/>
              </w:rPr>
            </w:pPr>
            <w:r>
              <w:rPr>
                <w:rFonts w:ascii="MS PGothic" w:cs="MS PGothic" w:eastAsia="MS PGothic" w:hAnsi="MS PGothic"/>
                <w:sz w:val="16"/>
                <w:szCs w:val="16"/>
                <w:color w:val="auto"/>
                <w:w w:val="87"/>
              </w:rPr>
              <w:t>☒</w:t>
            </w: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172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640"/>
              <w:spacing w:after="0" w:line="162" w:lineRule="exact"/>
              <w:rPr>
                <w:sz w:val="20"/>
                <w:szCs w:val="20"/>
                <w:color w:val="auto"/>
              </w:rPr>
            </w:pPr>
            <w:r>
              <w:rPr>
                <w:rFonts w:ascii="Arial" w:cs="Arial" w:eastAsia="Arial" w:hAnsi="Arial"/>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700" w:type="dxa"/>
            <w:vAlign w:val="bottom"/>
          </w:tcPr>
          <w:p>
            <w:pPr>
              <w:ind w:left="640"/>
              <w:spacing w:after="0"/>
              <w:rPr>
                <w:sz w:val="20"/>
                <w:szCs w:val="20"/>
                <w:color w:val="auto"/>
              </w:rPr>
            </w:pPr>
            <w:r>
              <w:rPr>
                <w:rFonts w:ascii="Arial" w:cs="Arial" w:eastAsia="Arial" w:hAnsi="Arial"/>
                <w:sz w:val="16"/>
                <w:szCs w:val="16"/>
                <w:color w:val="auto"/>
              </w:rPr>
              <w:t>Emerging growth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2118360</wp:posOffset>
            </wp:positionH>
            <wp:positionV relativeFrom="paragraph">
              <wp:posOffset>-342900</wp:posOffset>
            </wp:positionV>
            <wp:extent cx="78105" cy="79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-342900</wp:posOffset>
            </wp:positionV>
            <wp:extent cx="78105" cy="79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-240030</wp:posOffset>
            </wp:positionV>
            <wp:extent cx="78105" cy="79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-240030</wp:posOffset>
            </wp:positionV>
            <wp:extent cx="78105" cy="79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-137160</wp:posOffset>
            </wp:positionV>
            <wp:extent cx="78105" cy="79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53" w:lineRule="exact"/>
        <w:rPr>
          <w:sz w:val="24"/>
          <w:szCs w:val="24"/>
          <w:color w:val="auto"/>
        </w:rPr>
      </w:pPr>
    </w:p>
    <w:p>
      <w:pPr>
        <w:ind w:right="500" w:firstLine="441"/>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5114290</wp:posOffset>
            </wp:positionH>
            <wp:positionV relativeFrom="paragraph">
              <wp:posOffset>-120015</wp:posOffset>
            </wp:positionV>
            <wp:extent cx="78105" cy="79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51" w:lineRule="exact"/>
        <w:rPr>
          <w:sz w:val="24"/>
          <w:szCs w:val="24"/>
          <w:color w:val="auto"/>
        </w:rPr>
      </w:pPr>
    </w:p>
    <w:p>
      <w:pPr>
        <w:ind w:left="440" w:right="34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4, 2020, there were 20,869,443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591502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5025" cy="2540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-314325</wp:posOffset>
            </wp:positionV>
            <wp:extent cx="78105" cy="79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-314325</wp:posOffset>
            </wp:positionV>
            <wp:extent cx="78105" cy="79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9260"/>
          </w:cols>
          <w:pgMar w:left="1300" w:top="548" w:right="1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6"/>
                <w:szCs w:val="16"/>
                <w:b w:val="1"/>
                <w:bCs w:val="1"/>
                <w:color w:val="auto"/>
              </w:rPr>
              <w:t>PAGE No.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340" w:type="dxa"/>
            <w:vAlign w:val="bottom"/>
            <w:gridSpan w:val="4"/>
            <w:shd w:val="clear" w:color="auto" w:fill="CCEEFF"/>
          </w:tcPr>
          <w:p>
            <w:pPr>
              <w:jc w:val="center"/>
              <w:ind w:right="2080"/>
              <w:spacing w:after="0" w:line="176" w:lineRule="exact"/>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8180" w:type="dxa"/>
            <w:vAlign w:val="bottom"/>
            <w:gridSpan w:val="7"/>
            <w:shd w:val="clear" w:color="auto" w:fill="CCEEFF"/>
          </w:tcPr>
          <w:p>
            <w:pPr>
              <w:spacing w:after="0" w:line="176"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8180" w:type="dxa"/>
            <w:vAlign w:val="bottom"/>
            <w:gridSpan w:val="7"/>
          </w:tcPr>
          <w:p>
            <w:pPr>
              <w:spacing w:after="0" w:line="16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Three-month Periods Ended</w:t>
              </w:r>
            </w:hyperlink>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8100" w:type="dxa"/>
            <w:vAlign w:val="bottom"/>
            <w:tcBorders>
              <w:top w:val="single" w:sz="8" w:color="0000EE"/>
            </w:tcBorders>
            <w:gridSpan w:val="6"/>
            <w:vMerge w:val="restart"/>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March 31, 2020 and 2019</w:t>
              </w:r>
            </w:hyperlink>
          </w:p>
        </w:tc>
        <w:tc>
          <w:tcPr>
            <w:tcW w:w="80" w:type="dxa"/>
            <w:vAlign w:val="bottom"/>
            <w:vMerge w:val="restart"/>
          </w:tcPr>
          <w:p>
            <w:pPr>
              <w:spacing w:after="0"/>
              <w:rPr>
                <w:sz w:val="8"/>
                <w:szCs w:val="8"/>
                <w:color w:val="auto"/>
              </w:rPr>
            </w:pPr>
          </w:p>
        </w:tc>
        <w:tc>
          <w:tcPr>
            <w:tcW w:w="8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100" w:type="dxa"/>
            <w:vAlign w:val="bottom"/>
            <w:gridSpan w:val="6"/>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 w:type="dxa"/>
            <w:vAlign w:val="bottom"/>
            <w:tcBorders>
              <w:bottom w:val="single" w:sz="8" w:color="CCEEFF"/>
            </w:tcBorders>
            <w:shd w:val="clear" w:color="auto" w:fill="CCEEFF"/>
          </w:tcPr>
          <w:p>
            <w:pPr>
              <w:spacing w:after="0"/>
              <w:rPr>
                <w:sz w:val="13"/>
                <w:szCs w:val="13"/>
                <w:color w:val="auto"/>
              </w:rPr>
            </w:pPr>
          </w:p>
        </w:tc>
        <w:tc>
          <w:tcPr>
            <w:tcW w:w="7800" w:type="dxa"/>
            <w:vAlign w:val="bottom"/>
            <w:tcBorders>
              <w:bottom w:val="single" w:sz="8" w:color="0000EE"/>
            </w:tcBorders>
            <w:gridSpan w:val="5"/>
            <w:shd w:val="clear" w:color="auto" w:fill="CCEEFF"/>
          </w:tcPr>
          <w:p>
            <w:pPr>
              <w:spacing w:after="0" w:line="15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Three-month Periods Ended March 31, 2020 and</w:t>
              </w:r>
            </w:hyperlink>
          </w:p>
        </w:tc>
        <w:tc>
          <w:tcPr>
            <w:tcW w:w="380" w:type="dxa"/>
            <w:vAlign w:val="bottom"/>
            <w:tcBorders>
              <w:bottom w:val="single" w:sz="8" w:color="CCEEFF"/>
            </w:tcBorders>
            <w:gridSpan w:val="2"/>
            <w:shd w:val="clear" w:color="auto" w:fill="CCEEFF"/>
          </w:tcPr>
          <w:p>
            <w:pPr>
              <w:spacing w:after="0"/>
              <w:rPr>
                <w:sz w:val="13"/>
                <w:szCs w:val="13"/>
                <w:color w:val="auto"/>
              </w:rPr>
            </w:pPr>
          </w:p>
        </w:tc>
        <w:tc>
          <w:tcPr>
            <w:tcW w:w="8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280" w:type="dxa"/>
            <w:vAlign w:val="bottom"/>
            <w:gridSpan w:val="3"/>
            <w:vMerge w:val="restart"/>
            <w:shd w:val="clear" w:color="auto" w:fill="CCEEFF"/>
          </w:tcPr>
          <w:p>
            <w:pPr>
              <w:ind w:left="220"/>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2019</w:t>
              </w:r>
            </w:hyperlink>
          </w:p>
        </w:tc>
        <w:tc>
          <w:tcPr>
            <w:tcW w:w="780" w:type="dxa"/>
            <w:vAlign w:val="bottom"/>
            <w:shd w:val="clear" w:color="auto" w:fill="CCEEFF"/>
          </w:tcPr>
          <w:p>
            <w:pPr>
              <w:spacing w:after="0"/>
              <w:rPr>
                <w:sz w:val="8"/>
                <w:szCs w:val="8"/>
                <w:color w:val="auto"/>
              </w:rPr>
            </w:pPr>
          </w:p>
        </w:tc>
        <w:tc>
          <w:tcPr>
            <w:tcW w:w="5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80" w:type="dxa"/>
            <w:vAlign w:val="bottom"/>
            <w:gridSpan w:val="3"/>
            <w:vMerge w:val="continue"/>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59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 w:type="dxa"/>
            <w:vAlign w:val="bottom"/>
          </w:tcPr>
          <w:p>
            <w:pPr>
              <w:spacing w:after="0"/>
              <w:rPr>
                <w:sz w:val="13"/>
                <w:szCs w:val="13"/>
                <w:color w:val="auto"/>
              </w:rPr>
            </w:pPr>
          </w:p>
        </w:tc>
        <w:tc>
          <w:tcPr>
            <w:tcW w:w="8180" w:type="dxa"/>
            <w:vAlign w:val="bottom"/>
            <w:gridSpan w:val="7"/>
          </w:tcPr>
          <w:p>
            <w:pPr>
              <w:spacing w:after="0" w:line="15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Stockholders’ Equity for the Three-month Periods Ended March 31,</w:t>
              </w:r>
            </w:hyperlink>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1060" w:type="dxa"/>
            <w:vAlign w:val="bottom"/>
            <w:tcBorders>
              <w:top w:val="single" w:sz="8" w:color="0000EE"/>
            </w:tcBorders>
            <w:gridSpan w:val="2"/>
            <w:vMerge w:val="restart"/>
          </w:tcPr>
          <w:p>
            <w:pPr>
              <w:spacing w:after="0" w:line="15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2020 and 2019</w:t>
              </w:r>
            </w:hyperlink>
          </w:p>
        </w:tc>
        <w:tc>
          <w:tcPr>
            <w:tcW w:w="6700" w:type="dxa"/>
            <w:vAlign w:val="bottom"/>
            <w:tcBorders>
              <w:top w:val="single" w:sz="8" w:color="0000EE"/>
            </w:tcBorders>
            <w:gridSpan w:val="2"/>
            <w:vMerge w:val="restart"/>
          </w:tcPr>
          <w:p>
            <w:pPr>
              <w:spacing w:after="0"/>
              <w:rPr>
                <w:sz w:val="8"/>
                <w:szCs w:val="8"/>
                <w:color w:val="auto"/>
              </w:rPr>
            </w:pPr>
          </w:p>
        </w:tc>
        <w:tc>
          <w:tcPr>
            <w:tcW w:w="420" w:type="dxa"/>
            <w:vAlign w:val="bottom"/>
            <w:gridSpan w:val="3"/>
            <w:vMerge w:val="restart"/>
          </w:tcPr>
          <w:p>
            <w:pPr>
              <w:spacing w:after="0"/>
              <w:rPr>
                <w:sz w:val="8"/>
                <w:szCs w:val="8"/>
                <w:color w:val="auto"/>
              </w:rPr>
            </w:pPr>
          </w:p>
        </w:tc>
        <w:tc>
          <w:tcPr>
            <w:tcW w:w="8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20" w:type="dxa"/>
            <w:vAlign w:val="bottom"/>
          </w:tcPr>
          <w:p>
            <w:pPr>
              <w:spacing w:after="0"/>
              <w:rPr>
                <w:sz w:val="4"/>
                <w:szCs w:val="4"/>
                <w:color w:val="auto"/>
              </w:rPr>
            </w:pPr>
          </w:p>
        </w:tc>
        <w:tc>
          <w:tcPr>
            <w:tcW w:w="1060" w:type="dxa"/>
            <w:vAlign w:val="bottom"/>
            <w:tcBorders>
              <w:bottom w:val="single" w:sz="8" w:color="0000EE"/>
            </w:tcBorders>
            <w:gridSpan w:val="2"/>
            <w:vMerge w:val="continue"/>
          </w:tcPr>
          <w:p>
            <w:pPr>
              <w:spacing w:after="0"/>
              <w:rPr>
                <w:sz w:val="4"/>
                <w:szCs w:val="4"/>
                <w:color w:val="auto"/>
              </w:rPr>
            </w:pPr>
          </w:p>
        </w:tc>
        <w:tc>
          <w:tcPr>
            <w:tcW w:w="6700" w:type="dxa"/>
            <w:vAlign w:val="bottom"/>
            <w:gridSpan w:val="2"/>
            <w:vMerge w:val="continue"/>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 w:type="dxa"/>
            <w:vAlign w:val="bottom"/>
            <w:shd w:val="clear" w:color="auto" w:fill="CCEEFF"/>
          </w:tcPr>
          <w:p>
            <w:pPr>
              <w:spacing w:after="0"/>
              <w:rPr>
                <w:sz w:val="14"/>
                <w:szCs w:val="14"/>
                <w:color w:val="auto"/>
              </w:rPr>
            </w:pPr>
          </w:p>
        </w:tc>
        <w:tc>
          <w:tcPr>
            <w:tcW w:w="8180" w:type="dxa"/>
            <w:vAlign w:val="bottom"/>
            <w:gridSpan w:val="7"/>
            <w:shd w:val="clear" w:color="auto" w:fill="CCEEFF"/>
          </w:tcPr>
          <w:p>
            <w:pPr>
              <w:spacing w:after="0" w:line="169"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8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79"/>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Management’s Discussion and Analysis of Financial Condition and Results of Operations</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shd w:val="clear" w:color="auto" w:fill="CCEEFF"/>
          </w:tcPr>
          <w:p>
            <w:pPr>
              <w:ind w:left="40"/>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 Quantitative and Qualitative Disclosures About Market Risk</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 Controls and Procedures</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340" w:type="dxa"/>
            <w:vAlign w:val="bottom"/>
            <w:gridSpan w:val="4"/>
          </w:tcPr>
          <w:p>
            <w:pPr>
              <w:jc w:val="center"/>
              <w:ind w:right="2080"/>
              <w:spacing w:after="0" w:line="176" w:lineRule="exact"/>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PART II. OTHER INFORMATION</w:t>
              </w:r>
            </w:hyperlink>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8"/>
            <w:shd w:val="clear" w:color="auto" w:fill="CCEEFF"/>
          </w:tcPr>
          <w:p>
            <w:pPr>
              <w:ind w:left="40"/>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1. Legal Proceedings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1A. Risk Factors</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8"/>
            <w:shd w:val="clear" w:color="auto" w:fill="CCEEFF"/>
          </w:tcPr>
          <w:p>
            <w:pPr>
              <w:ind w:left="40"/>
              <w:spacing w:after="0" w:line="176"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2. Unregistered Sales of Equity Securities and Use of Proceeds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3. Default Upon Senior Securities</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shd w:val="clear" w:color="auto" w:fill="CCEEFF"/>
          </w:tcPr>
          <w:p>
            <w:pPr>
              <w:ind w:left="40"/>
              <w:spacing w:after="0" w:line="176"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 Mine Safety Disclosures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gridSpan w:val="8"/>
          </w:tcPr>
          <w:p>
            <w:pPr>
              <w:ind w:left="40"/>
              <w:spacing w:after="0" w:line="176"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5. Other Information</w:t>
              </w:r>
            </w:hyperlink>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gridSpan w:val="8"/>
            <w:shd w:val="clear" w:color="auto" w:fill="CCEEFF"/>
          </w:tcPr>
          <w:p>
            <w:pPr>
              <w:ind w:left="40"/>
              <w:spacing w:after="0" w:line="176"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6. Exhibits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0" w:type="dxa"/>
            <w:vAlign w:val="bottom"/>
            <w:gridSpan w:val="8"/>
          </w:tcPr>
          <w:p>
            <w:pPr>
              <w:ind w:left="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Signatures</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980" w:type="dxa"/>
            <w:vAlign w:val="bottom"/>
            <w:gridSpan w:val="5"/>
          </w:tcPr>
          <w:p>
            <w:pPr>
              <w:ind w:left="46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59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-16510</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88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ind w:left="3100"/>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ind w:left="3100"/>
        <w:spacing w:after="0" w:line="203"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18,499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0"/>
        </w:trPr>
        <w:tc>
          <w:tcPr>
            <w:tcW w:w="660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176"/>
        </w:trPr>
        <w:tc>
          <w:tcPr>
            <w:tcW w:w="66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 current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spacing w:after="0" w:line="176" w:lineRule="exact"/>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spacing w:after="0" w:line="176"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Preferred stock, $0.001 par value;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600" w:type="dxa"/>
            <w:vAlign w:val="bottom"/>
          </w:tcPr>
          <w:p>
            <w:pPr>
              <w:ind w:left="220"/>
              <w:spacing w:after="0" w:line="149" w:lineRule="exact"/>
              <w:rPr>
                <w:sz w:val="20"/>
                <w:szCs w:val="20"/>
                <w:color w:val="auto"/>
              </w:rPr>
            </w:pPr>
            <w:r>
              <w:rPr>
                <w:rFonts w:ascii="Arial" w:cs="Arial" w:eastAsia="Arial" w:hAnsi="Arial"/>
                <w:sz w:val="17"/>
                <w:szCs w:val="17"/>
                <w:color w:val="auto"/>
              </w:rPr>
              <w:t>Common stock, $0.001 par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w w:val="89"/>
              </w:rPr>
              <w:t>authorized – 500,000 shares; issued and outstanding – 20,869 shares and 20,825 shares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at March 31, 2020 and December 31, 2019, respectively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156,291</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153,401</w:t>
            </w:r>
          </w:p>
        </w:tc>
        <w:tc>
          <w:tcPr>
            <w:tcW w:w="0" w:type="dxa"/>
            <w:vAlign w:val="bottom"/>
          </w:tcPr>
          <w:p>
            <w:pPr>
              <w:spacing w:after="0"/>
              <w:rPr>
                <w:sz w:val="1"/>
                <w:szCs w:val="1"/>
                <w:color w:val="auto"/>
              </w:rPr>
            </w:pP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(134,561)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(122,689)</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21,768</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30,737</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6"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PULSE BIOSCIENCES, INC.</w:t>
      </w:r>
    </w:p>
    <w:p>
      <w:pPr>
        <w:jc w:val="center"/>
        <w:ind w:right="-65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659"/>
        <w:spacing w:after="0" w:line="203"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Three-Month Periods Ended</w:t>
            </w:r>
          </w:p>
        </w:tc>
      </w:tr>
      <w:tr>
        <w:trPr>
          <w:trHeight w:val="171"/>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r>
      <w:tr>
        <w:trPr>
          <w:trHeight w:val="169"/>
        </w:trPr>
        <w:tc>
          <w:tcPr>
            <w:tcW w:w="6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169"/>
        </w:trPr>
        <w:tc>
          <w:tcPr>
            <w:tcW w:w="66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170"/>
              <w:spacing w:after="0" w:line="169"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r>
      <w:tr>
        <w:trPr>
          <w:trHeight w:val="169"/>
        </w:trPr>
        <w:tc>
          <w:tcPr>
            <w:tcW w:w="6600" w:type="dxa"/>
            <w:vAlign w:val="bottom"/>
          </w:tcPr>
          <w:p>
            <w:pPr>
              <w:spacing w:after="0" w:line="169"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5,842</w:t>
            </w: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9"/>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r>
      <w:tr>
        <w:trPr>
          <w:trHeight w:val="169"/>
        </w:trPr>
        <w:tc>
          <w:tcPr>
            <w:tcW w:w="66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7"/>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w:t>
            </w:r>
          </w:p>
        </w:tc>
      </w:tr>
      <w:tr>
        <w:trPr>
          <w:trHeight w:val="175"/>
        </w:trPr>
        <w:tc>
          <w:tcPr>
            <w:tcW w:w="6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Unrealized gain on available-for-sale securities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r>
      <w:tr>
        <w:trPr>
          <w:trHeight w:val="163"/>
        </w:trPr>
        <w:tc>
          <w:tcPr>
            <w:tcW w:w="66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loss per share:</w:t>
            </w: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23"/>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23"/>
        </w:trPr>
        <w:tc>
          <w:tcPr>
            <w:tcW w:w="66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0"/>
              </w:rPr>
              <w:t>Weighted average shares used to compute net loss per common share — basic and diluted</w:t>
            </w: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20,838</w:t>
            </w: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20,679</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291"/>
              <w:spacing w:after="0"/>
              <w:rPr>
                <w:sz w:val="20"/>
                <w:szCs w:val="20"/>
                <w:color w:val="auto"/>
              </w:rPr>
            </w:pPr>
            <w:r>
              <w:rPr>
                <w:rFonts w:ascii="Arial" w:cs="Arial" w:eastAsia="Arial" w:hAnsi="Arial"/>
                <w:sz w:val="14"/>
                <w:szCs w:val="14"/>
                <w:b w:val="1"/>
                <w:bCs w:val="1"/>
                <w:color w:val="auto"/>
              </w:rPr>
              <w:t>Three-Month Periods Ended</w:t>
            </w:r>
          </w:p>
        </w:tc>
      </w:tr>
      <w:tr>
        <w:trPr>
          <w:trHeight w:val="171"/>
        </w:trPr>
        <w:tc>
          <w:tcPr>
            <w:tcW w:w="6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r>
      <w:tr>
        <w:trPr>
          <w:trHeight w:val="169"/>
        </w:trPr>
        <w:tc>
          <w:tcPr>
            <w:tcW w:w="62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169"/>
        </w:trPr>
        <w:tc>
          <w:tcPr>
            <w:tcW w:w="620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(11,872)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(10,078)</w:t>
            </w:r>
          </w:p>
        </w:tc>
      </w:tr>
      <w:tr>
        <w:trPr>
          <w:trHeight w:val="175"/>
        </w:trPr>
        <w:tc>
          <w:tcPr>
            <w:tcW w:w="6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2,361</w:t>
            </w: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 amortization and discount on available-for-sale securities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176"/>
        </w:trPr>
        <w:tc>
          <w:tcPr>
            <w:tcW w:w="6200" w:type="dxa"/>
            <w:vAlign w:val="bottom"/>
          </w:tcPr>
          <w:p>
            <w:pPr>
              <w:ind w:left="2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Right-of-use assets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Lease liabilities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and long-term liabilities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62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(7,330)</w:t>
            </w:r>
          </w:p>
        </w:tc>
      </w:tr>
      <w:tr>
        <w:trPr>
          <w:trHeight w:val="169"/>
        </w:trPr>
        <w:tc>
          <w:tcPr>
            <w:tcW w:w="620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(44,186)</w:t>
            </w:r>
          </w:p>
        </w:tc>
      </w:tr>
      <w:tr>
        <w:trPr>
          <w:trHeight w:val="216"/>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Maturities of investments</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r>
      <w:tr>
        <w:trPr>
          <w:trHeight w:val="209"/>
        </w:trPr>
        <w:tc>
          <w:tcPr>
            <w:tcW w:w="6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(35,731)</w:t>
            </w:r>
          </w:p>
        </w:tc>
      </w:tr>
      <w:tr>
        <w:trPr>
          <w:trHeight w:val="169"/>
        </w:trPr>
        <w:tc>
          <w:tcPr>
            <w:tcW w:w="6200" w:type="dxa"/>
            <w:vAlign w:val="bottom"/>
          </w:tcPr>
          <w:p>
            <w:pPr>
              <w:spacing w:after="0" w:line="169" w:lineRule="exact"/>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issuance of common stock under employee stock purchase plan</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exercises of stock options</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6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0"/>
        </w:trPr>
        <w:tc>
          <w:tcPr>
            <w:tcW w:w="62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increase (decrease) in cash</w:t>
            </w:r>
          </w:p>
        </w:tc>
        <w:tc>
          <w:tcPr>
            <w:tcW w:w="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(42,567)</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7,864</w:t>
            </w:r>
          </w:p>
        </w:tc>
        <w:tc>
          <w:tcPr>
            <w:tcW w:w="8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8,536</w:t>
            </w:r>
          </w:p>
        </w:tc>
      </w:tr>
      <w:tr>
        <w:trPr>
          <w:trHeight w:val="175"/>
        </w:trPr>
        <w:tc>
          <w:tcPr>
            <w:tcW w:w="6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75"/>
        </w:trPr>
        <w:tc>
          <w:tcPr>
            <w:tcW w:w="6200" w:type="dxa"/>
            <w:vAlign w:val="bottom"/>
          </w:tcPr>
          <w:p>
            <w:pPr>
              <w:spacing w:after="0" w:line="17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unrealized gains on available-for-sale securities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w w:val="90"/>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line="169"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
              <w:spacing w:after="0" w:line="169" w:lineRule="exact"/>
              <w:rPr>
                <w:sz w:val="20"/>
                <w:szCs w:val="20"/>
                <w:color w:val="auto"/>
              </w:rPr>
            </w:pPr>
            <w:r>
              <w:rPr>
                <w:rFonts w:ascii="Arial" w:cs="Arial" w:eastAsia="Arial" w:hAnsi="Arial"/>
                <w:sz w:val="16"/>
                <w:szCs w:val="16"/>
                <w:b w:val="1"/>
                <w:bCs w:val="1"/>
                <w:color w:val="auto"/>
                <w:w w:val="88"/>
              </w:rPr>
              <w:t>Income (Loss)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line="169" w:lineRule="exact"/>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69"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w w:val="89"/>
              </w:rPr>
              <w:t>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vMerge w:val="restart"/>
          </w:tcPr>
          <w:p>
            <w:pPr>
              <w:spacing w:after="0" w:line="132" w:lineRule="exact"/>
              <w:rPr>
                <w:sz w:val="20"/>
                <w:szCs w:val="20"/>
                <w:color w:val="auto"/>
              </w:rPr>
            </w:pPr>
            <w:r>
              <w:rPr>
                <w:rFonts w:ascii="Arial" w:cs="Arial" w:eastAsia="Arial" w:hAnsi="Arial"/>
                <w:sz w:val="15"/>
                <w:szCs w:val="15"/>
                <w:color w:val="auto"/>
              </w:rPr>
              <w:t>Issuance of shares upon exercise of stock</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60" w:type="dxa"/>
            <w:vAlign w:val="bottom"/>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options</w:t>
            </w: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w w:val="89"/>
              </w:rPr>
              <w:t>13</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8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Net loss</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(11,872)</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17</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(134,561)</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21,768</w:t>
            </w:r>
          </w:p>
        </w:tc>
        <w:tc>
          <w:tcPr>
            <w:tcW w:w="0" w:type="dxa"/>
            <w:vAlign w:val="bottom"/>
          </w:tcPr>
          <w:p>
            <w:pPr>
              <w:spacing w:after="0"/>
              <w:rPr>
                <w:sz w:val="1"/>
                <w:szCs w:val="1"/>
                <w:color w:val="auto"/>
              </w:rPr>
            </w:pPr>
          </w:p>
        </w:tc>
      </w:tr>
      <w:tr>
        <w:trPr>
          <w:trHeight w:val="527"/>
        </w:trPr>
        <w:tc>
          <w:tcPr>
            <w:tcW w:w="30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Borders>
              <w:top w:val="single" w:sz="8" w:color="CCEEFF"/>
            </w:tcBorders>
            <w:vMerge w:val="restart"/>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w w:val="90"/>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6"/>
                <w:szCs w:val="16"/>
                <w:color w:val="auto"/>
              </w:rPr>
            </w:pPr>
          </w:p>
        </w:tc>
        <w:tc>
          <w:tcPr>
            <w:tcW w:w="11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69"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line="169"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
              <w:spacing w:after="0" w:line="169" w:lineRule="exact"/>
              <w:rPr>
                <w:sz w:val="20"/>
                <w:szCs w:val="20"/>
                <w:color w:val="auto"/>
              </w:rPr>
            </w:pPr>
            <w:r>
              <w:rPr>
                <w:rFonts w:ascii="Arial" w:cs="Arial" w:eastAsia="Arial" w:hAnsi="Arial"/>
                <w:sz w:val="16"/>
                <w:szCs w:val="16"/>
                <w:b w:val="1"/>
                <w:bCs w:val="1"/>
                <w:color w:val="auto"/>
                <w:w w:val="88"/>
              </w:rPr>
              <w:t>Income (Loss)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line="169" w:lineRule="exact"/>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69"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1"/>
              </w:rPr>
              <w:t>(1)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vMerge w:val="restart"/>
          </w:tcPr>
          <w:p>
            <w:pPr>
              <w:spacing w:after="0" w:line="132" w:lineRule="exact"/>
              <w:rPr>
                <w:sz w:val="20"/>
                <w:szCs w:val="20"/>
                <w:color w:val="auto"/>
              </w:rPr>
            </w:pPr>
            <w:r>
              <w:rPr>
                <w:rFonts w:ascii="Arial" w:cs="Arial" w:eastAsia="Arial" w:hAnsi="Arial"/>
                <w:sz w:val="15"/>
                <w:szCs w:val="15"/>
                <w:color w:val="auto"/>
              </w:rPr>
              <w:t>Issuance of shares upon exercise of stock</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60" w:type="dxa"/>
            <w:vAlign w:val="bottom"/>
            <w:vMerge w:val="continue"/>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options</w:t>
            </w: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left="939"/>
              <w:spacing w:after="0"/>
              <w:rPr>
                <w:sz w:val="20"/>
                <w:szCs w:val="20"/>
                <w:color w:val="auto"/>
              </w:rPr>
            </w:pPr>
            <w:r>
              <w:rPr>
                <w:rFonts w:ascii="Arial" w:cs="Arial" w:eastAsia="Arial" w:hAnsi="Arial"/>
                <w:sz w:val="16"/>
                <w:szCs w:val="16"/>
                <w:color w:val="auto"/>
                <w:w w:val="89"/>
              </w:rPr>
              <w:t>3</w:t>
            </w:r>
          </w:p>
        </w:tc>
        <w:tc>
          <w:tcPr>
            <w:tcW w:w="12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8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Net loss</w:t>
            </w: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Pr>
          <w:p>
            <w:pPr>
              <w:jc w:val="center"/>
              <w:ind w:left="9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(10,078)</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w w:val="89"/>
              </w:rPr>
              <w:t>2</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(85,796)</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27"/>
        </w:trPr>
        <w:tc>
          <w:tcPr>
            <w:tcW w:w="30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Pulse Biosciences, Inc. (together with its subsidiaries, the Company) is a novel bioelectric medicine company committed to health innovation that improves and potentially extends the lives of patients. The Company is pursuing regulatory clearance to market its first product, its proprietary CellFX</w:t>
      </w:r>
      <w:r>
        <w:rPr>
          <w:rFonts w:ascii="Arial" w:cs="Arial" w:eastAsia="Arial" w:hAnsi="Arial"/>
          <w:sz w:val="8"/>
          <w:szCs w:val="8"/>
          <w:color w:val="auto"/>
        </w:rPr>
        <w:t>®</w:t>
      </w:r>
      <w:r>
        <w:rPr>
          <w:rFonts w:ascii="Arial" w:cs="Arial" w:eastAsia="Arial" w:hAnsi="Arial"/>
          <w:sz w:val="18"/>
          <w:szCs w:val="18"/>
          <w:color w:val="auto"/>
        </w:rPr>
        <w:t xml:space="preserve"> System.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Company was incorporated in Nevada on May 19, 2014. On June 18, 2018, the Company reincorporated from the State of Nevada to the State of Delaware. The Company’s headquarters and manufacturing and research facility are located in Hayward, California.</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Pulse Biosciences, CellFX, Nano-Pulse Stimulation, and NPS and the stylized logos are trademarks or registered trademarks of the Company in the United States and other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4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As of March 31, 2020, the Company had an accumulated deficit of $134.6 million, cash outflows from operations of $9.6 million for the three months then ended, and cash, cash equivalents and investments of $15.9 million and anticipates that it may continue to incur significant operating losses for the next several years. Until such time as the Company can generate substantial product revenue and achieve profitability, the Company will need to raise additional capital. The Company plans to raise additional capital to fund its operations for at least the next twelve months from the date of issuance of the accompanying consolidated financial statements, including via a proposed rights offering that seek to raise gross proceeds of approximately $30 million, assuming such rights offering is fully subscribed and excluding the proceeds from any warrants which may be issued in the rights offering and exercised following the completion of the offering. There is no assurance that the rights offering will be successful, or that additional financing will be available when needed or that management of the Company will be able to obtain financing on terms acceptable to the Company. Accordingly, the Company’s management cannot conclude that such plans will be effectively implemented within twelve months from the date of issuance of the accompanying consolidated financial statements.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These factors, combined with the Company’s forecast of cash required to fund operations for a period of at least twelve months from the date of issuance of the accompanying consolidated financial statements, raise substantial doubt about the Company’s ability to continue as a going concern.</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subject to risks and uncertainties as a result of the novel coronavirus pandemic (COVID-19). The extent of the impact of the COVID-19 pandemic on the Company’s business is highly uncertain and difficult to predict, as the response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the pandemic is in its incipient stages and information is rapidly evolving. The Company considered the impact of COVID-19 on the assumptions and estimates used to determine the results reported and asset valuations as of March 31,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The accompanying unaudited condensed consolidated financial statements have been prepared on a basis consistent with the Company’s December 31, 2019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2019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2019. The results of operations for the three-month period ended March 31, 2020 are not necessarily indicative of the results to be expected for the entire year or any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condensed consolidated financial statements include the financial statements of Pulse Biosciences, Inc.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and its wholly-owned subsidiaries. Intercompany balances and transactions, if any, have been eliminated in consolidation.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There have been no material changes to the Company’s significant accounting policies during three-month period ended March 31, 2020, as compared to the significant accounting policies described in the Company’s Annual Report on Form 10-K for the year ended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Three-Month Periods Ended</w:t>
            </w:r>
          </w:p>
        </w:tc>
      </w:tr>
      <w:tr>
        <w:trPr>
          <w:trHeight w:val="171"/>
        </w:trPr>
        <w:tc>
          <w:tcPr>
            <w:tcW w:w="66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4"/>
                <w:szCs w:val="14"/>
                <w:color w:val="auto"/>
              </w:rPr>
            </w:pPr>
          </w:p>
        </w:tc>
      </w:tr>
      <w:tr>
        <w:trPr>
          <w:trHeight w:val="169"/>
        </w:trPr>
        <w:tc>
          <w:tcPr>
            <w:tcW w:w="66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Common stock options</w:t>
            </w:r>
          </w:p>
        </w:tc>
        <w:tc>
          <w:tcPr>
            <w:tcW w:w="1300" w:type="dxa"/>
            <w:vAlign w:val="bottom"/>
          </w:tcPr>
          <w:p>
            <w:pPr>
              <w:jc w:val="right"/>
              <w:spacing w:after="0"/>
              <w:rPr>
                <w:sz w:val="20"/>
                <w:szCs w:val="20"/>
                <w:color w:val="auto"/>
              </w:rPr>
            </w:pPr>
            <w:r>
              <w:rPr>
                <w:rFonts w:ascii="Arial" w:cs="Arial" w:eastAsia="Arial" w:hAnsi="Arial"/>
                <w:sz w:val="18"/>
                <w:szCs w:val="18"/>
                <w:color w:val="auto"/>
              </w:rPr>
              <w:t>3,891,607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2,871,770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r>
      <w:tr>
        <w:trPr>
          <w:trHeight w:val="217"/>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4,282,060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3,307,861</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14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2019-12,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 (Topic 740): Simplifying the Accounting for Income Taxes</w:t>
      </w:r>
      <w:r>
        <w:rPr>
          <w:rFonts w:ascii="Arial" w:cs="Arial" w:eastAsia="Arial" w:hAnsi="Arial"/>
          <w:sz w:val="17"/>
          <w:szCs w:val="17"/>
          <w:color w:val="auto"/>
        </w:rPr>
        <w:t>, which eliminates certain exceptions related to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in Accounting Standards Codification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is currently evaluating the impact that the standard will have on its financial statements and related disclosures; and does not expect the adoption to have a material impact on the Company’s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to be classified and disclosed in one of three categories, as presented below.</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March 31, 2020 and December 31, 2019, respectively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Level 2</w:t>
            </w: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1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040" w:type="dxa"/>
            <w:vAlign w:val="bottom"/>
            <w:tcBorders>
              <w:right w:val="single" w:sz="8" w:color="CCEEFF"/>
            </w:tcBorders>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6,989</w:t>
            </w:r>
          </w:p>
        </w:tc>
        <w:tc>
          <w:tcPr>
            <w:tcW w:w="120" w:type="dxa"/>
            <w:vAlign w:val="bottom"/>
            <w:shd w:val="clear" w:color="auto" w:fill="CCEEFF"/>
          </w:tcPr>
          <w:p>
            <w:pPr>
              <w:spacing w:after="0"/>
              <w:rPr>
                <w:sz w:val="8"/>
                <w:szCs w:val="8"/>
                <w:color w:val="auto"/>
              </w:rPr>
            </w:pPr>
          </w:p>
        </w:tc>
        <w:tc>
          <w:tcPr>
            <w:tcW w:w="720" w:type="dxa"/>
            <w:vAlign w:val="bottom"/>
            <w:tcBorders>
              <w:right w:val="single" w:sz="8" w:color="CCEEFF"/>
            </w:tcBorders>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6,429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8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6,429</w:t>
            </w:r>
          </w:p>
        </w:tc>
        <w:tc>
          <w:tcPr>
            <w:tcW w:w="0" w:type="dxa"/>
            <w:vAlign w:val="bottom"/>
          </w:tcPr>
          <w:p>
            <w:pPr>
              <w:spacing w:after="0"/>
              <w:rPr>
                <w:sz w:val="1"/>
                <w:szCs w:val="1"/>
                <w:color w:val="auto"/>
              </w:rPr>
            </w:pPr>
          </w:p>
        </w:tc>
      </w:tr>
      <w:tr>
        <w:trPr>
          <w:trHeight w:val="162"/>
        </w:trPr>
        <w:tc>
          <w:tcPr>
            <w:tcW w:w="1740" w:type="dxa"/>
            <w:vAlign w:val="bottom"/>
            <w:gridSpan w:val="2"/>
            <w:vMerge w:val="continue"/>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equivalents</w:t>
            </w:r>
          </w:p>
        </w:tc>
        <w:tc>
          <w:tcPr>
            <w:tcW w:w="160" w:type="dxa"/>
            <w:vAlign w:val="bottom"/>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spacing w:after="0"/>
              <w:rPr>
                <w:sz w:val="20"/>
                <w:szCs w:val="20"/>
                <w:color w:val="auto"/>
              </w:rPr>
            </w:pPr>
            <w:r>
              <w:rPr>
                <w:rFonts w:ascii="Arial" w:cs="Arial" w:eastAsia="Arial" w:hAnsi="Arial"/>
                <w:sz w:val="14"/>
                <w:szCs w:val="14"/>
                <w:color w:val="auto"/>
              </w:rPr>
              <w:t>U.S. Treasury Securities</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8,022</w:t>
            </w:r>
          </w:p>
        </w:tc>
        <w:tc>
          <w:tcPr>
            <w:tcW w:w="120" w:type="dxa"/>
            <w:vAlign w:val="bottom"/>
          </w:tcPr>
          <w:p>
            <w:pPr>
              <w:spacing w:after="0"/>
              <w:rPr>
                <w:sz w:val="15"/>
                <w:szCs w:val="15"/>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18,499</w:t>
            </w:r>
          </w:p>
        </w:tc>
        <w:tc>
          <w:tcPr>
            <w:tcW w:w="14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18,499</w:t>
            </w:r>
          </w:p>
        </w:tc>
        <w:tc>
          <w:tcPr>
            <w:tcW w:w="0" w:type="dxa"/>
            <w:vAlign w:val="bottom"/>
          </w:tcPr>
          <w:p>
            <w:pPr>
              <w:spacing w:after="0"/>
              <w:rPr>
                <w:sz w:val="1"/>
                <w:szCs w:val="1"/>
                <w:color w:val="auto"/>
              </w:rPr>
            </w:pPr>
          </w:p>
        </w:tc>
      </w:tr>
      <w:tr>
        <w:trPr>
          <w:trHeight w:val="20"/>
        </w:trPr>
        <w:tc>
          <w:tcPr>
            <w:tcW w:w="1740" w:type="dxa"/>
            <w:vAlign w:val="bottom"/>
            <w:gridSpan w:val="2"/>
            <w:vMerge w:val="restart"/>
            <w:shd w:val="clear" w:color="auto" w:fill="CCEEFF"/>
          </w:tcPr>
          <w:p>
            <w:pPr>
              <w:spacing w:after="0" w:line="108" w:lineRule="exact"/>
              <w:rPr>
                <w:sz w:val="20"/>
                <w:szCs w:val="20"/>
                <w:color w:val="auto"/>
              </w:rPr>
            </w:pPr>
            <w:r>
              <w:rPr>
                <w:rFonts w:ascii="Arial" w:cs="Arial" w:eastAsia="Arial" w:hAnsi="Arial"/>
                <w:sz w:val="12"/>
                <w:szCs w:val="12"/>
                <w:color w:val="auto"/>
              </w:rPr>
              <w:t>Total assets measured at fair</w:t>
            </w: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40" w:type="dxa"/>
            <w:vAlign w:val="bottom"/>
            <w:gridSpan w:val="2"/>
            <w:vMerge w:val="continue"/>
            <w:shd w:val="clear" w:color="auto" w:fill="CCEEFF"/>
          </w:tcPr>
          <w:p>
            <w:pPr>
              <w:spacing w:after="0"/>
              <w:rPr>
                <w:sz w:val="7"/>
                <w:szCs w:val="7"/>
                <w:color w:val="auto"/>
              </w:rPr>
            </w:pPr>
          </w:p>
        </w:tc>
        <w:tc>
          <w:tcPr>
            <w:tcW w:w="1040" w:type="dxa"/>
            <w:vAlign w:val="bottom"/>
            <w:tcBorders>
              <w:right w:val="single" w:sz="8" w:color="CCEEFF"/>
            </w:tcBorders>
            <w:shd w:val="clear" w:color="auto" w:fill="CCEEFF"/>
          </w:tcPr>
          <w:p>
            <w:pPr>
              <w:spacing w:after="0"/>
              <w:rPr>
                <w:sz w:val="7"/>
                <w:szCs w:val="7"/>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6,989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8,022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15,011</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6,429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18,499 $</w:t>
            </w:r>
          </w:p>
        </w:tc>
        <w:tc>
          <w:tcPr>
            <w:tcW w:w="8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value</w:t>
            </w:r>
          </w:p>
        </w:tc>
        <w:tc>
          <w:tcPr>
            <w:tcW w:w="1040" w:type="dxa"/>
            <w:vAlign w:val="bottom"/>
            <w:tcBorders>
              <w:right w:val="single" w:sz="8" w:color="CCEEFF"/>
            </w:tcBorders>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March 31, 2020 or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2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the three-month period ended March 31, 2020, there were no transfers between Level 1, Level 2 or Level 3 assets or liabilities reported at fair value on a recurring basis, and the valuation techniques used did not change compared to the Company’s established practice.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Property and Equipment,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Laboratory equipment</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Software</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09"/>
        </w:trPr>
        <w:tc>
          <w:tcPr>
            <w:tcW w:w="46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10"/>
        </w:trPr>
        <w:tc>
          <w:tcPr>
            <w:tcW w:w="4600" w:type="dxa"/>
            <w:vAlign w:val="bottom"/>
          </w:tcPr>
          <w:p>
            <w:pPr>
              <w:spacing w:after="0"/>
              <w:rPr>
                <w:sz w:val="18"/>
                <w:szCs w:val="18"/>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2,566</w:t>
            </w:r>
          </w:p>
        </w:tc>
      </w:tr>
      <w:tr>
        <w:trPr>
          <w:trHeight w:val="27"/>
        </w:trPr>
        <w:tc>
          <w:tcPr>
            <w:tcW w:w="4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440" w:right="700"/>
        <w:spacing w:after="0" w:line="406" w:lineRule="auto"/>
        <w:rPr>
          <w:sz w:val="20"/>
          <w:szCs w:val="20"/>
          <w:color w:val="auto"/>
        </w:rPr>
      </w:pPr>
      <w:r>
        <w:rPr>
          <w:rFonts w:ascii="Arial" w:cs="Arial" w:eastAsia="Arial" w:hAnsi="Arial"/>
          <w:sz w:val="18"/>
          <w:szCs w:val="18"/>
          <w:color w:val="auto"/>
        </w:rPr>
        <w:t xml:space="preserve">Depreciation expense was $0.1 million for the three-month periods ended March 31, 2020 and 2019, respectively. </w:t>
      </w:r>
      <w:r>
        <w:rPr>
          <w:rFonts w:ascii="Arial" w:cs="Arial" w:eastAsia="Arial" w:hAnsi="Arial"/>
          <w:sz w:val="18"/>
          <w:szCs w:val="18"/>
          <w:b w:val="1"/>
          <w:bCs w:val="1"/>
          <w:color w:val="auto"/>
        </w:rPr>
        <w:t>Intangible Assets, Net</w:t>
      </w:r>
    </w:p>
    <w:p>
      <w:pPr>
        <w:spacing w:after="0" w:line="2" w:lineRule="exact"/>
        <w:rPr>
          <w:sz w:val="20"/>
          <w:szCs w:val="20"/>
          <w:color w:val="auto"/>
        </w:rPr>
      </w:pPr>
    </w:p>
    <w:p>
      <w:pPr>
        <w:jc w:val="both"/>
        <w:ind w:right="40" w:firstLine="441"/>
        <w:spacing w:after="0" w:line="214" w:lineRule="auto"/>
        <w:rPr>
          <w:sz w:val="20"/>
          <w:szCs w:val="20"/>
          <w:color w:val="auto"/>
        </w:rPr>
      </w:pPr>
      <w:r>
        <w:rPr>
          <w:rFonts w:ascii="Arial" w:cs="Arial" w:eastAsia="Arial" w:hAnsi="Arial"/>
          <w:sz w:val="18"/>
          <w:szCs w:val="18"/>
          <w:color w:val="auto"/>
        </w:rPr>
        <w:t>Intangible assets primarily consist of acquired licenses to utilize certain patents, know-how and technology relating to the Company’s NPS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44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3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8"/>
              </w:rPr>
              <w:t>7,985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88"/>
              </w:rPr>
              <w:t>7,985</w:t>
            </w:r>
          </w:p>
        </w:tc>
        <w:tc>
          <w:tcPr>
            <w:tcW w:w="40" w:type="dxa"/>
            <w:vAlign w:val="bottom"/>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left="237"/>
              <w:spacing w:after="0"/>
              <w:rPr>
                <w:sz w:val="20"/>
                <w:szCs w:val="20"/>
                <w:color w:val="auto"/>
              </w:rPr>
            </w:pPr>
            <w:r>
              <w:rPr>
                <w:rFonts w:ascii="Arial" w:cs="Arial" w:eastAsia="Arial" w:hAnsi="Arial"/>
                <w:sz w:val="18"/>
                <w:szCs w:val="18"/>
                <w:color w:val="auto"/>
                <w:w w:val="91"/>
              </w:rPr>
              <w:t>(3,604)</w:t>
            </w:r>
          </w:p>
        </w:tc>
        <w:tc>
          <w:tcPr>
            <w:tcW w:w="140" w:type="dxa"/>
            <w:vAlign w:val="bottom"/>
          </w:tcPr>
          <w:p>
            <w:pPr>
              <w:spacing w:after="0"/>
              <w:rPr>
                <w:sz w:val="18"/>
                <w:szCs w:val="18"/>
                <w:color w:val="auto"/>
              </w:rPr>
            </w:pPr>
          </w:p>
        </w:tc>
        <w:tc>
          <w:tcPr>
            <w:tcW w:w="1060" w:type="dxa"/>
            <w:vAlign w:val="bottom"/>
          </w:tcPr>
          <w:p>
            <w:pPr>
              <w:jc w:val="center"/>
              <w:ind w:left="457"/>
              <w:spacing w:after="0"/>
              <w:rPr>
                <w:sz w:val="20"/>
                <w:szCs w:val="20"/>
                <w:color w:val="auto"/>
              </w:rPr>
            </w:pPr>
            <w:r>
              <w:rPr>
                <w:rFonts w:ascii="Arial" w:cs="Arial" w:eastAsia="Arial" w:hAnsi="Arial"/>
                <w:sz w:val="18"/>
                <w:szCs w:val="18"/>
                <w:color w:val="auto"/>
                <w:w w:val="91"/>
              </w:rPr>
              <w:t>(3,438)</w:t>
            </w:r>
          </w:p>
        </w:tc>
        <w:tc>
          <w:tcPr>
            <w:tcW w:w="40" w:type="dxa"/>
            <w:vAlign w:val="bottom"/>
          </w:tcPr>
          <w:p>
            <w:pPr>
              <w:spacing w:after="0"/>
              <w:rPr>
                <w:sz w:val="18"/>
                <w:szCs w:val="18"/>
                <w:color w:val="auto"/>
              </w:rPr>
            </w:pPr>
          </w:p>
        </w:tc>
      </w:tr>
      <w:tr>
        <w:trPr>
          <w:trHeight w:val="229"/>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center"/>
              <w:ind w:left="437"/>
              <w:spacing w:after="0"/>
              <w:rPr>
                <w:sz w:val="20"/>
                <w:szCs w:val="20"/>
                <w:color w:val="auto"/>
              </w:rPr>
            </w:pPr>
            <w:r>
              <w:rPr>
                <w:rFonts w:ascii="Arial" w:cs="Arial" w:eastAsia="Arial" w:hAnsi="Arial"/>
                <w:sz w:val="18"/>
                <w:szCs w:val="18"/>
                <w:color w:val="auto"/>
                <w:w w:val="88"/>
              </w:rPr>
              <w:t>4,381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88"/>
              </w:rPr>
              <w:t>4,547</w:t>
            </w:r>
          </w:p>
        </w:tc>
        <w:tc>
          <w:tcPr>
            <w:tcW w:w="40" w:type="dxa"/>
            <w:vAlign w:val="bottom"/>
          </w:tcPr>
          <w:p>
            <w:pPr>
              <w:spacing w:after="0"/>
              <w:rPr>
                <w:sz w:val="19"/>
                <w:szCs w:val="19"/>
                <w:color w:val="auto"/>
              </w:rPr>
            </w:pPr>
          </w:p>
        </w:tc>
      </w:tr>
      <w:tr>
        <w:trPr>
          <w:trHeight w:val="581"/>
        </w:trPr>
        <w:tc>
          <w:tcPr>
            <w:tcW w:w="3440" w:type="dxa"/>
            <w:vAlign w:val="bottom"/>
          </w:tcPr>
          <w:p>
            <w:pPr>
              <w:spacing w:after="0"/>
              <w:rPr>
                <w:sz w:val="24"/>
                <w:szCs w:val="24"/>
                <w:color w:val="auto"/>
              </w:rPr>
            </w:pPr>
          </w:p>
        </w:tc>
        <w:tc>
          <w:tcPr>
            <w:tcW w:w="3280" w:type="dxa"/>
            <w:vAlign w:val="bottom"/>
          </w:tcPr>
          <w:p>
            <w:pPr>
              <w:jc w:val="right"/>
              <w:ind w:right="189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44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440" w:type="dxa"/>
            <w:vAlign w:val="bottom"/>
            <w:tcBorders>
              <w:bottom w:val="single" w:sz="8" w:color="EEEEEE"/>
            </w:tcBorders>
          </w:tcPr>
          <w:p>
            <w:pPr>
              <w:spacing w:after="0" w:line="20" w:lineRule="exact"/>
              <w:rPr>
                <w:sz w:val="1"/>
                <w:szCs w:val="1"/>
                <w:color w:val="auto"/>
              </w:rPr>
            </w:pPr>
          </w:p>
        </w:tc>
        <w:tc>
          <w:tcPr>
            <w:tcW w:w="3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-16510</wp:posOffset>
            </wp:positionV>
            <wp:extent cx="8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889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2020 and the succeeding five fiscal years and thereafter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9 months)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17"/>
        </w:trPr>
        <w:tc>
          <w:tcPr>
            <w:tcW w:w="5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378"/>
        </w:trPr>
        <w:tc>
          <w:tcPr>
            <w:tcW w:w="5760" w:type="dxa"/>
            <w:vAlign w:val="bottom"/>
          </w:tcPr>
          <w:p>
            <w:pPr>
              <w:ind w:left="440"/>
              <w:spacing w:after="0"/>
              <w:rPr>
                <w:sz w:val="20"/>
                <w:szCs w:val="20"/>
                <w:color w:val="auto"/>
              </w:rPr>
            </w:pPr>
            <w:r>
              <w:rPr>
                <w:rFonts w:ascii="Arial" w:cs="Arial" w:eastAsia="Arial" w:hAnsi="Arial"/>
                <w:sz w:val="18"/>
                <w:szCs w:val="18"/>
                <w:b w:val="1"/>
                <w:bCs w:val="1"/>
                <w:color w:val="auto"/>
              </w:rPr>
              <w:t>Accrued Expenses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351"/>
        </w:trPr>
        <w:tc>
          <w:tcPr>
            <w:tcW w:w="5760" w:type="dxa"/>
            <w:vAlign w:val="bottom"/>
          </w:tcPr>
          <w:p>
            <w:pPr>
              <w:ind w:left="440"/>
              <w:spacing w:after="0"/>
              <w:rPr>
                <w:sz w:val="20"/>
                <w:szCs w:val="20"/>
                <w:color w:val="auto"/>
              </w:rPr>
            </w:pPr>
            <w:r>
              <w:rPr>
                <w:rFonts w:ascii="Arial" w:cs="Arial" w:eastAsia="Arial" w:hAnsi="Arial"/>
                <w:sz w:val="18"/>
                <w:szCs w:val="18"/>
                <w:color w:val="auto"/>
              </w:rPr>
              <w:t>Accrued expenses consisted of the following (in thousands):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6"/>
        </w:trPr>
        <w:tc>
          <w:tcPr>
            <w:tcW w:w="5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Accrued clinical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9"/>
        </w:trPr>
        <w:tc>
          <w:tcPr>
            <w:tcW w:w="57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4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06"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2019 the Company determined that no impairment of goodwill existed and was not aware of any indicators of impairment at such date. In addition, there were no indicators of impairment at March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44"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In connection with a private placement of the Company’s common stock, par value $0.001 per share, in 2014, the Company issued warrants as compensation to the placement agent to purchase a total of 299,625 shares of its common stock at a price of $2.67 per share (the Private Placement Warrants). The Private Placement Warrants are exercisable for period of seven years from issuance. As of March 31, 2020, a total of 46,238 of Private Placement Warrants were outstanding. In connection with the closing of the Company’s initial public offering in 2016, the Company issued warrants as compensation to its underwriters to purchase a total of 574,985 shares of its common stock at a price of $5.00 per share (the IPO Warrants). The IPO Warrants are exercisable for a period of five years from issuance. As of March 31, 2020, a total of 121,609 of the IPO Warrants were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21" w:lineRule="exact"/>
        <w:rPr>
          <w:sz w:val="20"/>
          <w:szCs w:val="20"/>
          <w:color w:val="auto"/>
        </w:rPr>
      </w:pPr>
    </w:p>
    <w:p>
      <w:pPr>
        <w:jc w:val="center"/>
        <w:ind w:left="1560" w:right="180"/>
        <w:spacing w:after="0" w:line="481" w:lineRule="auto"/>
        <w:rPr>
          <w:sz w:val="20"/>
          <w:szCs w:val="20"/>
          <w:color w:val="auto"/>
        </w:rPr>
      </w:pPr>
      <w:r>
        <w:rPr>
          <w:rFonts w:ascii="Arial" w:cs="Arial" w:eastAsia="Arial" w:hAnsi="Arial"/>
          <w:sz w:val="18"/>
          <w:szCs w:val="18"/>
          <w:color w:val="auto"/>
        </w:rPr>
        <w:t>The 2017 Plan has a 10-year term, and provides for the grant of stock options, stock appreciation rights, restricted stock,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91502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2020, the Company’s Board authorized an increase in the number of shares of common stock available under the 2017 Plan increased by 833,018 shares pursuant to the evergreen provision of the 2017 Plan. Pursuant to the 2017 Plan, the 2019 share increase is determined based on the least of (i) 1,200,000 shares, (ii) 4% of the Company’s common stock outstanding at December 31 of the immediately preceding year, or (iii) such number of shares as determined by the Board. As of March 31, 2020, 1,721,093 shares of common stock remained available for issuance under the 2017 Plan.</w:t>
      </w:r>
    </w:p>
    <w:p>
      <w:pPr>
        <w:spacing w:after="0" w:line="12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22"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March 31, 2020, 8,492 shares of common stock remained available for issuance under the Inducement Plan.</w:t>
      </w:r>
    </w:p>
    <w:p>
      <w:pPr>
        <w:spacing w:after="0" w:line="126"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Certain stock options awarded to the Company’s executives contain performance conditions related to certain financial measures and achievements of strategic/operational milestones (performance options). As of March 31, 2020, it is not probable that these performance conditions will be achieved and accordingly no stock compensation has been recorded for these performance options to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previously adopted and the stockholders approved the Company’s 2017 Employee Stock Purchase Plan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 ESPP).</w:t>
      </w:r>
    </w:p>
    <w:p>
      <w:pPr>
        <w:spacing w:after="0" w:line="128"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January 2019, the Board determined not to increase the number of shares of common stock available under the 2017 ESPP pursuant to the evergreen provision of the 2017 ESPP. During the three-month period ended March 31, 2020, the Company issued 43,224 shares of common stock under the 2017 ESPP. As of March 31, 2020, 396,971 shares of common stock remained available for issuance under the 2017 ESPP.</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firstLine="441"/>
        <w:spacing w:after="0" w:line="235" w:lineRule="auto"/>
        <w:tabs>
          <w:tab w:leader="none" w:pos="701"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three-month period ended March 31, 2020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Stock Options Outstanding</w:t>
            </w:r>
          </w:p>
        </w:tc>
        <w:tc>
          <w:tcPr>
            <w:tcW w:w="1540" w:type="dxa"/>
            <w:vAlign w:val="bottom"/>
            <w:tcBorders>
              <w:bottom w:val="single" w:sz="8" w:color="auto"/>
            </w:tcBorders>
          </w:tcPr>
          <w:p>
            <w:pPr>
              <w:spacing w:after="0"/>
              <w:rPr>
                <w:sz w:val="14"/>
                <w:szCs w:val="14"/>
                <w:color w:val="auto"/>
              </w:rPr>
            </w:pPr>
          </w:p>
        </w:tc>
      </w:tr>
      <w:tr>
        <w:trPr>
          <w:trHeight w:val="173"/>
        </w:trPr>
        <w:tc>
          <w:tcPr>
            <w:tcW w:w="4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center"/>
              <w:ind w:right="319"/>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4260" w:type="dxa"/>
            <w:vAlign w:val="bottom"/>
          </w:tcPr>
          <w:p>
            <w:pPr>
              <w:spacing w:after="0"/>
              <w:rPr>
                <w:sz w:val="15"/>
                <w:szCs w:val="15"/>
                <w:color w:val="auto"/>
              </w:rPr>
            </w:pPr>
          </w:p>
        </w:tc>
        <w:tc>
          <w:tcPr>
            <w:tcW w:w="1640" w:type="dxa"/>
            <w:vAlign w:val="bottom"/>
          </w:tcPr>
          <w:p>
            <w:pPr>
              <w:ind w:left="1060"/>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jc w:val="center"/>
              <w:ind w:right="339"/>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426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w w:val="89"/>
              </w:rPr>
              <w:t>of shares</w:t>
            </w: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9"/>
              </w:rPr>
              <w:t>exercise price</w:t>
            </w: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3,749,186</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178,000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(12,855)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7"/>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March 31, 2020</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3,891,607</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15.67</w:t>
            </w: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 March 31, 2020</w:t>
            </w:r>
          </w:p>
        </w:tc>
        <w:tc>
          <w:tcPr>
            <w:tcW w:w="1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2,301,566</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above excludes 69,375 performance stock options granted for which the performance criteria had not been established as of March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Three-Month Periods Ended</w:t>
            </w:r>
          </w:p>
        </w:tc>
        <w:tc>
          <w:tcPr>
            <w:tcW w:w="580" w:type="dxa"/>
            <w:vAlign w:val="bottom"/>
          </w:tcPr>
          <w:p>
            <w:pPr>
              <w:spacing w:after="0"/>
              <w:rPr>
                <w:sz w:val="15"/>
                <w:szCs w:val="15"/>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69"/>
        </w:trPr>
        <w:tc>
          <w:tcPr>
            <w:tcW w:w="44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gridSpan w:val="2"/>
            <w:shd w:val="clear" w:color="auto" w:fill="CCEEFF"/>
          </w:tcPr>
          <w:p>
            <w:pPr>
              <w:jc w:val="right"/>
              <w:ind w:right="94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32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0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32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7"/>
        </w:trPr>
        <w:tc>
          <w:tcPr>
            <w:tcW w:w="4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50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Three-Month Periods Ended March 31,</w:t>
            </w:r>
          </w:p>
        </w:tc>
      </w:tr>
      <w:tr>
        <w:trPr>
          <w:trHeight w:val="169"/>
        </w:trPr>
        <w:tc>
          <w:tcPr>
            <w:tcW w:w="426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Expected term in years</w:t>
            </w:r>
          </w:p>
        </w:tc>
        <w:tc>
          <w:tcPr>
            <w:tcW w:w="2640" w:type="dxa"/>
            <w:vAlign w:val="bottom"/>
            <w:shd w:val="clear" w:color="auto" w:fill="CCEEFF"/>
          </w:tcPr>
          <w:p>
            <w:pPr>
              <w:jc w:val="right"/>
              <w:ind w:right="1096"/>
              <w:spacing w:after="0" w:line="169" w:lineRule="exact"/>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0.4 - 6.1</w:t>
            </w:r>
          </w:p>
        </w:tc>
      </w:tr>
      <w:tr>
        <w:trPr>
          <w:trHeight w:val="175"/>
        </w:trPr>
        <w:tc>
          <w:tcPr>
            <w:tcW w:w="426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264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42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r>
      <w:tr>
        <w:trPr>
          <w:trHeight w:val="175"/>
        </w:trPr>
        <w:tc>
          <w:tcPr>
            <w:tcW w:w="4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0.4% - 1.7%</w:t>
            </w: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2.4% - 2.7%</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3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93"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50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Three-Month Periods Ended March 31,</w:t>
            </w:r>
          </w:p>
        </w:tc>
      </w:tr>
      <w:tr>
        <w:trPr>
          <w:trHeight w:val="169"/>
        </w:trPr>
        <w:tc>
          <w:tcPr>
            <w:tcW w:w="426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Expected term in years</w:t>
            </w:r>
          </w:p>
        </w:tc>
        <w:tc>
          <w:tcPr>
            <w:tcW w:w="26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0.5 - 1.0</w:t>
            </w: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0.5 - 1.0</w:t>
            </w:r>
          </w:p>
        </w:tc>
      </w:tr>
      <w:tr>
        <w:trPr>
          <w:trHeight w:val="175"/>
        </w:trPr>
        <w:tc>
          <w:tcPr>
            <w:tcW w:w="426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264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42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r>
      <w:tr>
        <w:trPr>
          <w:trHeight w:val="175"/>
        </w:trPr>
        <w:tc>
          <w:tcPr>
            <w:tcW w:w="4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2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0.9% - 1.0%</w:t>
            </w: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2.5% - 2.6%</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3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93"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44" w:lineRule="exact"/>
        <w:rPr>
          <w:sz w:val="20"/>
          <w:szCs w:val="20"/>
          <w:color w:val="auto"/>
        </w:rPr>
      </w:pPr>
    </w:p>
    <w:p>
      <w:pPr>
        <w:jc w:val="both"/>
        <w:ind w:right="40" w:firstLine="441"/>
        <w:spacing w:after="0" w:line="223" w:lineRule="auto"/>
        <w:rPr>
          <w:sz w:val="20"/>
          <w:szCs w:val="20"/>
          <w:color w:val="auto"/>
        </w:rPr>
      </w:pPr>
      <w:r>
        <w:rPr>
          <w:rFonts w:ascii="Arial" w:cs="Arial" w:eastAsia="Arial" w:hAnsi="Arial"/>
          <w:sz w:val="17"/>
          <w:szCs w:val="17"/>
          <w:color w:val="auto"/>
        </w:rPr>
        <w:t>The Company may annually sponsor research activities (SRAs) performed by Old Dominion University’s Frank Reidy Center (ODURF). ODURF is compensated by the Company for its conduct of each study in accordance with the budget and payment terms set forth in the applicable task order. During the year ended December 31, 2019, the Company agreed to sponsor $0.8 million in research during the subsequent 12-month period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March 31, 2020, approximately $0.4 million remained payable under this agreement.</w:t>
      </w:r>
    </w:p>
    <w:p>
      <w:pPr>
        <w:spacing w:after="0" w:line="126" w:lineRule="exact"/>
        <w:rPr>
          <w:sz w:val="20"/>
          <w:szCs w:val="20"/>
          <w:color w:val="auto"/>
        </w:rPr>
      </w:pPr>
    </w:p>
    <w:p>
      <w:pPr>
        <w:jc w:val="both"/>
        <w:ind w:right="40" w:firstLine="441"/>
        <w:spacing w:after="0" w:line="235" w:lineRule="auto"/>
        <w:rPr>
          <w:sz w:val="20"/>
          <w:szCs w:val="20"/>
          <w:color w:val="auto"/>
        </w:rPr>
      </w:pPr>
      <w:r>
        <w:rPr>
          <w:rFonts w:ascii="Arial" w:cs="Arial" w:eastAsia="Arial" w:hAnsi="Arial"/>
          <w:sz w:val="18"/>
          <w:szCs w:val="18"/>
          <w:color w:val="auto"/>
        </w:rPr>
        <w:t>During the three-month periods ended March 31, 2020 and 2019, the Company paid and incurred costs related to the SRAs equal to $0.2 million, respectively.</w:t>
      </w:r>
    </w:p>
    <w:p>
      <w:pPr>
        <w:spacing w:after="0" w:line="117" w:lineRule="exact"/>
        <w:rPr>
          <w:sz w:val="20"/>
          <w:szCs w:val="20"/>
          <w:color w:val="auto"/>
        </w:rPr>
      </w:pPr>
    </w:p>
    <w:p>
      <w:pPr>
        <w:ind w:left="440" w:right="6540" w:hanging="440"/>
        <w:spacing w:after="0" w:line="460" w:lineRule="auto"/>
        <w:tabs>
          <w:tab w:leader="none" w:pos="2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During January 2017, the Company entered into a five-year lease (the Existing Lease) for approximately 15,700 square feet for its corporate headquarters located in Hayward, California (the Existing Premises). The lease commenced during July 2017.</w:t>
      </w:r>
    </w:p>
    <w:p>
      <w:pPr>
        <w:spacing w:after="0" w:line="122"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During May 2019, the Company entered into Lease Amendment 1 (the Amendment) in relation to the Existing Lease and added the lease of new premises of approximately 34,600 square feet (Expansion Premises); additionally, the term of the Existing Lease was extended to October 2029.</w:t>
      </w:r>
    </w:p>
    <w:p>
      <w:pPr>
        <w:spacing w:after="0" w:line="122" w:lineRule="exact"/>
        <w:rPr>
          <w:sz w:val="20"/>
          <w:szCs w:val="20"/>
          <w:color w:val="auto"/>
        </w:rPr>
      </w:pPr>
    </w:p>
    <w:p>
      <w:pPr>
        <w:jc w:val="both"/>
        <w:ind w:right="40" w:firstLine="441"/>
        <w:spacing w:after="0" w:line="212" w:lineRule="auto"/>
        <w:rPr>
          <w:sz w:val="20"/>
          <w:szCs w:val="20"/>
          <w:color w:val="auto"/>
        </w:rPr>
      </w:pPr>
      <w:r>
        <w:rPr>
          <w:rFonts w:ascii="Arial" w:cs="Arial" w:eastAsia="Arial" w:hAnsi="Arial"/>
          <w:sz w:val="18"/>
          <w:szCs w:val="18"/>
          <w:color w:val="auto"/>
        </w:rPr>
        <w:t>The Company evaluated the Amendment under the provisions of ASC 842 that it adopted on January 1, 2019, and accounted the Amendment as a single contract with the Existing Lease because the additional lease payments due to the Amendment was not commensurate with the right-of-use (ROU) asset granted to the Company. Though the Amendment was accounted for as a single contract, the Existing Premises and Expansion Premises are accounted for as separate lease components. Accordingly, the Company measured and allocated consideration to each lease component as of the modification date. Upon commencement of each lease component, the Company will reassess and calculate the lease liability and ROU asset for the respective component.</w:t>
      </w:r>
    </w:p>
    <w:p>
      <w:pPr>
        <w:spacing w:after="0" w:line="138" w:lineRule="exact"/>
        <w:rPr>
          <w:sz w:val="20"/>
          <w:szCs w:val="20"/>
          <w:color w:val="auto"/>
        </w:rPr>
      </w:pPr>
    </w:p>
    <w:p>
      <w:pPr>
        <w:jc w:val="both"/>
        <w:ind w:right="40" w:firstLine="441"/>
        <w:spacing w:after="0" w:line="235" w:lineRule="auto"/>
        <w:rPr>
          <w:sz w:val="20"/>
          <w:szCs w:val="20"/>
          <w:color w:val="auto"/>
        </w:rPr>
      </w:pPr>
      <w:r>
        <w:rPr>
          <w:rFonts w:ascii="Arial" w:cs="Arial" w:eastAsia="Arial" w:hAnsi="Arial"/>
          <w:sz w:val="18"/>
          <w:szCs w:val="18"/>
          <w:color w:val="auto"/>
        </w:rPr>
        <w:t>Information related to the Company’s ROU assets and related lease liabilities were as follows (in thousands except for remaining lease term and discount rate):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9 months)</w:t>
            </w:r>
          </w:p>
        </w:tc>
        <w:tc>
          <w:tcPr>
            <w:tcW w:w="5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4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w:t>
            </w: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2023</w:t>
            </w:r>
          </w:p>
        </w:tc>
        <w:tc>
          <w:tcPr>
            <w:tcW w:w="4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2025</w:t>
            </w:r>
          </w:p>
        </w:tc>
        <w:tc>
          <w:tcPr>
            <w:tcW w:w="4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w:t>
            </w: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40" w:type="dxa"/>
            <w:vAlign w:val="bottom"/>
          </w:tcPr>
          <w:p>
            <w:pPr>
              <w:spacing w:after="0"/>
              <w:rPr>
                <w:sz w:val="18"/>
                <w:szCs w:val="18"/>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Total lease payments</w:t>
            </w:r>
          </w:p>
        </w:tc>
        <w:tc>
          <w:tcPr>
            <w:tcW w:w="4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10,890</w:t>
            </w: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5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6,788</w:t>
            </w:r>
          </w:p>
        </w:tc>
        <w:tc>
          <w:tcPr>
            <w:tcW w:w="40" w:type="dxa"/>
            <w:vAlign w:val="bottom"/>
          </w:tcPr>
          <w:p>
            <w:pPr>
              <w:spacing w:after="0"/>
              <w:rPr>
                <w:sz w:val="18"/>
                <w:szCs w:val="18"/>
                <w:color w:val="auto"/>
              </w:rPr>
            </w:pPr>
          </w:p>
        </w:tc>
      </w:tr>
      <w:tr>
        <w:trPr>
          <w:trHeight w:val="419"/>
        </w:trPr>
        <w:tc>
          <w:tcPr>
            <w:tcW w:w="3260" w:type="dxa"/>
            <w:vAlign w:val="bottom"/>
          </w:tcPr>
          <w:p>
            <w:pPr>
              <w:spacing w:after="0"/>
              <w:rPr>
                <w:sz w:val="24"/>
                <w:szCs w:val="24"/>
                <w:color w:val="auto"/>
              </w:rPr>
            </w:pPr>
          </w:p>
        </w:tc>
        <w:tc>
          <w:tcPr>
            <w:tcW w:w="4440" w:type="dxa"/>
            <w:vAlign w:val="bottom"/>
          </w:tcPr>
          <w:p>
            <w:pPr>
              <w:jc w:val="right"/>
              <w:ind w:right="2870"/>
              <w:spacing w:after="0"/>
              <w:rPr>
                <w:sz w:val="20"/>
                <w:szCs w:val="20"/>
                <w:color w:val="auto"/>
              </w:rPr>
            </w:pPr>
            <w:r>
              <w:rPr>
                <w:rFonts w:ascii="Arial" w:cs="Arial" w:eastAsia="Arial" w:hAnsi="Arial"/>
                <w:sz w:val="18"/>
                <w:szCs w:val="18"/>
                <w:color w:val="auto"/>
              </w:rPr>
              <w:t>14</w:t>
            </w:r>
          </w:p>
        </w:tc>
        <w:tc>
          <w:tcPr>
            <w:tcW w:w="5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26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260" w:type="dxa"/>
            <w:vAlign w:val="bottom"/>
            <w:tcBorders>
              <w:bottom w:val="single" w:sz="8" w:color="EEEEEE"/>
            </w:tcBorders>
          </w:tcPr>
          <w:p>
            <w:pPr>
              <w:spacing w:after="0" w:line="20" w:lineRule="exact"/>
              <w:rPr>
                <w:sz w:val="1"/>
                <w:szCs w:val="1"/>
                <w:color w:val="auto"/>
              </w:rPr>
            </w:pPr>
          </w:p>
        </w:tc>
        <w:tc>
          <w:tcPr>
            <w:tcW w:w="44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889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supplemental non-cash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89788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paid for operating lease liabilities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liabilities arising from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97880" cy="111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7880" cy="11176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978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58978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97880" cy="1289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58978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1272"/>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377</w:t>
      </w:r>
    </w:p>
    <w:p>
      <w:pPr>
        <w:spacing w:after="0" w:line="36"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7"/>
          <w:szCs w:val="17"/>
          <w:color w:val="auto"/>
        </w:rPr>
        <w:t>5,027</w:t>
      </w:r>
    </w:p>
    <w:p>
      <w:pPr>
        <w:spacing w:after="0" w:line="18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003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1140" w:hanging="1132"/>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6,788</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9.59 years</w:t>
      </w:r>
    </w:p>
    <w:p>
      <w:pPr>
        <w:jc w:val="right"/>
        <w:ind w:right="40"/>
        <w:spacing w:after="0"/>
        <w:rPr>
          <w:sz w:val="20"/>
          <w:szCs w:val="20"/>
          <w:color w:val="auto"/>
        </w:rPr>
      </w:pPr>
      <w:r>
        <w:rPr>
          <w:rFonts w:ascii="Arial" w:cs="Arial" w:eastAsia="Arial" w:hAnsi="Arial"/>
          <w:sz w:val="18"/>
          <w:szCs w:val="18"/>
          <w:color w:val="auto"/>
        </w:rPr>
        <w:t>10%</w:t>
      </w:r>
    </w:p>
    <w:p>
      <w:pPr>
        <w:spacing w:after="0" w:line="155" w:lineRule="exact"/>
        <w:rPr>
          <w:sz w:val="20"/>
          <w:szCs w:val="20"/>
          <w:color w:val="auto"/>
        </w:rPr>
      </w:pPr>
    </w:p>
    <w:p>
      <w:pPr>
        <w:sectPr>
          <w:pgSz w:w="11900" w:h="16838" w:orient="portrait"/>
          <w:cols w:equalWidth="0" w:num="2">
            <w:col w:w="6980" w:space="720"/>
            <w:col w:w="1580"/>
          </w:cols>
          <w:pgMar w:left="1300" w:top="108" w:right="1319" w:bottom="1440" w:gutter="0" w:footer="0" w:header="0"/>
        </w:sectPr>
      </w:pPr>
    </w:p>
    <w:p>
      <w:pPr>
        <w:jc w:val="both"/>
        <w:ind w:firstLine="441"/>
        <w:spacing w:after="0" w:line="235" w:lineRule="auto"/>
        <w:rPr>
          <w:sz w:val="20"/>
          <w:szCs w:val="20"/>
          <w:color w:val="auto"/>
        </w:rPr>
      </w:pPr>
      <w:r>
        <w:rPr>
          <w:rFonts w:ascii="Arial" w:cs="Arial" w:eastAsia="Arial" w:hAnsi="Arial"/>
          <w:sz w:val="18"/>
          <w:szCs w:val="18"/>
          <w:color w:val="auto"/>
        </w:rPr>
        <w:t>During the three-month periods ended March 31, 2020 and 2019, rent expense, including common area maintenance charges, was approximately $0.2 million and $0.1 million, respectively.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22"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condensed consolidated financial statements of the business; however, the results of litigation and claims are inherently unpredictable.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48"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Kenneth A. Clark, a director of the Company since November 2017, is a member of the law firm of Wilson Sonsini Goodrich and Rosati (WSGR), which also serves as the outside corporate counsel to the Company. During the three-month periods ended March 31, 2020 and 2019, the Company incurred expenses reported in general and administrative expenses in the consolidated statement of operations for legal services rendered by WSGR totaling approximately $0.1 million,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Pulse Biosciences, CellFX, Nano-Pulse Stimulation, and NPS and the stylized logos are trademarks or registered trademarks of the Company in the United States and other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6"/>
          <w:szCs w:val="16"/>
          <w:color w:val="auto"/>
        </w:rPr>
        <w:t>We are a novel bioelectric medicine company committed to health innovation that improves and potentially extends the lives of patients. We are pursuing regulatory clearance from the FDA to market our first product, our proprietary CellFX</w:t>
      </w:r>
      <w:r>
        <w:rPr>
          <w:rFonts w:ascii="Arial" w:cs="Arial" w:eastAsia="Arial" w:hAnsi="Arial"/>
          <w:sz w:val="7"/>
          <w:szCs w:val="7"/>
          <w:color w:val="auto"/>
        </w:rPr>
        <w:t>®</w:t>
      </w:r>
      <w:r>
        <w:rPr>
          <w:rFonts w:ascii="Arial" w:cs="Arial" w:eastAsia="Arial" w:hAnsi="Arial"/>
          <w:sz w:val="16"/>
          <w:szCs w:val="16"/>
          <w:color w:val="auto"/>
        </w:rPr>
        <w:t xml:space="preserve"> System. The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0"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16"/>
          <w:szCs w:val="16"/>
          <w:color w:val="auto"/>
        </w:rPr>
        <w:t>We have incurred substantial operating losses and have used cash in our operating activities since inception. Based on our current operating plan, we believe we do not have sufficient cash and cash equivalents on hand to support current operations for at least twelve months from the date that our audited consolidated financial statements included elsewhere in this Quarterly Report on Form 10-Q were issued. To finance our operations beyond that point, we will need to raise additional capital, which cannot be assured. We have concluded that this circumstance raises substantial doubt about our ability to continue as a going concern for at least twelve months from the date that our audited consolidated financial statements included elsewhere in this Quarterly Report on Form 10-Q were issued. As such, we plan to seek to raise capital from time to time this year through future debt or equity financings to fund our future operations and remain as a going concern including by pursuing a proposed rights offering, seeking to raise gross proceeds of approximately $30 million assuming such rights offering is fully subscribed and excluding the proceeds from any warrants which may be issued in the rights offering and exercised following the completion of the offering. There is no assurance that the rights offering will be successful, or that additional financing will be available when needed or that management will be able to obtain financing on terms acceptable to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left="640" w:hanging="316"/>
        <w:spacing w:after="0" w:line="22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122" w:lineRule="exact"/>
        <w:rPr>
          <w:rFonts w:ascii="Arial" w:cs="Arial" w:eastAsia="Arial" w:hAnsi="Arial"/>
          <w:sz w:val="18"/>
          <w:szCs w:val="18"/>
          <w:color w:val="auto"/>
        </w:rPr>
      </w:pPr>
    </w:p>
    <w:p>
      <w:pPr>
        <w:jc w:val="both"/>
        <w:ind w:left="640" w:hanging="316"/>
        <w:spacing w:after="0" w:line="259"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106" w:lineRule="exact"/>
        <w:rPr>
          <w:rFonts w:ascii="Arial" w:cs="Arial" w:eastAsia="Arial" w:hAnsi="Arial"/>
          <w:sz w:val="16"/>
          <w:szCs w:val="16"/>
          <w:color w:val="auto"/>
        </w:rPr>
      </w:pPr>
    </w:p>
    <w:p>
      <w:pPr>
        <w:jc w:val="both"/>
        <w:ind w:left="640" w:hanging="316"/>
        <w:spacing w:after="0" w:line="22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22"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20"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In addition,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Securities and Exchange Commission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6"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2019 filed with the SEC on March 16,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4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March 31, 2020 and 2019</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400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3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170"/>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0"/>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4000" w:type="dxa"/>
            <w:vAlign w:val="bottom"/>
            <w:gridSpan w:val="2"/>
          </w:tcPr>
          <w:p>
            <w:pPr>
              <w:spacing w:after="0" w:line="169" w:lineRule="exact"/>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1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0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r>
      <w:tr>
        <w:trPr>
          <w:trHeight w:val="169"/>
        </w:trPr>
        <w:tc>
          <w:tcPr>
            <w:tcW w:w="40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Other income:</w:t>
            </w:r>
          </w:p>
        </w:tc>
        <w:tc>
          <w:tcPr>
            <w:tcW w:w="1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16"/>
        </w:trPr>
        <w:tc>
          <w:tcPr>
            <w:tcW w:w="4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1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09"/>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17"/>
        </w:trPr>
        <w:tc>
          <w:tcPr>
            <w:tcW w:w="4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General and administrative expenses consist of salaries and related expenses for executives, sales and marketing, finance, legal, human resources, information technology and administrative personnel, professional fees, patent fees and costs, insurance costs and other general corporate expenses. General and administrative expenses increased by $1.2 million to $5.6 million for the three-month period ended March 31, 2020, from $4.4 million during the same period in 2019 primarily due to $0.9 million of increased employee compensation and $0.3 million of increased stock-based compensation. Compensation-related expenses increased due to an increase in headcount. General and administrative expenses are expected to continue at approximately the current rate for the remainder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Research and development expenses consist of salaries and related expenses for manufacturing, research and development personnel, clinical trials and consulting costs related to the design, development and enhancement of our potential future products, prototype material and devices. Research and development expenses increased by $0.3 million to $6.2 million for the three-month period ended March 31, 2020, from $5.8 million during the same period in 2019 primarily due to increased employee compensation costs. Headcount increases during 2020 contributed to increased employee compensation costs. Research and development expenses are expected to continue at approximately the current rate for the remainder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ind w:right="260" w:firstLine="441"/>
        <w:spacing w:after="0" w:line="235" w:lineRule="auto"/>
        <w:rPr>
          <w:sz w:val="20"/>
          <w:szCs w:val="20"/>
          <w:color w:val="auto"/>
        </w:rPr>
      </w:pPr>
      <w:r>
        <w:rPr>
          <w:rFonts w:ascii="Arial" w:cs="Arial" w:eastAsia="Arial" w:hAnsi="Arial"/>
          <w:sz w:val="18"/>
          <w:szCs w:val="18"/>
          <w:color w:val="auto"/>
        </w:rPr>
        <w:t>Interest income decreased by $0.2 million, to $0.1 million for the three-month period ended March 31, 2020, from $0.3 million during the same period in 2019 primarily due to decreased cash and investment balances.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To date, we have not generated any revenues from product sales and do not expect to generate revenues from product sales in 2020. Since inception, we have funded our business primarily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incur substantial incremental costs associated with operating as a public company.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4"/>
              </w:rPr>
              <w:t>Three-Month Periods Ended</w:t>
            </w:r>
          </w:p>
        </w:tc>
      </w:tr>
      <w:tr>
        <w:trPr>
          <w:trHeight w:val="171"/>
        </w:trPr>
        <w:tc>
          <w:tcPr>
            <w:tcW w:w="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58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(35,731)</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672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(42,567)</w:t>
            </w:r>
          </w:p>
        </w:tc>
      </w:tr>
    </w:tbl>
    <w:p>
      <w:pPr>
        <w:spacing w:after="0" w:line="121"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At March 31, 2020, we had cash, cash equivalents and investments of $15.9 million. We have determined that there is substantial doubt concerning our ability to continue as an ongoing business for the next twelve months from the date that our unaudited condensed consolidated financial statements included elsewhere on this Quarterly Report on Form 10-Q were issued unless we obtain additional capital. To date, we have not generated any revenue. As a result, we have incurred significant operating losses in each year since our inception and we may continue to incur additional losses for the next several years.</w:t>
      </w:r>
    </w:p>
    <w:p>
      <w:pPr>
        <w:spacing w:after="0" w:line="11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We plan to raise additional capital in the future, including by pursuing a proposed rights offering, seeking to raise gross proceeds of approximately $30 million assuming such rights offering is fully subscribed and excluding the proceeds from any warrants which may be issued in the rights offering and exercised following the completion of the offering. There is no assurance that the rights offering will be successful, or that additional financing will be available when needed or that management will be able to obtain financing on terms acceptable to us. The ongoing COVID-19 pandemic and resulting negative impact on the global macroeconomic environment and capital markets may make it more difficult for us to raise additional funds.</w:t>
      </w:r>
    </w:p>
    <w:p>
      <w:pPr>
        <w:spacing w:after="0" w:line="124"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4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During the three-month period ended March 31, 2020, we used cash of $9.6 million in operating activities. The difference between cash used in operating activities and net loss consisted primarily of stock-based compensation and depreciation and amortization, and a decrease in accounts payable, partially offset by decreases in prepaid expenses and other current assets and accrued expenses.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the three-month period ended March 31, 2019, we used cash of $7.3 million in operating activities. The difference between cash used in operating activities and net loss consisted primarily of depreciation and amortization, stock-based compensation, and an increase in prepaid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investing activities consist primarily of investment purchases, sales and maturities and capital expenditures.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the three-month period ended March 31, 2020, $10.3 million of cash provided by investing activities primarily from $13.5 million of cash proceeds from the maturities of investments, partially offset by the purchase of available-for-sale securities of $3.0 million.</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the three-month period ended March 31, 2019, $35.7 million of cash was used in investing activities, consisting of $44.2 million of cash used to purchase available-for-sale securities partially offset by $8.5 million of cash proceeds from the maturities of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the three-month periods ended March 31, 2020 and 2019, cash provided from financing activities was $0.3 million and $0.5 million, respectively, primarily due to cash received from stock option exercises and the sale of stock under our employee stock purchase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since disclosed in our Annual Report on Form 10-K for the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At March 31, 2020, we did not have any transactions, obligations or relationships that constitute off-balance sheet arrangements.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 /or other alternatives.</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12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2019.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1"/>
        <w:spacing w:after="0" w:line="23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March 31, 2020,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w:t>
      </w:r>
    </w:p>
    <w:p>
      <w:pPr>
        <w:spacing w:after="0" w:line="5" w:lineRule="exact"/>
        <w:rPr>
          <w:sz w:val="20"/>
          <w:szCs w:val="20"/>
          <w:color w:val="auto"/>
        </w:rPr>
      </w:pPr>
    </w:p>
    <w:p>
      <w:pPr>
        <w:jc w:val="both"/>
        <w:spacing w:after="0" w:line="231" w:lineRule="auto"/>
        <w:tabs>
          <w:tab w:leader="none" w:pos="263"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required by Rule 13a-15(d) and 15d-15(d) of the Exchange Act, as amended, that occurred during the quarter ended March 31, 2020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results of legal proceedings and claims are inherently unpredictable. We do not believe any currently pending matters will have a material adverse effect on our business based on our current understanding of such matters. Regardless of the outcome, litigation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21"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clearance or approval for, launching, selling and supporting our therapies and treatments utilizing our CellFX System or other products based on NPS technology; however, our technology is still in development and has not been cleared or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as we continue to seek regulatory clearance or approval for our products. We are incurring significant operating losses, we expect to continue to incur additional losses for at least the next several years, and we cannot assure you that we will generate revenue or be profitable in the future. Our future products may never be cleared or approved or become commercially viable or accepted for use. Even if we find commercially viable applications for our technology, which may include licensing, we may never recover our research and development expenses.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date, we have not generated any revenue and we have incurred significant operating losses in each year since our inception and we may continue to incur additional losses for the next several years. In connection with our Annual Report 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Form 10-K for the year ended December 31, 2019, management concluded that there is substantial doubt we can continue as an ongoing business for the next twelve months from the date that our audited consolidated financial statements in our Annual Report on Form 10-K for the year ended December 31, 2019 were issued unless we obtain additional capital. As a result, our independent registered public accountants included an explanatory paragraph in their auditors’ report relating to going concern.</w:t>
      </w:r>
    </w:p>
    <w:p>
      <w:pPr>
        <w:spacing w:after="0" w:line="289"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We plan to raise additional capital to fund our operations, including via a proposed rights offering seeking to raise gross proceeds of approximately $30 million, assuming such rights offering is fully subscribed and excluding the proceeds from any warrants which may be issued in the rights offering and exercised following the completion of the offering. There is no assurance that the rights offering will be successful, or that additional financing will be available when needed or that management will be able to obtain financing on terms acceptable to us. Accordingly, management cannot conclude that such plans will be effectively implemented within the twelve months from the date that our unaudited condensed consolidated interim financial statements included in our Quarterly Report on Form 10-Q for the three months ended March 31, 2020 were issued.</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These factors, combined with our forecast of cash required to fund operations for a period of at least twelve months from the date that unaudited condensed consolidated interim financial statements included in our Quarterly Report on Form 10-Q for the three months ended March 31, 2020 were issued, raise substantial doubt about our ability to continue as a going concern.</w:t>
      </w:r>
    </w:p>
    <w:p>
      <w:pPr>
        <w:spacing w:after="0" w:line="28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2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We have experienced operating losses, and we may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1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We will need to raise additional capital in order to continue to execute our business plan in the future including by pursuing a rights offering, which has been approved by our board of directors, to raise gross proceeds of approximately $30 million, assuming such rights offering is fully subscribed and excluding the proceeds from any warrants which may be issued in the rights offering and exercised following the completion of the offering.</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There is no assurance that the rights offering will be successful, or that additional financing will be available when needed or that management will be able to obtain financing on terms acceptable to us. If we are unable to raise sufficient additional funds, we will have to scale back our operations. The ongoing COVID-19 pandemic and resulting negative impact on the global macroeconomic environment and capital markets may make it more difficult for us to raise additional funds.</w:t>
      </w:r>
    </w:p>
    <w:p>
      <w:pPr>
        <w:spacing w:after="0" w:line="11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some or all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28"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2" w:lineRule="exact"/>
        <w:rPr>
          <w:sz w:val="20"/>
          <w:szCs w:val="20"/>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relating to our product candidates, which may change from time to time;</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receipt of approvals or clearances for our product candidates from regulatory authorities in the United States (U.S.) or internationally;</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jc w:val="both"/>
        <w:ind w:left="640" w:hanging="316"/>
        <w:spacing w:after="0" w:line="237"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our product candidates, if approved or cleared, including the degree to which treatments using our products are covered and receive adequate reimbursement from third-party payors, and potential future drugs or devices that compete with our product candidates;</w:t>
      </w:r>
    </w:p>
    <w:p>
      <w:pPr>
        <w:spacing w:after="0" w:line="122"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 candidates and technologies;</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if approved or cleared, which may vary significantly over time;</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44"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83"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22"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efficacy or better safety profiles;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experience in obtaining patents and regulatory approvals for product candidates and other resources;</w:t>
      </w:r>
    </w:p>
    <w:p>
      <w:pPr>
        <w:spacing w:after="0" w:line="155"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44" w:lineRule="exact"/>
        <w:rPr>
          <w:sz w:val="20"/>
          <w:szCs w:val="20"/>
          <w:color w:val="auto"/>
        </w:rPr>
      </w:pPr>
    </w:p>
    <w:p>
      <w:pPr>
        <w:jc w:val="both"/>
        <w:ind w:firstLine="441"/>
        <w:spacing w:after="0" w:line="209" w:lineRule="auto"/>
        <w:rPr>
          <w:sz w:val="20"/>
          <w:szCs w:val="20"/>
          <w:color w:val="auto"/>
        </w:rPr>
      </w:pPr>
      <w:r>
        <w:rPr>
          <w:rFonts w:ascii="Arial" w:cs="Arial" w:eastAsia="Arial" w:hAnsi="Arial"/>
          <w:sz w:val="18"/>
          <w:szCs w:val="18"/>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cleared or approved, may compete with other dermatological products, including over-the-counter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the recent coronavirus outbreak.</w:t>
      </w:r>
    </w:p>
    <w:p>
      <w:pPr>
        <w:spacing w:after="0" w:line="156"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In December 2019, an outbreak of a novel strain of coronavirus (COVID-19) originated in Wuhan, China and has since spread globally. On March 11, 2020, the World Health Organization characterized COVID-19 as a pandemic. In addition, most states in the U.S., including California, where we are headquartered, have declared a state of emergency. The pandemic has resulted in government authorities implementing numerous measures to try to contain the virus, such as travel bans and restrictions, quarantines, shelter-in-place or stay-at-home orders, and business shutdowns.</w:t>
      </w:r>
    </w:p>
    <w:p>
      <w:pPr>
        <w:spacing w:after="0" w:line="16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or working with other remote employees,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2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In addition,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 Also, some of our suppliers of certain materials used in the production of our product candidates are located in areas impacted by COVID-19 which could limit our ability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obtain sufficient materials for our product candidates. COVID-19 has and will continue to adversely affect global economies and financial markets of many countries,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outbreak or a similar health epidemic is highly uncertain and subject to change.</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jc w:val="both"/>
        <w:ind w:firstLine="441"/>
        <w:spacing w:after="0" w:line="209"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26"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83"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2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83"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1"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20"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of 1996 (HIPAA), as amended by the Health Information Technology for Economic and Clinical Health Act of 2009 (HITECH), and the California Consumer Privacy Act of 2018 (the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126"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2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20"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26"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2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4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56"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may continue to incur significant losses for the foreseeable future. If not utilized, the federal and state net operating losses (NOL) carryforwards will begin to expire in various years beginning after 2034. Under the Internal Revenue Code of 1986, as amended, or the Code, and certain similar state tax provisions, a corporation is generally allowed a deduction for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22"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Further, in December 2017, the Tax Cuts and Jobs Act (TCJA) was enacted into law. The change in the tax law was partially effective in 2017 and fully effective in 2018. The primary impacts to us include a decrease of the corporate income tax rate structure and NOL limitations. We are assessing the TCJA with professional advisers, and believe that the impact of the TCJA on our business may not be fully known for some time, and until such analysis is complete, the full impact of the new tax law on us in future periods is uncertain, and no assurances can be made by us on any potential impacts.</w:t>
      </w:r>
    </w:p>
    <w:p>
      <w:pPr>
        <w:spacing w:after="0" w:line="125"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06"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0"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22"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In connection with the preparation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2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Pending regulatory clearance or approval of our CellFX System, we plan to commercially introduce our CellFX System in the U.S. However,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complete the development of any planned products;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or clearances for our planned products and indications that we have studied, or the approved or cleared indications may be narrower than we seek;</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or clearance process including as a result of COVID-19;</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one or more clinical trials;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actual and perceived effectiveness and reliability of our products, especially relative to alternative products may be perceived negatively;</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clinical trials relating to the use of our products may not be what we expect or desire;</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relative cost and perceived advantages and disadvantages of alternative technologies or uses thereof may impact any future sales of our products;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physicians may not adopt our products, or may not adopt our products to a degree sufficient to reach profitability;</w:t>
      </w:r>
    </w:p>
    <w:p>
      <w:pPr>
        <w:spacing w:after="0" w:line="155"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be able to obtain, maintain, protect and enforce our intellectual property rights with respect to our products;</w:t>
      </w:r>
    </w:p>
    <w:p>
      <w:pPr>
        <w:spacing w:after="0" w:line="167" w:lineRule="exact"/>
        <w:rPr>
          <w:rFonts w:ascii="Arial" w:cs="Arial" w:eastAsia="Arial" w:hAnsi="Arial"/>
          <w:sz w:val="16"/>
          <w:szCs w:val="16"/>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sustain a meaningful clinical benefit better than our competitors and alternative treatments or therapies;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be able to achieve and maintain compliance with all regulatory requirements applicable to our products;</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successful in educating medical professionals, including about the benefits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our marketing and distribution infrastructure may not be sufficient;</w:t>
      </w:r>
    </w:p>
    <w:p>
      <w:pPr>
        <w:spacing w:after="0" w:line="144" w:lineRule="exact"/>
        <w:rPr>
          <w:rFonts w:ascii="Arial" w:cs="Arial" w:eastAsia="Arial" w:hAnsi="Arial"/>
          <w:sz w:val="18"/>
          <w:szCs w:val="18"/>
          <w:color w:val="auto"/>
        </w:rPr>
      </w:pPr>
    </w:p>
    <w:p>
      <w:pPr>
        <w:ind w:left="700" w:hanging="376"/>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distributors’ marketing and sales efforts in the U.S. and abroad, including our efforts to build out our sales team, may be inadequate;</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education and awareness among medical professionals concerning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develop positive reputation among physicians, clinics or patients;</w:t>
      </w:r>
    </w:p>
    <w:p>
      <w:pPr>
        <w:spacing w:after="0" w:line="144" w:lineRule="exact"/>
        <w:rPr>
          <w:rFonts w:ascii="Arial" w:cs="Arial" w:eastAsia="Arial" w:hAnsi="Arial"/>
          <w:sz w:val="18"/>
          <w:szCs w:val="18"/>
          <w:color w:val="auto"/>
        </w:rPr>
      </w:pPr>
    </w:p>
    <w:p>
      <w:pPr>
        <w:ind w:left="640" w:hanging="316"/>
        <w:spacing w:after="0" w:line="25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continue to develop, validate and maintain a commercially viable manufacturing process that is compliant with current Good Manufacturing Practices (cGMP) and Quality Systems Regulations (QSR);</w:t>
      </w:r>
    </w:p>
    <w:p>
      <w:pPr>
        <w:spacing w:after="0" w:line="106"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by the FDA or comparable non-U.S. regulatory authorities to conduct additional clinical trials for future or current indications;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products that are approved or cleared by regulatory authorities may not be accepted in the marketplace by physicians or patients;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20"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22" w:lineRule="exact"/>
        <w:rPr>
          <w:sz w:val="20"/>
          <w:szCs w:val="20"/>
          <w:color w:val="auto"/>
        </w:rPr>
      </w:pPr>
    </w:p>
    <w:p>
      <w:pPr>
        <w:jc w:val="both"/>
        <w:ind w:firstLine="500"/>
        <w:spacing w:after="0" w:line="225"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10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122"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Before a new medical device or a new intended use for, an existing device can be marketed in the U.S., a company must first submit and receive either 510(k) clearance or premarketing approval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In February 2020, we received a “not substantially equivalent” (NSE) letter from the FDA, indicating that based on the data provided, we had not demonstrated that the CellFX System is substantially equivalent to the predicate device, concluding the 510(k) review process without clearance. This failure to obtain 510(k) clearance has added significant time and expense to our regulatory clearance process (including additional expense that we will incur in preparing a new 510(k) submission), has delayed our ability to generate revenue, and has had a negative impact on our stock price.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If the FDA rejects our new 510(k) submission, we may be required to obtain FDA approval through the de novo pathway, which will require additional time and resources, including the need to conduct more clinical studies to demonstrate safety and effectiveness of our candidate device.</w:t>
      </w:r>
    </w:p>
    <w:p>
      <w:pPr>
        <w:spacing w:after="0" w:line="126"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The FDA may not approve or clear, or may delay approval or clearance of,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125"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3"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particularly after incurring significant expenditures, our business may fail and investors may lose the entirety of their investment.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44"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22"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 xml:space="preserve">The risk of failure of clinical development is high. For example, the vast majority of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pulses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Additionally, if any of our product candidates receive marketing approval or clearance but, we or others later identify undesirable side effects caused by such product, a number of potentially significant negative consequences could result, including:</w:t>
      </w:r>
    </w:p>
    <w:p>
      <w:pPr>
        <w:spacing w:after="0" w:line="122"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and/or narrow the indication that could diminish the usage or otherwise limit the commercial success of such products;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may restrict distribution of our products and impose burdensome implementation requirements on us;</w:t>
      </w:r>
    </w:p>
    <w:p>
      <w:pPr>
        <w:spacing w:after="0" w:line="155" w:lineRule="exact"/>
        <w:rPr>
          <w:rFonts w:ascii="Arial" w:cs="Arial" w:eastAsia="Arial" w:hAnsi="Arial"/>
          <w:sz w:val="17"/>
          <w:szCs w:val="17"/>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CellFX System and NPS technology, and if we fail to obtain broad adoption, our business would be adversely affected.</w:t>
      </w:r>
    </w:p>
    <w:p>
      <w:pPr>
        <w:spacing w:after="0" w:line="12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If we obtain regulatory approval or clearance for our CellFX System, our success will depend on our ability to educate physicians regarding the benefits of CellFX treatments over existing treatment modalities and to persuade them to prescribe CellFX treatments for their patients. We do not know if the CellFX System or NPS technology will be successful over the long term, and market acceptance may be hindered if physicians are not presented with compelling data demonstrating the efficacy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(CMS) for the professional services they provide in administering CellFX treatments.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25"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22"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w:t>
      </w:r>
    </w:p>
    <w:p>
      <w:pPr>
        <w:spacing w:after="0" w:line="129"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product candidates in the field. Furthermore, if commercialized, CellFX treatments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safety and effectiveness of CellFX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124"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2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We perform final assembly of our devices to support our current research and development activities at our facility in California. We believe we have adequate manufacturing capacity for these purposes. However, if demand for our planned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12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with respect to complying with applicable regulatory requirements, we may need to find alternative manufacturing facilities, which would significantly impact our ability to develop, obtain regulatory approval or clearance for or market our product candidates.</w:t>
      </w:r>
    </w:p>
    <w:p>
      <w:pPr>
        <w:spacing w:after="0" w:line="122"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ability to obtain regulatory approval or clearance for our products and our business and results of operations.</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 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8"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26"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2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2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122"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21"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forced to stop or delay research, development, manufacturing or sales of the product or product candidate that is the subject of the suit.</w:t>
      </w:r>
    </w:p>
    <w:p>
      <w:pPr>
        <w:spacing w:after="0" w:line="121"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29" w:lineRule="exact"/>
        <w:rPr>
          <w:sz w:val="20"/>
          <w:szCs w:val="20"/>
          <w:color w:val="auto"/>
        </w:rPr>
      </w:pPr>
    </w:p>
    <w:p>
      <w:pPr>
        <w:jc w:val="both"/>
        <w:ind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61"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6"/>
          <w:szCs w:val="16"/>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2" w:lineRule="exact"/>
        <w:rPr>
          <w:sz w:val="20"/>
          <w:szCs w:val="20"/>
          <w:color w:val="auto"/>
        </w:rPr>
      </w:pPr>
    </w:p>
    <w:p>
      <w:pPr>
        <w:ind w:left="640" w:hanging="316"/>
        <w:spacing w:after="0" w:line="23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left="640" w:hanging="316"/>
        <w:spacing w:after="0" w:line="2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1"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2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2"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106"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never receive regulatory approval or clearance, including that from the FDA, for any of our planned products.</w:t>
      </w:r>
    </w:p>
    <w:p>
      <w:pPr>
        <w:spacing w:after="0" w:line="121"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may never receive regulatory approval or clearance, including from the FDA, for any potential devices or products in the U.S. or in any foreign market. For example, during September 2017, we withdrew our application seeking clearance of our system for soft tissue ablation. In addition, in connection with the Pre-Market Notification 510(k) we submitted to the FDA seeking clearance to commercialize our CellFX System,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We may be required to seek FDA approval through the de novo pathway for our CellFX System, which will require additional clinical data, resources and time.</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1"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For example, the receipt of the NSE letter from the FDA indicating failure to obtain 510(k) clearance on our February 2019 submission has added significant time and expense to our regulatory clearance process (including additional expense that we will incur in preparing a new 510(k) submission), has delayed our ability to generate revenue, and has had a negative impact on our stock price.</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The continuing development of our CellFX System and other products depends upon maintaining strong working relationships with physicians.</w:t>
      </w:r>
    </w:p>
    <w:p>
      <w:pPr>
        <w:spacing w:after="0" w:line="121"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6"/>
          <w:szCs w:val="16"/>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2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3"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24" w:lineRule="exact"/>
        <w:rPr>
          <w:sz w:val="20"/>
          <w:szCs w:val="20"/>
          <w:color w:val="auto"/>
        </w:rPr>
      </w:pPr>
    </w:p>
    <w:p>
      <w:pPr>
        <w:jc w:val="both"/>
        <w:ind w:left="640" w:hanging="316"/>
        <w:spacing w:after="0" w:line="21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125" w:lineRule="exact"/>
        <w:rPr>
          <w:rFonts w:ascii="Arial" w:cs="Arial" w:eastAsia="Arial" w:hAnsi="Arial"/>
          <w:sz w:val="18"/>
          <w:szCs w:val="18"/>
          <w:color w:val="auto"/>
        </w:rPr>
      </w:pPr>
    </w:p>
    <w:p>
      <w:pPr>
        <w:jc w:val="both"/>
        <w:ind w:left="640" w:hanging="316"/>
        <w:spacing w:after="0" w:line="226"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24" w:lineRule="exact"/>
        <w:rPr>
          <w:rFonts w:ascii="Arial" w:cs="Arial" w:eastAsia="Arial" w:hAnsi="Arial"/>
          <w:sz w:val="17"/>
          <w:szCs w:val="17"/>
          <w:color w:val="auto"/>
        </w:rPr>
      </w:pPr>
    </w:p>
    <w:p>
      <w:pPr>
        <w:jc w:val="both"/>
        <w:ind w:left="640" w:hanging="316"/>
        <w:spacing w:after="0" w:line="216"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21" w:lineRule="exact"/>
        <w:rPr>
          <w:rFonts w:ascii="Arial" w:cs="Arial" w:eastAsia="Arial" w:hAnsi="Arial"/>
          <w:sz w:val="18"/>
          <w:szCs w:val="18"/>
          <w:color w:val="auto"/>
        </w:rPr>
      </w:pPr>
    </w:p>
    <w:p>
      <w:pPr>
        <w:jc w:val="both"/>
        <w:ind w:left="640" w:hanging="316"/>
        <w:spacing w:after="0" w:line="22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left="640" w:hanging="316"/>
        <w:spacing w:after="0" w:line="21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24" w:lineRule="exact"/>
        <w:rPr>
          <w:rFonts w:ascii="Arial" w:cs="Arial" w:eastAsia="Arial" w:hAnsi="Arial"/>
          <w:sz w:val="18"/>
          <w:szCs w:val="18"/>
          <w:color w:val="auto"/>
        </w:rPr>
      </w:pPr>
    </w:p>
    <w:p>
      <w:pPr>
        <w:jc w:val="both"/>
        <w:ind w:left="640" w:hanging="316"/>
        <w:spacing w:after="0" w:line="249"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CCPA will, among other things, require covered companies to provide new disclosures to California consumers and afford such consumers new abilities to opt-out of certain sales of personal information. The CCPA went into effect in January 2020, we cannot yet predict the impact of the CCPA on our business or operations, but it may require us to modify our data processing practices and policies to incur substantial costs and expenses in an effort to comply;</w:t>
      </w:r>
    </w:p>
    <w:p>
      <w:pPr>
        <w:spacing w:after="0" w:line="113" w:lineRule="exact"/>
        <w:rPr>
          <w:rFonts w:ascii="Arial" w:cs="Arial" w:eastAsia="Arial" w:hAnsi="Arial"/>
          <w:sz w:val="16"/>
          <w:szCs w:val="16"/>
          <w:color w:val="auto"/>
        </w:rPr>
      </w:pPr>
    </w:p>
    <w:p>
      <w:pPr>
        <w:ind w:left="640" w:hanging="316"/>
        <w:spacing w:after="0" w:line="23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21" w:lineRule="exact"/>
        <w:rPr>
          <w:rFonts w:ascii="Arial" w:cs="Arial" w:eastAsia="Arial" w:hAnsi="Arial"/>
          <w:sz w:val="18"/>
          <w:szCs w:val="18"/>
          <w:color w:val="auto"/>
        </w:rPr>
      </w:pPr>
    </w:p>
    <w:p>
      <w:pPr>
        <w:jc w:val="both"/>
        <w:ind w:left="640" w:hanging="316"/>
        <w:spacing w:after="0" w:line="222"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2"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We have implemented a compliance program to help identify and deter healthcare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5"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122"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122"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left="640" w:hanging="316"/>
        <w:spacing w:after="0" w:line="23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change their approval or clearance policies or adopt new regulations.</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FDA may make requests or disagree with us regarding the design or conduct of our clinical trials, resulting in an increased risk of difficulties or delays in obtaining regulatory approval or clearance in the U.S. and increased costs. For example,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providing additional clinical data as required.</w:t>
      </w:r>
    </w:p>
    <w:p>
      <w:pPr>
        <w:spacing w:after="0" w:line="12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1"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devices and products and the expense of those trials may adversely affect our business.</w:t>
      </w:r>
    </w:p>
    <w:p>
      <w:pPr>
        <w:spacing w:after="0" w:line="121"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 Our clinical trials may be affected by the COVID-19 outbreak. Site initiation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patient enrollment may be delayed, for example, due to prioritization of hospital resources toward the COVID-19 outbreak, travel restrictions imposed by governments, and the inability to access sites for initiation and monitoring.</w:t>
      </w:r>
    </w:p>
    <w:p>
      <w:pPr>
        <w:spacing w:after="0" w:line="12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21" w:lineRule="exact"/>
        <w:rPr>
          <w:sz w:val="20"/>
          <w:szCs w:val="20"/>
          <w:color w:val="auto"/>
        </w:rPr>
      </w:pPr>
    </w:p>
    <w:p>
      <w:pPr>
        <w:jc w:val="both"/>
        <w:ind w:firstLine="441"/>
        <w:spacing w:after="0" w:line="210" w:lineRule="auto"/>
        <w:rPr>
          <w:sz w:val="20"/>
          <w:szCs w:val="20"/>
          <w:color w:val="auto"/>
        </w:rPr>
      </w:pPr>
      <w:r>
        <w:rPr>
          <w:rFonts w:ascii="Arial" w:cs="Arial" w:eastAsia="Arial" w:hAnsi="Arial"/>
          <w:sz w:val="18"/>
          <w:szCs w:val="18"/>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Healthcare policy changes, including recent federal legislation to reform the U.S. healthcare system, may have a material adverse effect on us.</w:t>
      </w:r>
    </w:p>
    <w:p>
      <w:pPr>
        <w:spacing w:after="0" w:line="1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2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On January 2, 2013, the American Taxpayer Relief Act of 2012,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1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48"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 or clearance of our planned products such as the CellFX System;</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alleged security breaches;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conditions in our industry and market including the negative impact of COVID-19 on the global economy and markets; and</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substantial costs and divert our management’s attention from other business concerns and adversely impact our ability to raise capital to fund our operations, which could seriously harm our business.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5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1"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A significant percentage of our outstanding stock is held by Robert W. Duggan, Chairman of our board of directors, who beneficially owns approximately 43% of our common stock outstanding as of the date of this Quarterly Report. As a result, Mr. Duggan has significant influence over corporate actions requiring stockholder approval, including the following actions:</w:t>
      </w:r>
    </w:p>
    <w:p>
      <w:pPr>
        <w:spacing w:after="0" w:line="106"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the proposed rights offering or any alternative equity or equity-linked offering that we may conduct, could result in his acquisition of a majority of our common stock. If this were to occur, we would be considered a “controlled” company under the Nasdaq rules and would be exempt from the obligation to comply with certain Nasdaq corporate governance requirements.</w:t>
      </w:r>
    </w:p>
    <w:p>
      <w:pPr>
        <w:spacing w:after="0" w:line="12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Robert W. Duggan, is the Chairman of our board of directors, and beneficially owns approximately 43%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the proposed rights offering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2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29"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22" w:lineRule="exact"/>
        <w:rPr>
          <w:sz w:val="20"/>
          <w:szCs w:val="20"/>
          <w:color w:val="auto"/>
        </w:rPr>
      </w:pPr>
    </w:p>
    <w:p>
      <w:pPr>
        <w:jc w:val="both"/>
        <w:ind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6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26"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financial condition and results of operations may be materially and adversely affected. We will remain an “emerging growth company” for up to five years from our IPO in 2016,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1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2"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22" w:lineRule="exact"/>
        <w:rPr>
          <w:sz w:val="20"/>
          <w:szCs w:val="20"/>
          <w:color w:val="auto"/>
        </w:rPr>
      </w:pPr>
    </w:p>
    <w:p>
      <w:pPr>
        <w:ind w:left="640" w:hanging="316"/>
        <w:spacing w:after="0" w:line="258"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06"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159"/>
          </w:cols>
          <w:pgMar w:left="1300" w:top="108"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8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30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CEEFF"/>
          </w:tcPr>
          <w:p>
            <w:pPr>
              <w:spacing w:after="0" w:line="169"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31.1</w:t>
              </w:r>
            </w:hyperlink>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300" w:type="dxa"/>
            <w:vAlign w:val="bottom"/>
            <w:gridSpan w:val="3"/>
            <w:shd w:val="clear" w:color="auto" w:fill="CCEEFF"/>
          </w:tcPr>
          <w:p>
            <w:pPr>
              <w:spacing w:after="0" w:line="169"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31.2</w:t>
              </w:r>
            </w:hyperlink>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00" w:type="dxa"/>
            <w:vAlign w:val="bottom"/>
            <w:gridSpan w:val="3"/>
          </w:tcPr>
          <w:p>
            <w:pPr>
              <w:spacing w:after="0" w:line="176"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162"/>
        </w:trPr>
        <w:tc>
          <w:tcPr>
            <w:tcW w:w="700" w:type="dxa"/>
            <w:vAlign w:val="bottom"/>
            <w:shd w:val="clear" w:color="auto" w:fill="CCEEFF"/>
          </w:tcPr>
          <w:p>
            <w:pPr>
              <w:spacing w:after="0" w:line="162" w:lineRule="exact"/>
              <w:rPr>
                <w:rFonts w:ascii="Arial" w:cs="Arial" w:eastAsia="Arial" w:hAnsi="Arial"/>
                <w:sz w:val="18"/>
                <w:szCs w:val="18"/>
                <w:color w:val="0000EE"/>
              </w:rPr>
            </w:pPr>
            <w:hyperlink w:anchor="page58">
              <w:r>
                <w:rPr>
                  <w:rFonts w:ascii="Arial" w:cs="Arial" w:eastAsia="Arial" w:hAnsi="Arial"/>
                  <w:sz w:val="18"/>
                  <w:szCs w:val="18"/>
                  <w:u w:val="single" w:color="auto"/>
                  <w:color w:val="0000EE"/>
                </w:rPr>
                <w:t>32.1</w:t>
              </w:r>
            </w:hyperlink>
            <w:r>
              <w:rPr>
                <w:rFonts w:ascii="Arial" w:cs="Arial" w:eastAsia="Arial" w:hAnsi="Arial"/>
                <w:sz w:val="18"/>
                <w:szCs w:val="18"/>
                <w:color w:val="000000"/>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300" w:type="dxa"/>
            <w:vAlign w:val="bottom"/>
            <w:gridSpan w:val="3"/>
            <w:shd w:val="clear" w:color="auto" w:fill="CCEEFF"/>
          </w:tcPr>
          <w:p>
            <w:pPr>
              <w:spacing w:after="0" w:line="162"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the Chief Executive and Chief Financial Officers pursuant to Section 906 of the Sarbanes-Oxley</w:t>
              </w:r>
            </w:hyperlink>
          </w:p>
        </w:tc>
        <w:tc>
          <w:tcPr>
            <w:tcW w:w="0" w:type="dxa"/>
            <w:vAlign w:val="bottom"/>
          </w:tcPr>
          <w:p>
            <w:pPr>
              <w:spacing w:after="0"/>
              <w:rPr>
                <w:sz w:val="1"/>
                <w:szCs w:val="1"/>
                <w:color w:val="auto"/>
              </w:rPr>
            </w:pP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60" w:type="dxa"/>
            <w:vAlign w:val="bottom"/>
            <w:tcBorders>
              <w:top w:val="single" w:sz="8" w:color="0000EE"/>
            </w:tcBorders>
            <w:gridSpan w:val="2"/>
            <w:shd w:val="clear" w:color="auto" w:fill="CCEEFF"/>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Act of 2002 (18 U.S.C. Section 1350).</w:t>
              </w:r>
            </w:hyperlink>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CCEEFF"/>
            </w:tcBorders>
          </w:tcPr>
          <w:p>
            <w:pPr>
              <w:spacing w:after="0" w:line="169" w:lineRule="exact"/>
              <w:rPr>
                <w:sz w:val="20"/>
                <w:szCs w:val="20"/>
                <w:color w:val="auto"/>
              </w:rPr>
            </w:pPr>
            <w:r>
              <w:rPr>
                <w:rFonts w:ascii="Arial" w:cs="Arial" w:eastAsia="Arial" w:hAnsi="Arial"/>
                <w:sz w:val="18"/>
                <w:szCs w:val="18"/>
                <w:color w:val="auto"/>
              </w:rPr>
              <w:t>101.INS</w:t>
            </w: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760" w:type="dxa"/>
            <w:vAlign w:val="bottom"/>
            <w:tcBorders>
              <w:top w:val="single" w:sz="8" w:color="0000EE"/>
            </w:tcBorders>
          </w:tcPr>
          <w:p>
            <w:pPr>
              <w:spacing w:after="0" w:line="169" w:lineRule="exact"/>
              <w:rPr>
                <w:sz w:val="20"/>
                <w:szCs w:val="20"/>
                <w:color w:val="auto"/>
              </w:rPr>
            </w:pPr>
            <w:r>
              <w:rPr>
                <w:rFonts w:ascii="Arial" w:cs="Arial" w:eastAsia="Arial" w:hAnsi="Arial"/>
                <w:sz w:val="18"/>
                <w:szCs w:val="18"/>
                <w:color w:val="auto"/>
              </w:rPr>
              <w:t>XBRL Instance Document</w:t>
            </w:r>
          </w:p>
        </w:tc>
        <w:tc>
          <w:tcPr>
            <w:tcW w:w="55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101.SCH</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00" w:type="dxa"/>
            <w:vAlign w:val="bottom"/>
            <w:gridSpan w:val="3"/>
          </w:tcPr>
          <w:p>
            <w:pPr>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101.DEF</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5"/>
        </w:trPr>
        <w:tc>
          <w:tcPr>
            <w:tcW w:w="700" w:type="dxa"/>
            <w:vAlign w:val="bottom"/>
          </w:tcPr>
          <w:p>
            <w:pPr>
              <w:spacing w:after="0" w:line="176" w:lineRule="exact"/>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00" w:type="dxa"/>
            <w:vAlign w:val="bottom"/>
            <w:gridSpan w:val="3"/>
          </w:tcPr>
          <w:p>
            <w:pPr>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101.PRE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2" w:lineRule="auto"/>
        <w:tabs>
          <w:tab w:leader="none" w:pos="1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15025" cy="260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00" w:val="left"/>
          <w:tab w:leader="none" w:pos="612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-635</wp:posOffset>
            </wp:positionV>
            <wp:extent cx="23831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jc w:val="center"/>
        <w:ind w:left="4680"/>
        <w:spacing w:after="0" w:line="193" w:lineRule="auto"/>
        <w:rPr>
          <w:sz w:val="20"/>
          <w:szCs w:val="20"/>
          <w:color w:val="auto"/>
        </w:rPr>
      </w:pPr>
      <w:r>
        <w:rPr>
          <w:rFonts w:ascii="Arial" w:cs="Arial" w:eastAsia="Arial" w:hAnsi="Arial"/>
          <w:sz w:val="18"/>
          <w:szCs w:val="18"/>
          <w:b w:val="1"/>
          <w:bCs w:val="1"/>
          <w:color w:val="auto"/>
        </w:rPr>
        <w:t>Sandra A. Gardiner</w:t>
      </w:r>
    </w:p>
    <w:p>
      <w:pPr>
        <w:jc w:val="center"/>
        <w:ind w:left="4680"/>
        <w:spacing w:after="0" w:line="202" w:lineRule="auto"/>
        <w:rPr>
          <w:sz w:val="20"/>
          <w:szCs w:val="20"/>
          <w:color w:val="auto"/>
        </w:rPr>
      </w:pPr>
      <w:r>
        <w:rPr>
          <w:rFonts w:ascii="Arial" w:cs="Arial" w:eastAsia="Arial" w:hAnsi="Arial"/>
          <w:sz w:val="14"/>
          <w:szCs w:val="14"/>
          <w:b w:val="1"/>
          <w:bCs w:val="1"/>
          <w:color w:val="auto"/>
        </w:rPr>
        <w:t>Chief Financial Officer, Executive Vice President of Finance</w:t>
      </w:r>
    </w:p>
    <w:p>
      <w:pPr>
        <w:jc w:val="center"/>
        <w:ind w:left="4680"/>
        <w:spacing w:after="0" w:line="201" w:lineRule="auto"/>
        <w:rPr>
          <w:sz w:val="20"/>
          <w:szCs w:val="20"/>
          <w:color w:val="auto"/>
        </w:rPr>
      </w:pPr>
      <w:r>
        <w:rPr>
          <w:rFonts w:ascii="Arial" w:cs="Arial" w:eastAsia="Arial" w:hAnsi="Arial"/>
          <w:sz w:val="14"/>
          <w:szCs w:val="14"/>
          <w:b w:val="1"/>
          <w:bCs w:val="1"/>
          <w:color w:val="auto"/>
        </w:rPr>
        <w:t>and Administration, Secretary and Treasurer</w:t>
      </w:r>
    </w:p>
    <w:p>
      <w:pPr>
        <w:jc w:val="center"/>
        <w:ind w:left="46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91502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ind w:left="1320" w:right="940"/>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certify that:</w:t>
      </w:r>
    </w:p>
    <w:p>
      <w:pPr>
        <w:spacing w:after="0" w:line="117" w:lineRule="exact"/>
        <w:rPr>
          <w:sz w:val="20"/>
          <w:szCs w:val="20"/>
          <w:color w:val="auto"/>
        </w:rPr>
      </w:pPr>
    </w:p>
    <w:p>
      <w:pPr>
        <w:ind w:left="320" w:hanging="320"/>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Pulse Biosciences, Inc.;</w:t>
      </w:r>
    </w:p>
    <w:p>
      <w:pPr>
        <w:spacing w:after="0" w:line="128" w:lineRule="exact"/>
        <w:rPr>
          <w:rFonts w:ascii="Arial" w:cs="Arial" w:eastAsia="Arial" w:hAnsi="Arial"/>
          <w:sz w:val="17"/>
          <w:szCs w:val="17"/>
          <w:color w:val="auto"/>
        </w:rPr>
      </w:pPr>
    </w:p>
    <w:p>
      <w:pPr>
        <w:jc w:val="both"/>
        <w:ind w:left="320" w:hanging="320"/>
        <w:spacing w:after="0" w:line="224"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jc w:val="both"/>
        <w:ind w:left="320" w:hanging="320"/>
        <w:spacing w:after="0" w:line="224"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jc w:val="both"/>
        <w:ind w:left="320" w:hanging="320"/>
        <w:spacing w:after="0" w:line="224"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jc w:val="both"/>
        <w:ind w:left="640" w:hanging="316"/>
        <w:spacing w:after="0" w:line="219"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jc w:val="both"/>
        <w:ind w:left="640" w:hanging="316"/>
        <w:spacing w:after="0" w:line="259" w:lineRule="auto"/>
        <w:tabs>
          <w:tab w:leader="none" w:pos="6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640" w:hanging="316"/>
        <w:spacing w:after="0" w:line="224"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jc w:val="both"/>
        <w:ind w:left="640" w:hanging="316"/>
        <w:spacing w:after="0" w:line="219"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jc w:val="both"/>
        <w:ind w:left="320" w:hanging="320"/>
        <w:spacing w:after="0" w:line="224"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hanging="316"/>
        <w:spacing w:after="0" w:line="235" w:lineRule="auto"/>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4560" w:right="2800" w:hanging="5021"/>
        <w:spacing w:after="0" w:line="220" w:lineRule="auto"/>
        <w:tabs>
          <w:tab w:leader="none" w:pos="45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8"/>
          <w:szCs w:val="18"/>
          <w:color w:val="auto"/>
        </w:rPr>
        <w:t>By: /s/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-111125</wp:posOffset>
            </wp:positionV>
            <wp:extent cx="2665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591502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ind w:left="1320" w:right="940"/>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Sandra A. Gardiner, certify that:</w:t>
      </w:r>
    </w:p>
    <w:p>
      <w:pPr>
        <w:spacing w:after="0" w:line="117" w:lineRule="exact"/>
        <w:rPr>
          <w:sz w:val="20"/>
          <w:szCs w:val="20"/>
          <w:color w:val="auto"/>
        </w:rPr>
      </w:pPr>
    </w:p>
    <w:p>
      <w:pPr>
        <w:ind w:left="320" w:hanging="320"/>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Pulse Biosciences, Inc.;</w:t>
      </w:r>
    </w:p>
    <w:p>
      <w:pPr>
        <w:spacing w:after="0" w:line="128" w:lineRule="exact"/>
        <w:rPr>
          <w:rFonts w:ascii="Arial" w:cs="Arial" w:eastAsia="Arial" w:hAnsi="Arial"/>
          <w:sz w:val="17"/>
          <w:szCs w:val="17"/>
          <w:color w:val="auto"/>
        </w:rPr>
      </w:pPr>
    </w:p>
    <w:p>
      <w:pPr>
        <w:ind w:left="320" w:right="120" w:hanging="320"/>
        <w:spacing w:after="0" w:line="22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40" w:hanging="320"/>
        <w:spacing w:after="0" w:line="22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320" w:hanging="320"/>
        <w:spacing w:after="0" w:line="237"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640" w:right="200" w:hanging="316"/>
        <w:spacing w:after="0" w:line="21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40" w:right="100" w:hanging="316"/>
        <w:spacing w:after="0" w:line="259" w:lineRule="auto"/>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280" w:hanging="316"/>
        <w:spacing w:after="0" w:line="224"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140" w:hanging="316"/>
        <w:spacing w:after="0" w:line="21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260" w:hanging="320"/>
        <w:spacing w:after="0" w:line="22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460" w:hanging="316"/>
        <w:spacing w:after="0" w:line="224"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280" w:hanging="316"/>
        <w:spacing w:after="0" w:line="235"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560" w:right="2640" w:hanging="5021"/>
        <w:spacing w:after="0" w:line="233" w:lineRule="auto"/>
        <w:tabs>
          <w:tab w:leader="none" w:pos="45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7"/>
          <w:szCs w:val="17"/>
          <w:color w:val="auto"/>
        </w:rPr>
        <w:t>By: /s/ Sandra A. Gardiner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-111125</wp:posOffset>
            </wp:positionV>
            <wp:extent cx="26657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4" w:lineRule="auto"/>
        <w:rPr>
          <w:sz w:val="20"/>
          <w:szCs w:val="20"/>
          <w:color w:val="auto"/>
        </w:rPr>
      </w:pPr>
      <w:r>
        <w:rPr>
          <w:rFonts w:ascii="Arial" w:cs="Arial" w:eastAsia="Arial" w:hAnsi="Arial"/>
          <w:sz w:val="18"/>
          <w:szCs w:val="18"/>
          <w:color w:val="auto"/>
        </w:rPr>
        <w:t>Chief Financial Officer, Executive Vice President,</w:t>
      </w:r>
    </w:p>
    <w:p>
      <w:pPr>
        <w:ind w:left="5020"/>
        <w:spacing w:after="0" w:line="204" w:lineRule="auto"/>
        <w:rPr>
          <w:sz w:val="20"/>
          <w:szCs w:val="20"/>
          <w:color w:val="auto"/>
        </w:rPr>
      </w:pPr>
      <w:r>
        <w:rPr>
          <w:rFonts w:ascii="Arial" w:cs="Arial" w:eastAsia="Arial" w:hAnsi="Arial"/>
          <w:sz w:val="18"/>
          <w:szCs w:val="18"/>
          <w:color w:val="auto"/>
        </w:rPr>
        <w:t>Finance and Administration, Secretary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59150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300" w:right="230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March 31, 2020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860" w:hanging="419"/>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9" w:lineRule="exact"/>
        <w:rPr>
          <w:sz w:val="20"/>
          <w:szCs w:val="20"/>
          <w:color w:val="auto"/>
        </w:rPr>
      </w:pPr>
    </w:p>
    <w:p>
      <w:pPr>
        <w:ind w:firstLine="441"/>
        <w:spacing w:after="0" w:line="235" w:lineRule="auto"/>
        <w:tabs>
          <w:tab w:leader="none" w:pos="8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5020" w:right="2800" w:hanging="5021"/>
        <w:spacing w:after="0" w:line="248" w:lineRule="auto"/>
        <w:tabs>
          <w:tab w:leader="none" w:pos="50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Darrin R. Uecker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-111760</wp:posOffset>
            </wp:positionV>
            <wp:extent cx="2665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Sandra A. Gardiner</w:t>
      </w:r>
    </w:p>
    <w:p>
      <w:pPr>
        <w:ind w:left="5020"/>
        <w:spacing w:after="0" w:line="203" w:lineRule="auto"/>
        <w:rPr>
          <w:sz w:val="20"/>
          <w:szCs w:val="20"/>
          <w:color w:val="auto"/>
        </w:rPr>
      </w:pPr>
      <w:r>
        <w:rPr>
          <w:rFonts w:ascii="Arial" w:cs="Arial" w:eastAsia="Arial" w:hAnsi="Arial"/>
          <w:sz w:val="18"/>
          <w:szCs w:val="18"/>
          <w:color w:val="auto"/>
        </w:rPr>
        <w:t>Chief Financial Officer, Executive Vice President,</w:t>
      </w:r>
    </w:p>
    <w:p>
      <w:pPr>
        <w:ind w:left="5020"/>
        <w:spacing w:after="0" w:line="204" w:lineRule="auto"/>
        <w:rPr>
          <w:sz w:val="20"/>
          <w:szCs w:val="20"/>
          <w:color w:val="auto"/>
        </w:rPr>
      </w:pPr>
      <w:r>
        <w:rPr>
          <w:rFonts w:ascii="Arial" w:cs="Arial" w:eastAsia="Arial" w:hAnsi="Arial"/>
          <w:sz w:val="18"/>
          <w:szCs w:val="18"/>
          <w:color w:val="auto"/>
        </w:rPr>
        <w:t>Finance and Administration, Secretary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591502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15025" cy="25400"/>
                    </a:xfrm>
                    <a:prstGeom prst="rect">
                      <a:avLst/>
                    </a:prstGeom>
                    <a:noFill/>
                  </pic:spPr>
                </pic:pic>
              </a:graphicData>
            </a:graphic>
          </wp:anchor>
        </w:drawing>
      </w:r>
    </w:p>
    <w:sectPr>
      <w:pgSz w:w="11900" w:h="16838" w:orient="portrait"/>
      <w:cols w:equalWidth="0" w:num="1">
        <w:col w:w="9280"/>
      </w:cols>
      <w:pgMar w:left="1300" w:top="10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A"/>
      <w:numFmt w:val="bullet"/>
      <w:start w:val="1"/>
    </w:lvl>
  </w:abstractNum>
  <w:abstractNum w:abstractNumId="3">
    <w:nsid w:val="519B500D"/>
    <w:multiLevelType w:val="hybridMultilevel"/>
    <w:lvl w:ilvl="0">
      <w:lvlJc w:val="left"/>
      <w:lvlText w:val="%1."/>
      <w:numFmt w:val="decimal"/>
      <w:start w:val="8"/>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2020-05-11T15:49:44Z</dcterms:created>
  <dcterms:modified xsi:type="dcterms:W3CDTF">2020-05-11T15:49:44Z</dcterms:modified>
</cp:coreProperties>
</file>