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plse20221231_10k.htm"/>
      <w:bookmarkStart w:id="1" w:name="ksplse20221231_10k"/>
      <w:bookmarkEnd w:id="0"/>
      <w:bookmarkEnd w:id="1"/>
      <w:r>
        <w:rPr/>
        <w:t xml:space="preserve">  </w:t>
      </w:r>
    </w:p>
    <w:p>
      <w:pPr>
        <w:pStyle w:val="TextBody"/>
        <w:spacing w:before="0" w:after="0"/>
        <w:ind w:left="0" w:right="0" w:hanging="0"/>
        <w:rPr/>
      </w:pPr>
      <w:hyperlink w:anchor="toc">
        <w:r>
          <w:rPr>
            <w:rStyle w:val="InternetLink"/>
            <w:rFonts w:ascii="Times New Roman" w:hAnsi="Times New Roman"/>
            <w:caps w:val="false"/>
            <w:smallCaps w:val="false"/>
            <w:sz w:val="20"/>
          </w:rPr>
          <w:t>Table of Contents</w:t>
        </w:r>
      </w:hyperlink>
    </w:p>
    <w:p>
      <w:pPr>
        <w:pStyle w:val="HorizontalLine"/>
        <w:rPr/>
      </w:pPr>
      <w:r>
        <w:rPr/>
      </w:r>
    </w:p>
    <w:p>
      <w:pPr>
        <w:pStyle w:val="HorizontalLine"/>
        <w:rPr/>
      </w:pPr>
      <w:r>
        <w:rPr/>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UNITED STATES</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w:t>
      </w:r>
      <w:r>
        <w:rPr>
          <w:rFonts w:ascii="Times New Roman" w:hAnsi="Times New Roman"/>
          <w:caps w:val="false"/>
          <w:smallCaps w:val="false"/>
          <w:sz w:val="18"/>
        </w:rPr>
        <w:t> </w:t>
      </w:r>
      <w:r>
        <w:rPr>
          <w:rFonts w:ascii="Times New Roman" w:hAnsi="Times New Roman"/>
          <w:b/>
          <w:caps w:val="false"/>
          <w:smallCaps w:val="false"/>
          <w:sz w:val="18"/>
        </w:rPr>
        <w:t>AND</w:t>
      </w:r>
      <w:r>
        <w:rPr>
          <w:rFonts w:ascii="Times New Roman" w:hAnsi="Times New Roman"/>
          <w:caps w:val="false"/>
          <w:smallCaps w:val="false"/>
          <w:sz w:val="18"/>
        </w:rPr>
        <w:t> </w:t>
      </w:r>
      <w:r>
        <w:rPr>
          <w:rFonts w:ascii="Times New Roman" w:hAnsi="Times New Roman"/>
          <w:b/>
          <w:caps w:val="false"/>
          <w:smallCaps w:val="false"/>
          <w:sz w:val="18"/>
        </w:rPr>
        <w:t>EXCHANGE</w:t>
      </w:r>
      <w:r>
        <w:rPr>
          <w:rFonts w:ascii="Times New Roman" w:hAnsi="Times New Roman"/>
          <w:caps w:val="false"/>
          <w:smallCaps w:val="false"/>
          <w:sz w:val="18"/>
        </w:rPr>
        <w:t> </w:t>
      </w:r>
      <w:r>
        <w:rPr>
          <w:rFonts w:ascii="Times New Roman" w:hAnsi="Times New Roman"/>
          <w:b/>
          <w:caps w:val="false"/>
          <w:smallCaps w:val="false"/>
          <w:sz w:val="18"/>
        </w:rPr>
        <w:t>COMMISSION</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Washington,</w:t>
      </w:r>
      <w:r>
        <w:rPr>
          <w:rFonts w:ascii="Times New Roman" w:hAnsi="Times New Roman"/>
          <w:caps w:val="false"/>
          <w:smallCaps w:val="false"/>
          <w:sz w:val="18"/>
        </w:rPr>
        <w:t> </w:t>
      </w:r>
      <w:r>
        <w:rPr>
          <w:rFonts w:ascii="Times New Roman" w:hAnsi="Times New Roman"/>
          <w:b/>
          <w:caps w:val="false"/>
          <w:smallCaps w:val="false"/>
          <w:sz w:val="18"/>
        </w:rPr>
        <w:t>D.C. 20549</w:t>
      </w:r>
    </w:p>
    <w:p>
      <w:pPr>
        <w:pStyle w:val="HorizontalLine"/>
        <w:rPr/>
      </w:pPr>
      <w:r>
        <w:rPr/>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w:t>
      </w:r>
      <w:r>
        <w:rPr>
          <w:rFonts w:ascii="Times New Roman" w:hAnsi="Times New Roman"/>
          <w:caps w:val="false"/>
          <w:smallCaps w:val="false"/>
          <w:sz w:val="18"/>
        </w:rPr>
        <w:t> </w:t>
      </w:r>
      <w:r>
        <w:rPr>
          <w:rFonts w:ascii="Times New Roman" w:hAnsi="Times New Roman"/>
          <w:b/>
          <w:caps w:val="false"/>
          <w:smallCaps w:val="false"/>
          <w:sz w:val="18"/>
        </w:rPr>
        <w:t>10-K</w:t>
      </w:r>
    </w:p>
    <w:p>
      <w:pPr>
        <w:pStyle w:val="HorizontalLine"/>
        <w:rPr/>
      </w:pPr>
      <w:r>
        <w:rPr/>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 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8"/>
        </w:rPr>
        <w:t>ANNUAL REPORT 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fiscal year ended December 31, 2022</w:t>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Or</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8"/>
        </w:rPr>
        <w:t>TRANSITION REPORT PURSUANT TO SECTION 13 OR 15(d) OF THE SECURITIES EXCHANGE ACT OF 1934</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 the transition period from</w:t>
      </w:r>
      <w:r>
        <w:rPr>
          <w:rFonts w:ascii="Times New Roman" w:hAnsi="Times New Roman"/>
          <w:caps w:val="false"/>
          <w:smallCaps w:val="false"/>
          <w:sz w:val="18"/>
        </w:rPr>
        <w:t xml:space="preserve">             </w:t>
      </w:r>
      <w:r>
        <w:rPr>
          <w:rFonts w:ascii="Times New Roman" w:hAnsi="Times New Roman"/>
          <w:b/>
          <w:caps w:val="false"/>
          <w:smallCaps w:val="false"/>
          <w:sz w:val="18"/>
        </w:rPr>
        <w:t>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 File Number 001-34899</w:t>
      </w:r>
    </w:p>
    <w:p>
      <w:pPr>
        <w:pStyle w:val="HorizontalLine"/>
        <w:rPr/>
      </w:pPr>
      <w:r>
        <w:rPr/>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Pulse</w:t>
      </w:r>
      <w:r>
        <w:rPr>
          <w:rFonts w:ascii="Times New Roman" w:hAnsi="Times New Roman"/>
          <w:caps w:val="false"/>
          <w:smallCaps w:val="false"/>
          <w:sz w:val="18"/>
        </w:rPr>
        <w:t> </w:t>
      </w:r>
      <w:r>
        <w:rPr>
          <w:rFonts w:ascii="Times New Roman" w:hAnsi="Times New Roman"/>
          <w:b/>
          <w:caps w:val="false"/>
          <w:smallCaps w:val="false"/>
          <w:sz w:val="18"/>
        </w:rPr>
        <w:t>Biosciences,</w:t>
      </w:r>
      <w:r>
        <w:rPr>
          <w:rFonts w:ascii="Times New Roman" w:hAnsi="Times New Roman"/>
          <w:caps w:val="false"/>
          <w:smallCaps w:val="false"/>
          <w:sz w:val="18"/>
        </w:rPr>
        <w:t> </w:t>
      </w:r>
      <w:r>
        <w:rPr>
          <w:rFonts w:ascii="Times New Roman" w:hAnsi="Times New Roman"/>
          <w:b/>
          <w:caps w:val="false"/>
          <w:smallCaps w:val="false"/>
          <w:sz w:val="18"/>
        </w:rPr>
        <w:t>Inc.</w:t>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HorizontalLine"/>
        <w:rPr/>
      </w:pPr>
      <w:r>
        <w:rPr/>
      </w:r>
    </w:p>
    <w:p>
      <w:pPr>
        <w:pStyle w:val="TextBody"/>
        <w:spacing w:before="0" w:after="0"/>
        <w:ind w:left="0" w:right="0" w:hanging="0"/>
        <w:rPr>
          <w:caps w:val="false"/>
          <w:smallCaps w:val="false"/>
        </w:rPr>
      </w:pPr>
      <w:r>
        <w:rPr>
          <w:caps w:val="false"/>
          <w:smallCaps w:val="false"/>
        </w:rPr>
        <w:t> </w:t>
      </w:r>
    </w:p>
    <w:tbl>
      <w:tblPr>
        <w:tblW w:w="4405" w:type="dxa"/>
        <w:jc w:val="left"/>
        <w:tblInd w:w="0" w:type="dxa"/>
        <w:tblCellMar>
          <w:top w:w="0" w:type="dxa"/>
          <w:left w:w="0" w:type="dxa"/>
          <w:bottom w:w="0" w:type="dxa"/>
          <w:right w:w="0" w:type="dxa"/>
        </w:tblCellMar>
      </w:tblPr>
      <w:tblGrid>
        <w:gridCol w:w="2975"/>
        <w:gridCol w:w="1430"/>
      </w:tblGrid>
      <w:tr>
        <w:trPr/>
        <w:tc>
          <w:tcPr>
            <w:tcW w:w="29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143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46-5696597</w:t>
            </w:r>
          </w:p>
        </w:tc>
      </w:tr>
      <w:tr>
        <w:trPr/>
        <w:tc>
          <w:tcPr>
            <w:tcW w:w="29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(State or other jurisdiction of</w:t>
            </w:r>
          </w:p>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incorporation or organization)</w:t>
            </w:r>
          </w:p>
        </w:tc>
        <w:tc>
          <w:tcPr>
            <w:tcW w:w="143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(I.R.S. Employer</w:t>
            </w:r>
          </w:p>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Identification No.)</w:t>
            </w:r>
          </w:p>
        </w:tc>
      </w:tr>
      <w:tr>
        <w:trPr/>
        <w:tc>
          <w:tcPr>
            <w:tcW w:w="2975"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 </w:t>
            </w:r>
          </w:p>
        </w:tc>
      </w:tr>
      <w:tr>
        <w:trPr/>
        <w:tc>
          <w:tcPr>
            <w:tcW w:w="29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3957 Point Eden Way</w:t>
            </w:r>
          </w:p>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Hayward, CA</w:t>
            </w:r>
          </w:p>
        </w:tc>
        <w:tc>
          <w:tcPr>
            <w:tcW w:w="143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94545</w:t>
            </w:r>
          </w:p>
        </w:tc>
      </w:tr>
      <w:tr>
        <w:trPr/>
        <w:tc>
          <w:tcPr>
            <w:tcW w:w="29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w:t>
            </w:r>
          </w:p>
        </w:tc>
        <w:tc>
          <w:tcPr>
            <w:tcW w:w="143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 (510)</w:t>
      </w:r>
      <w:r>
        <w:rPr>
          <w:rFonts w:ascii="Times New Roman" w:hAnsi="Times New Roman"/>
          <w:caps w:val="false"/>
          <w:smallCaps w:val="false"/>
          <w:sz w:val="18"/>
        </w:rPr>
        <w:t> </w:t>
      </w:r>
      <w:r>
        <w:rPr>
          <w:rFonts w:ascii="Times New Roman" w:hAnsi="Times New Roman"/>
          <w:b/>
          <w:caps w:val="false"/>
          <w:smallCaps w:val="false"/>
          <w:sz w:val="18"/>
        </w:rPr>
        <w:t>906-4600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 xml:space="preserve">12(b) of the Act: </w:t>
      </w:r>
    </w:p>
    <w:p>
      <w:pPr>
        <w:pStyle w:val="TextBody"/>
        <w:spacing w:before="0" w:after="0"/>
        <w:ind w:left="0" w:right="0" w:hanging="0"/>
        <w:rPr>
          <w:caps w:val="false"/>
          <w:smallCaps w:val="false"/>
        </w:rPr>
      </w:pPr>
      <w:r>
        <w:rPr>
          <w:caps w:val="false"/>
          <w:smallCaps w:val="false"/>
        </w:rPr>
        <w:t> </w:t>
      </w:r>
    </w:p>
    <w:tbl>
      <w:tblPr>
        <w:tblW w:w="8355" w:type="dxa"/>
        <w:jc w:val="left"/>
        <w:tblInd w:w="0" w:type="dxa"/>
        <w:tblCellMar>
          <w:top w:w="0" w:type="dxa"/>
          <w:left w:w="0" w:type="dxa"/>
          <w:bottom w:w="0" w:type="dxa"/>
          <w:right w:w="0" w:type="dxa"/>
        </w:tblCellMar>
      </w:tblPr>
      <w:tblGrid>
        <w:gridCol w:w="3335"/>
        <w:gridCol w:w="1475"/>
        <w:gridCol w:w="3545"/>
      </w:tblGrid>
      <w:tr>
        <w:trPr/>
        <w:tc>
          <w:tcPr>
            <w:tcW w:w="33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14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Symbol(s)</w:t>
            </w:r>
          </w:p>
        </w:tc>
        <w:tc>
          <w:tcPr>
            <w:tcW w:w="354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33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 Stock, par value $0.001 per share</w:t>
            </w:r>
          </w:p>
        </w:tc>
        <w:tc>
          <w:tcPr>
            <w:tcW w:w="147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PLSE</w:t>
            </w:r>
          </w:p>
        </w:tc>
        <w:tc>
          <w:tcPr>
            <w:tcW w:w="354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Securities registered pursuant to Section</w:t>
      </w:r>
      <w:r>
        <w:rPr>
          <w:rFonts w:ascii="Times New Roman" w:hAnsi="Times New Roman"/>
          <w:caps w:val="false"/>
          <w:smallCaps w:val="false"/>
          <w:sz w:val="18"/>
        </w:rPr>
        <w:t> </w:t>
      </w:r>
      <w:r>
        <w:rPr>
          <w:rFonts w:ascii="Times New Roman" w:hAnsi="Times New Roman"/>
          <w:b/>
          <w:caps w:val="false"/>
          <w:smallCaps w:val="false"/>
          <w:sz w:val="18"/>
        </w:rPr>
        <w:t>12(g) of the Act: None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if the registrant is not required to file reports pursuant to Section 13 or 15(d)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295" w:type="dxa"/>
        <w:jc w:val="left"/>
        <w:tblInd w:w="0" w:type="dxa"/>
        <w:tblCellMar>
          <w:top w:w="0" w:type="dxa"/>
          <w:left w:w="0" w:type="dxa"/>
          <w:bottom w:w="0" w:type="dxa"/>
          <w:right w:w="0" w:type="dxa"/>
        </w:tblCellMar>
      </w:tblPr>
      <w:tblGrid>
        <w:gridCol w:w="1700"/>
        <w:gridCol w:w="290"/>
        <w:gridCol w:w="2075"/>
        <w:gridCol w:w="230"/>
      </w:tblGrid>
      <w:tr>
        <w:trPr/>
        <w:tc>
          <w:tcPr>
            <w:tcW w:w="1700"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Large accelerated filer   </w:t>
            </w:r>
          </w:p>
        </w:tc>
        <w:tc>
          <w:tcPr>
            <w:tcW w:w="29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07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700"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Non-accelerated filer   </w:t>
            </w:r>
          </w:p>
        </w:tc>
        <w:tc>
          <w:tcPr>
            <w:tcW w:w="2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7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Smaller reporting company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7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rPr/>
      </w:pPr>
      <w:r>
        <w:rPr/>
        <w:t> </w:t>
      </w:r>
    </w:p>
    <w:p>
      <w:pPr>
        <w:pStyle w:val="TextBody"/>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Aggregate market value of registrant’s common stock held by non-affiliates of the registrant on June 30, 2022, the last business day of the registrant’s most recently completed second fiscal quarter, based upon the closing price of the registrant’s common stock on such date as reported by Nasdaq Capital Market, was approximately $23,793,458. Shares of voting stock held by each officer and director have been excluded in that such persons may be deemed to be affiliates. This assumption regarding affiliate status is not necessarily a conclusive determination for other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Number of shares outstanding of the registrant’s common stock as of March 27, 2023: 37,592,588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DOCUMENTS INCORPORATED BY REFERENCE:</w:t>
      </w:r>
    </w:p>
    <w:p>
      <w:pPr>
        <w:pStyle w:val="TextBody"/>
        <w:spacing w:before="0" w:after="0"/>
        <w:ind w:left="0" w:right="0" w:hanging="0"/>
        <w:rPr>
          <w:rFonts w:ascii="Times New Roman" w:hAnsi="Times New Roman"/>
          <w:caps w:val="false"/>
          <w:smallCaps w:val="false"/>
          <w:sz w:val="18"/>
        </w:rPr>
      </w:pPr>
      <w:r>
        <w:rPr>
          <w:rFonts w:ascii="Times New Roman" w:hAnsi="Times New Roman"/>
          <w:caps w:val="false"/>
          <w:smallCaps w:val="false"/>
          <w:sz w:val="18"/>
        </w:rPr>
        <w:t>Portions of the registrant’s definitive Proxy Statement relating to its 2023 Annual Meeting of Stockholders are incorporated by reference into Part III of this Form 10-K where indicated. The Proxy Statement will be filed with the U.S. Securities and Exchange Commission within 120 days after December 31, 2022.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pPr>
      <w:r>
        <w:rPr/>
        <w:t xml:space="preserve">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25"/>
        <w:gridCol w:w="8825"/>
        <w:gridCol w:w="455"/>
      </w:tblGrid>
      <w:tr>
        <w:trPr/>
        <w:tc>
          <w:tcPr>
            <w:tcW w:w="925"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283"/>
              <w:rPr/>
            </w:pPr>
            <w:r>
              <w:rPr/>
              <w:t> </w:t>
            </w:r>
          </w:p>
        </w:tc>
        <w:tc>
          <w:tcPr>
            <w:tcW w:w="4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825" w:type="dxa"/>
            <w:tcBorders/>
            <w:shd w:fill="auto" w:val="clear"/>
            <w:vAlign w:val="center"/>
          </w:tcPr>
          <w:p>
            <w:pPr>
              <w:pStyle w:val="TableContents"/>
              <w:spacing w:before="0" w:after="0"/>
              <w:ind w:left="200" w:right="0" w:hanging="200"/>
              <w:rPr/>
            </w:pPr>
            <w:hyperlink w:anchor="business">
              <w:r>
                <w:rPr>
                  <w:rStyle w:val="InternetLink"/>
                  <w:rFonts w:ascii="Times New Roman;Times;serif" w:hAnsi="Times New Roman;Times;serif"/>
                  <w:caps w:val="false"/>
                  <w:smallCaps w:val="false"/>
                  <w:sz w:val="20"/>
                </w:rPr>
                <w:t>Business</w:t>
              </w:r>
            </w:hyperlink>
          </w:p>
        </w:tc>
        <w:tc>
          <w:tcPr>
            <w:tcW w:w="455" w:type="dxa"/>
            <w:tcBorders/>
            <w:shd w:fill="auto" w:val="clear"/>
            <w:vAlign w:val="center"/>
          </w:tcPr>
          <w:p>
            <w:pPr>
              <w:pStyle w:val="TableContents"/>
              <w:spacing w:before="0" w:after="0"/>
              <w:ind w:left="0" w:right="0" w:hanging="0"/>
              <w:jc w:val="right"/>
              <w:rPr/>
            </w:pPr>
            <w:hyperlink w:anchor="business">
              <w:r>
                <w:rPr>
                  <w:rStyle w:val="InternetLink"/>
                  <w:rFonts w:ascii="Times New Roman;Times;serif" w:hAnsi="Times New Roman;Times;serif"/>
                  <w:caps w:val="false"/>
                  <w:smallCaps w:val="false"/>
                  <w:sz w:val="20"/>
                </w:rPr>
                <w:t>3</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825" w:type="dxa"/>
            <w:tcBorders/>
            <w:shd w:fill="auto" w:val="clear"/>
            <w:vAlign w:val="center"/>
          </w:tcPr>
          <w:p>
            <w:pPr>
              <w:pStyle w:val="TableContents"/>
              <w:spacing w:before="0" w:after="0"/>
              <w:ind w:left="200" w:right="0" w:hanging="200"/>
              <w:rPr/>
            </w:pPr>
            <w:hyperlink w:anchor="risk">
              <w:r>
                <w:rPr>
                  <w:rStyle w:val="InternetLink"/>
                  <w:rFonts w:ascii="Times New Roman;Times;serif" w:hAnsi="Times New Roman;Times;serif"/>
                  <w:caps w:val="false"/>
                  <w:smallCaps w:val="false"/>
                  <w:sz w:val="20"/>
                </w:rPr>
                <w:t>Risk Factors</w:t>
              </w:r>
            </w:hyperlink>
          </w:p>
        </w:tc>
        <w:tc>
          <w:tcPr>
            <w:tcW w:w="455" w:type="dxa"/>
            <w:tcBorders/>
            <w:shd w:fill="auto" w:val="clear"/>
            <w:vAlign w:val="center"/>
          </w:tcPr>
          <w:p>
            <w:pPr>
              <w:pStyle w:val="TableContents"/>
              <w:spacing w:before="0" w:after="0"/>
              <w:ind w:left="0" w:right="0" w:hanging="0"/>
              <w:jc w:val="right"/>
              <w:rPr/>
            </w:pPr>
            <w:hyperlink w:anchor="risk">
              <w:r>
                <w:rPr>
                  <w:rStyle w:val="InternetLink"/>
                  <w:rFonts w:ascii="Times New Roman;Times;serif" w:hAnsi="Times New Roman;Times;serif"/>
                  <w:caps w:val="false"/>
                  <w:smallCaps w:val="false"/>
                  <w:sz w:val="20"/>
                </w:rPr>
                <w:t>9</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1B.</w:t>
            </w:r>
          </w:p>
        </w:tc>
        <w:tc>
          <w:tcPr>
            <w:tcW w:w="8825" w:type="dxa"/>
            <w:tcBorders/>
            <w:shd w:fill="auto" w:val="clear"/>
            <w:vAlign w:val="center"/>
          </w:tcPr>
          <w:p>
            <w:pPr>
              <w:pStyle w:val="TableContents"/>
              <w:spacing w:before="0" w:after="0"/>
              <w:ind w:left="200" w:right="0" w:hanging="200"/>
              <w:rPr/>
            </w:pPr>
            <w:hyperlink w:anchor="unresolved">
              <w:r>
                <w:rPr>
                  <w:rStyle w:val="InternetLink"/>
                  <w:rFonts w:ascii="Times New Roman;Times;serif" w:hAnsi="Times New Roman;Times;serif"/>
                  <w:caps w:val="false"/>
                  <w:smallCaps w:val="false"/>
                  <w:sz w:val="20"/>
                </w:rPr>
                <w:t>Unresolved Staff Comments</w:t>
              </w:r>
            </w:hyperlink>
          </w:p>
        </w:tc>
        <w:tc>
          <w:tcPr>
            <w:tcW w:w="455" w:type="dxa"/>
            <w:tcBorders/>
            <w:shd w:fill="auto" w:val="clear"/>
            <w:vAlign w:val="center"/>
          </w:tcPr>
          <w:p>
            <w:pPr>
              <w:pStyle w:val="TableContents"/>
              <w:spacing w:before="0" w:after="0"/>
              <w:ind w:left="0" w:right="0" w:hanging="0"/>
              <w:jc w:val="right"/>
              <w:rPr/>
            </w:pPr>
            <w:hyperlink w:anchor="unresolved">
              <w:r>
                <w:rPr>
                  <w:rStyle w:val="InternetLink"/>
                  <w:rFonts w:ascii="Times New Roman;Times;serif" w:hAnsi="Times New Roman;Times;serif"/>
                  <w:caps w:val="false"/>
                  <w:smallCaps w:val="false"/>
                  <w:sz w:val="20"/>
                </w:rPr>
                <w:t>28</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825" w:type="dxa"/>
            <w:tcBorders/>
            <w:shd w:fill="auto" w:val="clear"/>
            <w:vAlign w:val="center"/>
          </w:tcPr>
          <w:p>
            <w:pPr>
              <w:pStyle w:val="TableContents"/>
              <w:spacing w:before="0" w:after="0"/>
              <w:ind w:left="200" w:right="0" w:hanging="200"/>
              <w:rPr/>
            </w:pPr>
            <w:hyperlink w:anchor="properties">
              <w:r>
                <w:rPr>
                  <w:rStyle w:val="InternetLink"/>
                  <w:rFonts w:ascii="Times New Roman;Times;serif" w:hAnsi="Times New Roman;Times;serif"/>
                  <w:caps w:val="false"/>
                  <w:smallCaps w:val="false"/>
                  <w:sz w:val="20"/>
                </w:rPr>
                <w:t>Properties</w:t>
              </w:r>
            </w:hyperlink>
          </w:p>
        </w:tc>
        <w:tc>
          <w:tcPr>
            <w:tcW w:w="455" w:type="dxa"/>
            <w:tcBorders/>
            <w:shd w:fill="auto" w:val="clear"/>
            <w:vAlign w:val="center"/>
          </w:tcPr>
          <w:p>
            <w:pPr>
              <w:pStyle w:val="TableContents"/>
              <w:spacing w:before="0" w:after="0"/>
              <w:ind w:left="0" w:right="0" w:hanging="0"/>
              <w:jc w:val="right"/>
              <w:rPr/>
            </w:pPr>
            <w:hyperlink w:anchor="properties">
              <w:r>
                <w:rPr>
                  <w:rStyle w:val="InternetLink"/>
                  <w:rFonts w:ascii="Times New Roman;Times;serif" w:hAnsi="Times New Roman;Times;serif"/>
                  <w:caps w:val="false"/>
                  <w:smallCaps w:val="false"/>
                  <w:sz w:val="20"/>
                </w:rPr>
                <w:t>28</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825" w:type="dxa"/>
            <w:tcBorders/>
            <w:shd w:fill="auto" w:val="clear"/>
            <w:vAlign w:val="center"/>
          </w:tcPr>
          <w:p>
            <w:pPr>
              <w:pStyle w:val="TableContents"/>
              <w:spacing w:before="0" w:after="0"/>
              <w:ind w:left="200" w:right="0" w:hanging="200"/>
              <w:rPr/>
            </w:pPr>
            <w:hyperlink w:anchor="legal">
              <w:r>
                <w:rPr>
                  <w:rStyle w:val="InternetLink"/>
                  <w:rFonts w:ascii="Times New Roman;Times;serif" w:hAnsi="Times New Roman;Times;serif"/>
                  <w:caps w:val="false"/>
                  <w:smallCaps w:val="false"/>
                  <w:sz w:val="20"/>
                </w:rPr>
                <w:t>Legal Proceedings</w:t>
              </w:r>
            </w:hyperlink>
          </w:p>
        </w:tc>
        <w:tc>
          <w:tcPr>
            <w:tcW w:w="455" w:type="dxa"/>
            <w:tcBorders/>
            <w:shd w:fill="auto" w:val="clear"/>
            <w:vAlign w:val="center"/>
          </w:tcPr>
          <w:p>
            <w:pPr>
              <w:pStyle w:val="TableContents"/>
              <w:spacing w:before="0" w:after="0"/>
              <w:ind w:left="0" w:right="0" w:hanging="0"/>
              <w:jc w:val="right"/>
              <w:rPr/>
            </w:pPr>
            <w:hyperlink w:anchor="legal">
              <w:r>
                <w:rPr>
                  <w:rStyle w:val="InternetLink"/>
                  <w:rFonts w:ascii="Times New Roman;Times;serif" w:hAnsi="Times New Roman;Times;serif"/>
                  <w:caps w:val="false"/>
                  <w:smallCaps w:val="false"/>
                  <w:sz w:val="20"/>
                </w:rPr>
                <w:t>28</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825" w:type="dxa"/>
            <w:tcBorders/>
            <w:shd w:fill="auto" w:val="clear"/>
            <w:vAlign w:val="center"/>
          </w:tcPr>
          <w:p>
            <w:pPr>
              <w:pStyle w:val="TableContents"/>
              <w:spacing w:before="0" w:after="0"/>
              <w:ind w:left="200" w:right="0" w:hanging="200"/>
              <w:rPr/>
            </w:pPr>
            <w:hyperlink w:anchor="mine">
              <w:r>
                <w:rPr>
                  <w:rStyle w:val="InternetLink"/>
                  <w:rFonts w:ascii="Times New Roman;Times;serif" w:hAnsi="Times New Roman;Times;serif"/>
                  <w:caps w:val="false"/>
                  <w:smallCaps w:val="false"/>
                  <w:sz w:val="20"/>
                </w:rPr>
                <w:t>Mine Safety Disclosures</w:t>
              </w:r>
            </w:hyperlink>
          </w:p>
        </w:tc>
        <w:tc>
          <w:tcPr>
            <w:tcW w:w="455" w:type="dxa"/>
            <w:tcBorders/>
            <w:shd w:fill="auto" w:val="clear"/>
            <w:vAlign w:val="center"/>
          </w:tcPr>
          <w:p>
            <w:pPr>
              <w:pStyle w:val="TableContents"/>
              <w:spacing w:before="0" w:after="0"/>
              <w:ind w:left="0" w:right="0" w:hanging="0"/>
              <w:jc w:val="right"/>
              <w:rPr/>
            </w:pPr>
            <w:hyperlink w:anchor="mine">
              <w:r>
                <w:rPr>
                  <w:rStyle w:val="InternetLink"/>
                  <w:rFonts w:ascii="Times New Roman;Times;serif" w:hAnsi="Times New Roman;Times;serif"/>
                  <w:caps w:val="false"/>
                  <w:smallCaps w:val="false"/>
                  <w:sz w:val="20"/>
                </w:rPr>
                <w:t>28</w:t>
              </w:r>
            </w:hyperlink>
          </w:p>
        </w:tc>
      </w:tr>
      <w:tr>
        <w:trPr/>
        <w:tc>
          <w:tcPr>
            <w:tcW w:w="925"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825" w:type="dxa"/>
            <w:tcBorders/>
            <w:shd w:fill="auto" w:val="clear"/>
            <w:vAlign w:val="center"/>
          </w:tcPr>
          <w:p>
            <w:pPr>
              <w:pStyle w:val="TableContents"/>
              <w:spacing w:before="0" w:after="0"/>
              <w:ind w:left="200" w:right="0" w:hanging="200"/>
              <w:rPr/>
            </w:pPr>
            <w:hyperlink w:anchor="market">
              <w:r>
                <w:rPr>
                  <w:rStyle w:val="InternetLink"/>
                  <w:rFonts w:ascii="Times New Roman;Times;serif" w:hAnsi="Times New Roman;Times;serif"/>
                  <w:caps w:val="false"/>
                  <w:smallCaps w:val="false"/>
                  <w:sz w:val="20"/>
                </w:rPr>
                <w:t>Market for Registrant’s Common Equity, Related Stockholder Matters and Issuer Purchases of Equity Securities</w:t>
              </w:r>
            </w:hyperlink>
          </w:p>
        </w:tc>
        <w:tc>
          <w:tcPr>
            <w:tcW w:w="455" w:type="dxa"/>
            <w:tcBorders/>
            <w:shd w:fill="auto" w:val="clear"/>
            <w:vAlign w:val="center"/>
          </w:tcPr>
          <w:p>
            <w:pPr>
              <w:pStyle w:val="TableContents"/>
              <w:spacing w:before="0" w:after="0"/>
              <w:ind w:left="0" w:right="0" w:hanging="0"/>
              <w:jc w:val="right"/>
              <w:rPr/>
            </w:pPr>
            <w:hyperlink w:anchor="market">
              <w:r>
                <w:rPr>
                  <w:rStyle w:val="InternetLink"/>
                  <w:rFonts w:ascii="Times New Roman;Times;serif" w:hAnsi="Times New Roman;Times;serif"/>
                  <w:caps w:val="false"/>
                  <w:smallCaps w:val="false"/>
                  <w:sz w:val="20"/>
                </w:rPr>
                <w:t>29</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825" w:type="dxa"/>
            <w:tcBorders/>
            <w:shd w:fill="auto" w:val="clear"/>
            <w:vAlign w:val="center"/>
          </w:tcPr>
          <w:p>
            <w:pPr>
              <w:pStyle w:val="TableContents"/>
              <w:spacing w:before="0" w:after="0"/>
              <w:ind w:left="200" w:right="0" w:hanging="200"/>
              <w:rPr/>
            </w:pPr>
            <w:hyperlink w:anchor="selected">
              <w:r>
                <w:rPr>
                  <w:rStyle w:val="InternetLink"/>
                  <w:rFonts w:ascii="Times New Roman;Times;serif" w:hAnsi="Times New Roman;Times;serif"/>
                  <w:caps w:val="false"/>
                  <w:smallCaps w:val="false"/>
                  <w:sz w:val="20"/>
                </w:rPr>
                <w:t>Selected Financial Data</w:t>
              </w:r>
            </w:hyperlink>
          </w:p>
        </w:tc>
        <w:tc>
          <w:tcPr>
            <w:tcW w:w="455" w:type="dxa"/>
            <w:tcBorders/>
            <w:shd w:fill="auto" w:val="clear"/>
            <w:vAlign w:val="center"/>
          </w:tcPr>
          <w:p>
            <w:pPr>
              <w:pStyle w:val="TableContents"/>
              <w:spacing w:before="0" w:after="0"/>
              <w:ind w:left="0" w:right="0" w:hanging="0"/>
              <w:jc w:val="right"/>
              <w:rPr/>
            </w:pPr>
            <w:hyperlink w:anchor="selected">
              <w:r>
                <w:rPr>
                  <w:rStyle w:val="InternetLink"/>
                  <w:rFonts w:ascii="Times New Roman;Times;serif" w:hAnsi="Times New Roman;Times;serif"/>
                  <w:caps w:val="false"/>
                  <w:smallCaps w:val="false"/>
                  <w:sz w:val="20"/>
                </w:rPr>
                <w:t>30</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7.</w:t>
            </w:r>
          </w:p>
        </w:tc>
        <w:tc>
          <w:tcPr>
            <w:tcW w:w="8825" w:type="dxa"/>
            <w:tcBorders/>
            <w:shd w:fill="auto" w:val="clear"/>
            <w:vAlign w:val="center"/>
          </w:tcPr>
          <w:p>
            <w:pPr>
              <w:pStyle w:val="TableContents"/>
              <w:spacing w:before="0" w:after="0"/>
              <w:ind w:left="200" w:right="0" w:hanging="200"/>
              <w:rPr/>
            </w:pPr>
            <w:hyperlink w:anchor="mda">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5" w:type="dxa"/>
            <w:tcBorders/>
            <w:shd w:fill="auto" w:val="clear"/>
            <w:vAlign w:val="center"/>
          </w:tcPr>
          <w:p>
            <w:pPr>
              <w:pStyle w:val="TableContents"/>
              <w:spacing w:before="0" w:after="0"/>
              <w:ind w:left="0" w:right="0" w:hanging="0"/>
              <w:jc w:val="right"/>
              <w:rPr/>
            </w:pPr>
            <w:hyperlink w:anchor="mda">
              <w:r>
                <w:rPr>
                  <w:rStyle w:val="InternetLink"/>
                  <w:rFonts w:ascii="Times New Roman;Times;serif" w:hAnsi="Times New Roman;Times;serif"/>
                  <w:caps w:val="false"/>
                  <w:smallCaps w:val="false"/>
                  <w:sz w:val="20"/>
                </w:rPr>
                <w:t>30</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7A.</w:t>
            </w:r>
          </w:p>
        </w:tc>
        <w:tc>
          <w:tcPr>
            <w:tcW w:w="8825" w:type="dxa"/>
            <w:tcBorders/>
            <w:shd w:fill="auto" w:val="clear"/>
            <w:vAlign w:val="center"/>
          </w:tcPr>
          <w:p>
            <w:pPr>
              <w:pStyle w:val="TableContents"/>
              <w:spacing w:before="0" w:after="0"/>
              <w:ind w:left="200" w:right="0" w:hanging="200"/>
              <w:rPr/>
            </w:pPr>
            <w:hyperlink w:anchor="quant">
              <w:r>
                <w:rPr>
                  <w:rStyle w:val="InternetLink"/>
                  <w:rFonts w:ascii="Times New Roman;Times;serif" w:hAnsi="Times New Roman;Times;serif"/>
                  <w:caps w:val="false"/>
                  <w:smallCaps w:val="false"/>
                  <w:sz w:val="20"/>
                </w:rPr>
                <w:t>Quantitative and Qualitative Disclosures about Market Risk</w:t>
              </w:r>
            </w:hyperlink>
          </w:p>
        </w:tc>
        <w:tc>
          <w:tcPr>
            <w:tcW w:w="455" w:type="dxa"/>
            <w:tcBorders/>
            <w:shd w:fill="auto" w:val="clear"/>
            <w:vAlign w:val="center"/>
          </w:tcPr>
          <w:p>
            <w:pPr>
              <w:pStyle w:val="TableContents"/>
              <w:spacing w:before="0" w:after="0"/>
              <w:ind w:left="0" w:right="0" w:hanging="0"/>
              <w:jc w:val="right"/>
              <w:rPr/>
            </w:pPr>
            <w:hyperlink w:anchor="quant">
              <w:r>
                <w:rPr>
                  <w:rStyle w:val="InternetLink"/>
                  <w:rFonts w:ascii="Times New Roman;Times;serif" w:hAnsi="Times New Roman;Times;serif"/>
                  <w:caps w:val="false"/>
                  <w:smallCaps w:val="false"/>
                  <w:sz w:val="20"/>
                </w:rPr>
                <w:t>36</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8.</w:t>
            </w:r>
          </w:p>
        </w:tc>
        <w:tc>
          <w:tcPr>
            <w:tcW w:w="8825" w:type="dxa"/>
            <w:tcBorders/>
            <w:shd w:fill="auto" w:val="clear"/>
            <w:vAlign w:val="center"/>
          </w:tcPr>
          <w:p>
            <w:pPr>
              <w:pStyle w:val="TableContents"/>
              <w:spacing w:before="0" w:after="0"/>
              <w:ind w:left="200" w:right="0" w:hanging="200"/>
              <w:rPr/>
            </w:pPr>
            <w:hyperlink w:anchor="finstmts">
              <w:r>
                <w:rPr>
                  <w:rStyle w:val="InternetLink"/>
                  <w:rFonts w:ascii="Times New Roman;Times;serif" w:hAnsi="Times New Roman;Times;serif"/>
                  <w:caps w:val="false"/>
                  <w:smallCaps w:val="false"/>
                  <w:sz w:val="20"/>
                </w:rPr>
                <w:t>Financial Statements and Supplementary Data</w:t>
              </w:r>
            </w:hyperlink>
          </w:p>
        </w:tc>
        <w:tc>
          <w:tcPr>
            <w:tcW w:w="455" w:type="dxa"/>
            <w:tcBorders/>
            <w:shd w:fill="auto" w:val="clear"/>
            <w:vAlign w:val="center"/>
          </w:tcPr>
          <w:p>
            <w:pPr>
              <w:pStyle w:val="TableContents"/>
              <w:spacing w:before="0" w:after="0"/>
              <w:ind w:left="0" w:right="0" w:hanging="0"/>
              <w:jc w:val="right"/>
              <w:rPr/>
            </w:pPr>
            <w:hyperlink w:anchor="finstmts">
              <w:r>
                <w:rPr>
                  <w:rStyle w:val="InternetLink"/>
                  <w:rFonts w:ascii="Times New Roman;Times;serif" w:hAnsi="Times New Roman;Times;serif"/>
                  <w:caps w:val="false"/>
                  <w:smallCaps w:val="false"/>
                  <w:sz w:val="20"/>
                </w:rPr>
                <w:t>37</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9.</w:t>
            </w:r>
          </w:p>
        </w:tc>
        <w:tc>
          <w:tcPr>
            <w:tcW w:w="8825" w:type="dxa"/>
            <w:tcBorders/>
            <w:shd w:fill="auto" w:val="clear"/>
            <w:vAlign w:val="center"/>
          </w:tcPr>
          <w:p>
            <w:pPr>
              <w:pStyle w:val="TableContents"/>
              <w:spacing w:before="0" w:after="0"/>
              <w:ind w:left="200" w:right="0" w:hanging="200"/>
              <w:rPr/>
            </w:pPr>
            <w:hyperlink w:anchor="changes">
              <w:r>
                <w:rPr>
                  <w:rStyle w:val="InternetLink"/>
                  <w:rFonts w:ascii="Times New Roman;Times;serif" w:hAnsi="Times New Roman;Times;serif"/>
                  <w:caps w:val="false"/>
                  <w:smallCaps w:val="false"/>
                  <w:sz w:val="20"/>
                </w:rPr>
                <w:t>Changes in and Disagreements with Accountants on Accounting and Financial Disclosure</w:t>
              </w:r>
            </w:hyperlink>
          </w:p>
        </w:tc>
        <w:tc>
          <w:tcPr>
            <w:tcW w:w="455" w:type="dxa"/>
            <w:tcBorders/>
            <w:shd w:fill="auto" w:val="clear"/>
            <w:vAlign w:val="center"/>
          </w:tcPr>
          <w:p>
            <w:pPr>
              <w:pStyle w:val="TableContents"/>
              <w:spacing w:before="0" w:after="0"/>
              <w:ind w:left="0" w:right="0" w:hanging="0"/>
              <w:jc w:val="right"/>
              <w:rPr/>
            </w:pPr>
            <w:hyperlink w:anchor="changes">
              <w:r>
                <w:rPr>
                  <w:rStyle w:val="InternetLink"/>
                  <w:rFonts w:ascii="Times New Roman;Times;serif" w:hAnsi="Times New Roman;Times;serif"/>
                  <w:caps w:val="false"/>
                  <w:smallCaps w:val="false"/>
                  <w:sz w:val="20"/>
                </w:rPr>
                <w:t>61</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9A.</w:t>
            </w:r>
          </w:p>
        </w:tc>
        <w:tc>
          <w:tcPr>
            <w:tcW w:w="8825" w:type="dxa"/>
            <w:tcBorders/>
            <w:shd w:fill="auto" w:val="clear"/>
            <w:vAlign w:val="center"/>
          </w:tcPr>
          <w:p>
            <w:pPr>
              <w:pStyle w:val="TableContents"/>
              <w:spacing w:before="0" w:after="0"/>
              <w:ind w:left="200" w:right="0" w:hanging="200"/>
              <w:rPr/>
            </w:pPr>
            <w:hyperlink w:anchor="controls">
              <w:r>
                <w:rPr>
                  <w:rStyle w:val="InternetLink"/>
                  <w:rFonts w:ascii="Times New Roman;Times;serif" w:hAnsi="Times New Roman;Times;serif"/>
                  <w:caps w:val="false"/>
                  <w:smallCaps w:val="false"/>
                  <w:sz w:val="20"/>
                </w:rPr>
                <w:t>Controls and Procedures</w:t>
              </w:r>
            </w:hyperlink>
          </w:p>
        </w:tc>
        <w:tc>
          <w:tcPr>
            <w:tcW w:w="455" w:type="dxa"/>
            <w:tcBorders/>
            <w:shd w:fill="auto" w:val="clear"/>
            <w:vAlign w:val="center"/>
          </w:tcPr>
          <w:p>
            <w:pPr>
              <w:pStyle w:val="TableContents"/>
              <w:spacing w:before="0" w:after="0"/>
              <w:ind w:left="0" w:right="0" w:hanging="0"/>
              <w:jc w:val="right"/>
              <w:rPr/>
            </w:pPr>
            <w:hyperlink w:anchor="controls">
              <w:r>
                <w:rPr>
                  <w:rStyle w:val="InternetLink"/>
                  <w:rFonts w:ascii="Times New Roman;Times;serif" w:hAnsi="Times New Roman;Times;serif"/>
                  <w:caps w:val="false"/>
                  <w:smallCaps w:val="false"/>
                  <w:sz w:val="20"/>
                </w:rPr>
                <w:t>61</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9B.</w:t>
            </w:r>
          </w:p>
        </w:tc>
        <w:tc>
          <w:tcPr>
            <w:tcW w:w="8825" w:type="dxa"/>
            <w:tcBorders/>
            <w:shd w:fill="auto" w:val="clear"/>
            <w:vAlign w:val="center"/>
          </w:tcPr>
          <w:p>
            <w:pPr>
              <w:pStyle w:val="TableContents"/>
              <w:spacing w:before="0" w:after="0"/>
              <w:ind w:left="200" w:right="0" w:hanging="200"/>
              <w:rPr/>
            </w:pPr>
            <w:hyperlink w:anchor="otherinfo">
              <w:r>
                <w:rPr>
                  <w:rStyle w:val="InternetLink"/>
                  <w:rFonts w:ascii="Times New Roman;Times;serif" w:hAnsi="Times New Roman;Times;serif"/>
                  <w:caps w:val="false"/>
                  <w:smallCaps w:val="false"/>
                  <w:sz w:val="20"/>
                </w:rPr>
                <w:t>Other Information</w:t>
              </w:r>
            </w:hyperlink>
          </w:p>
        </w:tc>
        <w:tc>
          <w:tcPr>
            <w:tcW w:w="455" w:type="dxa"/>
            <w:tcBorders/>
            <w:shd w:fill="auto" w:val="clear"/>
            <w:vAlign w:val="center"/>
          </w:tcPr>
          <w:p>
            <w:pPr>
              <w:pStyle w:val="TableContents"/>
              <w:spacing w:before="0" w:after="0"/>
              <w:ind w:left="0" w:right="0" w:hanging="0"/>
              <w:jc w:val="right"/>
              <w:rPr/>
            </w:pPr>
            <w:hyperlink w:anchor="otherinfo">
              <w:r>
                <w:rPr>
                  <w:rStyle w:val="InternetLink"/>
                  <w:rFonts w:ascii="Times New Roman;Times;serif" w:hAnsi="Times New Roman;Times;serif"/>
                  <w:caps w:val="false"/>
                  <w:smallCaps w:val="false"/>
                  <w:sz w:val="20"/>
                </w:rPr>
                <w:t>61</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9C.</w:t>
            </w:r>
          </w:p>
        </w:tc>
        <w:tc>
          <w:tcPr>
            <w:tcW w:w="8825" w:type="dxa"/>
            <w:tcBorders/>
            <w:shd w:fill="auto" w:val="clear"/>
            <w:vAlign w:val="center"/>
          </w:tcPr>
          <w:p>
            <w:pPr>
              <w:pStyle w:val="TableContents"/>
              <w:spacing w:before="0" w:after="0"/>
              <w:ind w:left="200" w:right="0" w:hanging="200"/>
              <w:rPr/>
            </w:pPr>
            <w:hyperlink w:anchor="disclosure">
              <w:r>
                <w:rPr>
                  <w:rStyle w:val="InternetLink"/>
                  <w:rFonts w:ascii="Times New Roman;Times;serif" w:hAnsi="Times New Roman;Times;serif"/>
                  <w:caps w:val="false"/>
                  <w:smallCaps w:val="false"/>
                  <w:sz w:val="20"/>
                </w:rPr>
                <w:t>Disclosure Regarding Foreign Jurisdictions that Prevent Inspections</w:t>
              </w:r>
            </w:hyperlink>
          </w:p>
        </w:tc>
        <w:tc>
          <w:tcPr>
            <w:tcW w:w="455" w:type="dxa"/>
            <w:tcBorders/>
            <w:shd w:fill="auto" w:val="clear"/>
            <w:vAlign w:val="center"/>
          </w:tcPr>
          <w:p>
            <w:pPr>
              <w:pStyle w:val="TableContents"/>
              <w:spacing w:before="0" w:after="0"/>
              <w:ind w:left="0" w:right="0" w:hanging="0"/>
              <w:jc w:val="right"/>
              <w:rPr/>
            </w:pPr>
            <w:hyperlink w:anchor="disclosure">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PART III</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10.</w:t>
            </w:r>
          </w:p>
        </w:tc>
        <w:tc>
          <w:tcPr>
            <w:tcW w:w="8825" w:type="dxa"/>
            <w:tcBorders/>
            <w:shd w:fill="auto" w:val="clear"/>
            <w:vAlign w:val="center"/>
          </w:tcPr>
          <w:p>
            <w:pPr>
              <w:pStyle w:val="TableContents"/>
              <w:spacing w:before="0" w:after="0"/>
              <w:ind w:left="200" w:right="0" w:hanging="200"/>
              <w:rPr/>
            </w:pPr>
            <w:hyperlink w:anchor="directors">
              <w:r>
                <w:rPr>
                  <w:rStyle w:val="InternetLink"/>
                  <w:rFonts w:ascii="Times New Roman;Times;serif" w:hAnsi="Times New Roman;Times;serif"/>
                  <w:caps w:val="false"/>
                  <w:smallCaps w:val="false"/>
                  <w:sz w:val="20"/>
                </w:rPr>
                <w:t>Directors, Executive Officers and Corporate Governance</w:t>
              </w:r>
            </w:hyperlink>
          </w:p>
        </w:tc>
        <w:tc>
          <w:tcPr>
            <w:tcW w:w="455" w:type="dxa"/>
            <w:tcBorders/>
            <w:shd w:fill="auto" w:val="clear"/>
            <w:vAlign w:val="center"/>
          </w:tcPr>
          <w:p>
            <w:pPr>
              <w:pStyle w:val="TableContents"/>
              <w:spacing w:before="0" w:after="0"/>
              <w:ind w:left="0" w:right="0" w:hanging="0"/>
              <w:jc w:val="right"/>
              <w:rPr/>
            </w:pPr>
            <w:hyperlink w:anchor="directors">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11.</w:t>
            </w:r>
          </w:p>
        </w:tc>
        <w:tc>
          <w:tcPr>
            <w:tcW w:w="8825" w:type="dxa"/>
            <w:tcBorders/>
            <w:shd w:fill="auto" w:val="clear"/>
            <w:vAlign w:val="center"/>
          </w:tcPr>
          <w:p>
            <w:pPr>
              <w:pStyle w:val="TableContents"/>
              <w:spacing w:before="0" w:after="0"/>
              <w:ind w:left="200" w:right="0" w:hanging="200"/>
              <w:rPr/>
            </w:pPr>
            <w:hyperlink w:anchor="executivecomp">
              <w:r>
                <w:rPr>
                  <w:rStyle w:val="InternetLink"/>
                  <w:rFonts w:ascii="Times New Roman;Times;serif" w:hAnsi="Times New Roman;Times;serif"/>
                  <w:caps w:val="false"/>
                  <w:smallCaps w:val="false"/>
                  <w:sz w:val="20"/>
                </w:rPr>
                <w:t>Executive Compensation</w:t>
              </w:r>
            </w:hyperlink>
          </w:p>
        </w:tc>
        <w:tc>
          <w:tcPr>
            <w:tcW w:w="455" w:type="dxa"/>
            <w:tcBorders/>
            <w:shd w:fill="auto" w:val="clear"/>
            <w:vAlign w:val="center"/>
          </w:tcPr>
          <w:p>
            <w:pPr>
              <w:pStyle w:val="TableContents"/>
              <w:spacing w:before="0" w:after="0"/>
              <w:ind w:left="0" w:right="0" w:hanging="0"/>
              <w:jc w:val="right"/>
              <w:rPr/>
            </w:pPr>
            <w:hyperlink w:anchor="executivecomp">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12.</w:t>
            </w:r>
          </w:p>
        </w:tc>
        <w:tc>
          <w:tcPr>
            <w:tcW w:w="8825" w:type="dxa"/>
            <w:tcBorders/>
            <w:shd w:fill="auto" w:val="clear"/>
            <w:vAlign w:val="center"/>
          </w:tcPr>
          <w:p>
            <w:pPr>
              <w:pStyle w:val="TableContents"/>
              <w:spacing w:before="0" w:after="0"/>
              <w:ind w:left="200" w:right="0" w:hanging="200"/>
              <w:rPr/>
            </w:pPr>
            <w:hyperlink w:anchor="security">
              <w:r>
                <w:rPr>
                  <w:rStyle w:val="InternetLink"/>
                  <w:rFonts w:ascii="Times New Roman;Times;serif" w:hAnsi="Times New Roman;Times;serif"/>
                  <w:caps w:val="false"/>
                  <w:smallCaps w:val="false"/>
                  <w:sz w:val="20"/>
                </w:rPr>
                <w:t>Security Ownership of Certain Beneficial Owners and Management and Related Stockholder Matters</w:t>
              </w:r>
            </w:hyperlink>
          </w:p>
        </w:tc>
        <w:tc>
          <w:tcPr>
            <w:tcW w:w="455" w:type="dxa"/>
            <w:tcBorders/>
            <w:shd w:fill="auto" w:val="clear"/>
            <w:vAlign w:val="center"/>
          </w:tcPr>
          <w:p>
            <w:pPr>
              <w:pStyle w:val="TableContents"/>
              <w:spacing w:before="0" w:after="0"/>
              <w:ind w:left="0" w:right="0" w:hanging="0"/>
              <w:jc w:val="right"/>
              <w:rPr/>
            </w:pPr>
            <w:hyperlink w:anchor="security">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13.</w:t>
            </w:r>
          </w:p>
        </w:tc>
        <w:tc>
          <w:tcPr>
            <w:tcW w:w="8825" w:type="dxa"/>
            <w:tcBorders/>
            <w:shd w:fill="auto" w:val="clear"/>
            <w:vAlign w:val="center"/>
          </w:tcPr>
          <w:p>
            <w:pPr>
              <w:pStyle w:val="TableContents"/>
              <w:spacing w:before="0" w:after="0"/>
              <w:ind w:left="200" w:right="0" w:hanging="200"/>
              <w:rPr/>
            </w:pPr>
            <w:hyperlink w:anchor="certain">
              <w:r>
                <w:rPr>
                  <w:rStyle w:val="InternetLink"/>
                  <w:rFonts w:ascii="Times New Roman;Times;serif" w:hAnsi="Times New Roman;Times;serif"/>
                  <w:caps w:val="false"/>
                  <w:smallCaps w:val="false"/>
                  <w:sz w:val="20"/>
                </w:rPr>
                <w:t>Certain Relationships and Related Transactions, and Director Independence</w:t>
              </w:r>
            </w:hyperlink>
          </w:p>
        </w:tc>
        <w:tc>
          <w:tcPr>
            <w:tcW w:w="455" w:type="dxa"/>
            <w:tcBorders/>
            <w:shd w:fill="auto" w:val="clear"/>
            <w:vAlign w:val="center"/>
          </w:tcPr>
          <w:p>
            <w:pPr>
              <w:pStyle w:val="TableContents"/>
              <w:spacing w:before="0" w:after="0"/>
              <w:ind w:left="0" w:right="0" w:hanging="0"/>
              <w:jc w:val="right"/>
              <w:rPr/>
            </w:pPr>
            <w:hyperlink w:anchor="certain">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14.</w:t>
            </w:r>
          </w:p>
        </w:tc>
        <w:tc>
          <w:tcPr>
            <w:tcW w:w="8825" w:type="dxa"/>
            <w:tcBorders/>
            <w:shd w:fill="auto" w:val="clear"/>
            <w:vAlign w:val="center"/>
          </w:tcPr>
          <w:p>
            <w:pPr>
              <w:pStyle w:val="TableContents"/>
              <w:spacing w:before="0" w:after="0"/>
              <w:ind w:left="200" w:right="0" w:hanging="200"/>
              <w:rPr/>
            </w:pPr>
            <w:hyperlink w:anchor="principal">
              <w:r>
                <w:rPr>
                  <w:rStyle w:val="InternetLink"/>
                  <w:rFonts w:ascii="Times New Roman;Times;serif" w:hAnsi="Times New Roman;Times;serif"/>
                  <w:caps w:val="false"/>
                  <w:smallCaps w:val="false"/>
                  <w:sz w:val="20"/>
                </w:rPr>
                <w:t>Principal Accounting Fees and Services</w:t>
              </w:r>
            </w:hyperlink>
          </w:p>
        </w:tc>
        <w:tc>
          <w:tcPr>
            <w:tcW w:w="455" w:type="dxa"/>
            <w:tcBorders/>
            <w:shd w:fill="auto" w:val="clear"/>
            <w:vAlign w:val="center"/>
          </w:tcPr>
          <w:p>
            <w:pPr>
              <w:pStyle w:val="TableContents"/>
              <w:spacing w:before="0" w:after="0"/>
              <w:ind w:left="0" w:right="0" w:hanging="0"/>
              <w:jc w:val="right"/>
              <w:rPr/>
            </w:pPr>
            <w:hyperlink w:anchor="principal">
              <w:r>
                <w:rPr>
                  <w:rStyle w:val="InternetLink"/>
                  <w:rFonts w:ascii="Times New Roman;Times;serif" w:hAnsi="Times New Roman;Times;serif"/>
                  <w:caps w:val="false"/>
                  <w:smallCaps w:val="false"/>
                  <w:sz w:val="20"/>
                </w:rPr>
                <w:t>62</w:t>
              </w:r>
            </w:hyperlink>
          </w:p>
        </w:tc>
      </w:tr>
      <w:tr>
        <w:trPr/>
        <w:tc>
          <w:tcPr>
            <w:tcW w:w="925"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PART IV</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15.</w:t>
            </w:r>
          </w:p>
        </w:tc>
        <w:tc>
          <w:tcPr>
            <w:tcW w:w="8825" w:type="dxa"/>
            <w:tcBorders/>
            <w:shd w:fill="auto" w:val="clear"/>
            <w:vAlign w:val="center"/>
          </w:tcPr>
          <w:p>
            <w:pPr>
              <w:pStyle w:val="TableContents"/>
              <w:spacing w:before="0" w:after="0"/>
              <w:ind w:left="200" w:right="0" w:hanging="200"/>
              <w:rPr/>
            </w:pPr>
            <w:hyperlink w:anchor="exhibits">
              <w:r>
                <w:rPr>
                  <w:rStyle w:val="InternetLink"/>
                  <w:rFonts w:ascii="Times New Roman;Times;serif" w:hAnsi="Times New Roman;Times;serif"/>
                  <w:caps w:val="false"/>
                  <w:smallCaps w:val="false"/>
                  <w:sz w:val="20"/>
                </w:rPr>
                <w:t>Exhibits, Financial Statement Schedules</w:t>
              </w:r>
            </w:hyperlink>
          </w:p>
        </w:tc>
        <w:tc>
          <w:tcPr>
            <w:tcW w:w="455" w:type="dxa"/>
            <w:tcBorders/>
            <w:shd w:fill="auto" w:val="clear"/>
            <w:vAlign w:val="center"/>
          </w:tcPr>
          <w:p>
            <w:pPr>
              <w:pStyle w:val="TableContents"/>
              <w:spacing w:before="0" w:after="0"/>
              <w:ind w:left="0" w:right="0" w:hanging="0"/>
              <w:jc w:val="right"/>
              <w:rPr/>
            </w:pPr>
            <w:hyperlink w:anchor="exhibits">
              <w:r>
                <w:rPr>
                  <w:rStyle w:val="InternetLink"/>
                  <w:rFonts w:ascii="Times New Roman;Times;serif" w:hAnsi="Times New Roman;Times;serif"/>
                  <w:caps w:val="false"/>
                  <w:smallCaps w:val="false"/>
                  <w:sz w:val="20"/>
                </w:rPr>
                <w:t>63</w:t>
              </w:r>
            </w:hyperlink>
          </w:p>
        </w:tc>
      </w:tr>
      <w:tr>
        <w:trPr/>
        <w:tc>
          <w:tcPr>
            <w:tcW w:w="925" w:type="dxa"/>
            <w:tcBorders/>
            <w:shd w:fill="auto" w:val="clear"/>
            <w:vAlign w:val="center"/>
          </w:tcPr>
          <w:p>
            <w:pPr>
              <w:pStyle w:val="TableContents"/>
              <w:spacing w:before="0" w:after="0"/>
              <w:ind w:left="0" w:right="0" w:firstLine="200"/>
              <w:rPr>
                <w:rFonts w:ascii="Times New Roman;Times;serif" w:hAnsi="Times New Roman;Times;serif"/>
                <w:caps w:val="false"/>
                <w:smallCaps w:val="false"/>
                <w:sz w:val="20"/>
              </w:rPr>
            </w:pPr>
            <w:r>
              <w:rPr>
                <w:rFonts w:ascii="Times New Roman;Times;serif" w:hAnsi="Times New Roman;Times;serif"/>
                <w:caps w:val="false"/>
                <w:smallCaps w:val="false"/>
                <w:sz w:val="20"/>
              </w:rPr>
              <w:t>Item 16.</w:t>
            </w:r>
          </w:p>
        </w:tc>
        <w:tc>
          <w:tcPr>
            <w:tcW w:w="8825" w:type="dxa"/>
            <w:tcBorders/>
            <w:shd w:fill="auto" w:val="clear"/>
            <w:vAlign w:val="center"/>
          </w:tcPr>
          <w:p>
            <w:pPr>
              <w:pStyle w:val="TableContents"/>
              <w:spacing w:before="0" w:after="0"/>
              <w:ind w:left="200" w:right="0" w:hanging="200"/>
              <w:rPr/>
            </w:pPr>
            <w:hyperlink w:anchor="summary">
              <w:r>
                <w:rPr>
                  <w:rStyle w:val="InternetLink"/>
                  <w:rFonts w:ascii="Times New Roman;Times;serif" w:hAnsi="Times New Roman;Times;serif"/>
                  <w:caps w:val="false"/>
                  <w:smallCaps w:val="false"/>
                  <w:sz w:val="20"/>
                </w:rPr>
                <w:t>Form 10-K Summary</w:t>
              </w:r>
            </w:hyperlink>
          </w:p>
        </w:tc>
        <w:tc>
          <w:tcPr>
            <w:tcW w:w="455" w:type="dxa"/>
            <w:tcBorders/>
            <w:shd w:fill="auto" w:val="clear"/>
            <w:vAlign w:val="center"/>
          </w:tcPr>
          <w:p>
            <w:pPr>
              <w:pStyle w:val="TableContents"/>
              <w:spacing w:before="0" w:after="0"/>
              <w:ind w:left="0" w:right="0" w:hanging="0"/>
              <w:jc w:val="right"/>
              <w:rPr/>
            </w:pPr>
            <w:hyperlink w:anchor="summary">
              <w:r>
                <w:rPr>
                  <w:rStyle w:val="InternetLink"/>
                  <w:rFonts w:ascii="Times New Roman;Times;serif" w:hAnsi="Times New Roman;Times;serif"/>
                  <w:caps w:val="false"/>
                  <w:smallCaps w:val="false"/>
                  <w:sz w:val="20"/>
                </w:rPr>
                <w:t>65</w:t>
              </w:r>
            </w:hyperlink>
          </w:p>
        </w:tc>
      </w:tr>
      <w:tr>
        <w:trPr/>
        <w:tc>
          <w:tcPr>
            <w:tcW w:w="925"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r>
      <w:tr>
        <w:trPr/>
        <w:tc>
          <w:tcPr>
            <w:tcW w:w="9750" w:type="dxa"/>
            <w:gridSpan w:val="2"/>
            <w:tcBorders/>
            <w:shd w:fill="auto" w:val="clear"/>
            <w:vAlign w:val="center"/>
          </w:tcPr>
          <w:p>
            <w:pPr>
              <w:pStyle w:val="TableContents"/>
              <w:spacing w:before="0" w:after="0"/>
              <w:ind w:left="0" w:right="0" w:hanging="0"/>
              <w:rPr/>
            </w:pPr>
            <w:hyperlink w:anchor="sigs">
              <w:r>
                <w:rPr>
                  <w:rStyle w:val="InternetLink"/>
                  <w:rFonts w:ascii="Times New Roman;Times;serif" w:hAnsi="Times New Roman;Times;serif"/>
                  <w:caps w:val="false"/>
                  <w:smallCaps w:val="false"/>
                  <w:sz w:val="20"/>
                </w:rPr>
                <w:t>Signatures</w:t>
              </w:r>
            </w:hyperlink>
            <w:r>
              <w:rPr>
                <w:rFonts w:ascii="Times New Roman;Times;serif" w:hAnsi="Times New Roman;Times;serif"/>
                <w:caps w:val="false"/>
                <w:smallCaps w:val="false"/>
                <w:sz w:val="20"/>
              </w:rPr>
              <w:t> </w:t>
            </w:r>
          </w:p>
        </w:tc>
        <w:tc>
          <w:tcPr>
            <w:tcW w:w="455" w:type="dxa"/>
            <w:tcBorders/>
            <w:shd w:fill="auto" w:val="clear"/>
            <w:vAlign w:val="center"/>
          </w:tcPr>
          <w:p>
            <w:pPr>
              <w:pStyle w:val="TableContents"/>
              <w:spacing w:before="0" w:after="0"/>
              <w:ind w:left="0" w:right="0" w:hanging="0"/>
              <w:jc w:val="right"/>
              <w:rPr/>
            </w:pPr>
            <w:hyperlink w:anchor="sigs">
              <w:r>
                <w:rPr>
                  <w:rStyle w:val="InternetLink"/>
                  <w:rFonts w:ascii="Times New Roman;Times;serif" w:hAnsi="Times New Roman;Times;serif"/>
                  <w:caps w:val="false"/>
                  <w:smallCaps w:val="false"/>
                  <w:sz w:val="20"/>
                </w:rPr>
                <w:t>66</w:t>
              </w:r>
            </w:hyperlink>
          </w:p>
        </w:tc>
      </w:tr>
    </w:tbl>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Pulse Biosciences,” the Pulse logos and other trademarks or service marks that we use in connection with the operation of our business appearing in this annual report on Form 10-K (this "Annual Report"), including CellFX, CellFX CloudConnect, CellFX Marketplace, Nanosecond Pulsed Field Ablation, nsPFA, Nano-Pulse Stimulation, and NPS, are the property of Pulse Biosciences, Inc. Solely for your convenience, some of our trademarks and trade names referred to in this Annual Report are listed without the ® and TM symbols, but we will assert, to the fullest extent under applicable law, our rights to our trademarks and trade names. Also, this Annual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rPr/>
      </w:pPr>
      <w:r>
        <w:rPr/>
        <w:t xml:space="preserve">  </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ABOUT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Annual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Annual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Annual Report, actual results may differ from the projections.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bookmarkStart w:id="3" w:name="business"/>
      <w:bookmarkEnd w:id="3"/>
      <w:r>
        <w:rPr>
          <w:rFonts w:ascii="Times New Roman" w:hAnsi="Times New Roman"/>
          <w:b/>
          <w:caps w:val="false"/>
          <w:smallCaps w:val="false"/>
          <w:sz w:val="20"/>
        </w:rPr>
        <w:t>Item 1.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technology, a revolutionary energy modality that delivers nanosecond-duration pulses of electrical energy, each less than a millionth of a second long, to non-thermally clear targeted cells while sparing adjacent noncellular tissue. NPS technology, also referred to as Nanosecond Pulsed-Field Ablation™ or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efforts on the use of nsPFA and the CellFX platform in the treatment of atrial fibrillation ("AF").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The Company has developed a cardiac ablation clamp for use in cardiac surgery and a cardiac ablation catheter for use in electrophysiology and we are currently testing both in preclinical models.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ablation clamp and cardiac ablation catheter both use the CellFX System to generate our proprietary pulses of electrical energy.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nsPFA ablation given its nonthermal nature.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The Company believes these advantages will be profoundly important to cardiac surgeons treating AF, so it is working with leaders in the field to develop this technology quickly.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We plan to perform the necessary device testing in 2023 to prepare for human clinical use, including continued preclinical testing. In parallel with the continued testing of the device, we expect to meet with the U.S. Food and Drug Administration (the "FDA") to discuss the regulatory requirements for a potential FDA clearance or approval to market our cardiac clamp in the United States. This will be done as part of the FDA’s standard Q-submission process, also known as a pre-submission meeting. We expect that our first meeting on this topic with the FDA will take place in the second quarter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cardiac catheter ablation device will have many of the same advantages that the cardiac ablation clamp has relative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as a result of its safety profile and potential to improve efficacy. PFA differs from nsPFA in that the pulse widths are longer, typically in the 10’s to 100’s of microseconds. We believe nsPFA can offer similar safety advantages as PFA and may provide improved efficacy advantages based on the circumferential design of our catheter and the potential that nsPFA can create deeper ablations. Another potential advantage of nsPFA ablation is a much shorter pulse duration which appears to stimulate less muscle contraction than does millisecond or microsecond PFA.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We believe the design we have now will be suitable to pursue a first-in-human clinical safety study. We are in the testing phase of the development process and expect to complete additional safety and performance preclinical studies throughout 2023. Once completed, we believe we will be in a position to begin a first-in-human feasibility study. In the United States, we believe the catheter will need to go through the FDA’s Pre-Market Approval ("PMA") process for FDA approval to market and sell in the United States.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CellFX System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CellFX System is a tunable, software-enabled, console-based platform, designed to accommodate the clinical workflow preferred by physicians. The CellFX System is configured to accept a variety of handpieces or electrodes across a range of clinical applications. In February 2021, the Company received 510(k) clearance from the FDA for the CellFX System for dermatologic procedures requiring ablation and resurfacing of the skin. In January 2021, the Company received Conformité Européene (“CE”) marking approval for the CellFX System, which allows for marketing of the system in the European Union (“EU”). Shortly after these regulatory clearances the Company began commercializing the CellFX System in dermatology for the treatment of benign skin lesions. However, in September 2022, the Company announced a shift in its focus from dermatology to cardiology and the treatment of AF. The Company has ceased all commercial sales and marketing operations in dermatology. At the present time, we continue to support our remaining commercial users and remain open to a potential commercial partnership. The CellFX System is being used for our current efforts in the treatment of AF.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While we are not investing R&amp;D resources in applications outside of cardiology and the treatment of AF, we continue to believe nsPFA ablation and NPS technology more broadly has the potential to provide superior outcomes across additional medical disciplines and we may seek partnership opportunities to develop additional applications.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 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Today, on a worldwide basis, we own 165 issued patents and pending patent applications, and we have an exclusive license to 72 additional issued patents and pending patent applications. The vast majority of our granted patents have an expiration date between 2035 and 2041. As in the past, we plan to continue to file new patent applications to protect our systems, algorithms, applicators, methods, and designs of our technologies and products as they evolve. Medical technologies such as ours may be utilized in many different applications and incorporate several patentable features, and our strategy will be to always strive to protect our products and technologies with multiple patents directed to the variety of features and applications, in order to establish a strong and useful patent portfolio against competitors, such that an expiration of a single patent should not lessen our overall comprehensive coverage and competitive advantage. We believe our NPS platform and CellFX System are protected by several issued patents, as well as pending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Employees and Human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December 31, 2022, we had 61 employees, of which substantially all were located at our headquarters in Hayward, California. Of these employees, 39 were engaged in research and development activities and 22 were engaged in sales, marketing, business development, and general and administrative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Talent Acquisition and Development.</w:t>
      </w:r>
      <w:r>
        <w:rPr>
          <w:rFonts w:ascii="Times New Roman" w:hAnsi="Times New Roman"/>
          <w:caps w:val="false"/>
          <w:smallCaps w:val="false"/>
          <w:sz w:val="20"/>
        </w:rPr>
        <w:t xml:space="preserve"> We are committed to providing a respectful work environment to our diverse workforce. We provide equal employment opportunities to all persons regardless of race, age, color, gender, sexual orientation, national origin, physical or mental disability, religion, or any other characteristic protected by federal, state, or local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employees are essential to our success and our ability to attract, develop, and retain key talent is a vital part of that. Our philosophy is to both develop talent from within and to strategically recruit key external talent. Our overall talent acquisition and retention strategy is designed to attract and retain diverse and qualified candidates to enable the success of the Company and achievement of our performance goals. The skills, experience and industry knowledge of key employees significantly benefit our operations and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 w:hAnsi="Times New Roman"/>
          <w:caps w:val="false"/>
          <w:smallCaps w:val="false"/>
          <w:sz w:val="20"/>
        </w:rPr>
      </w:pPr>
      <w:r>
        <w:rPr>
          <w:rFonts w:ascii="Times New Roman" w:hAnsi="Times New Roman"/>
          <w:i/>
          <w:caps w:val="false"/>
          <w:smallCaps w:val="false"/>
          <w:sz w:val="20"/>
        </w:rPr>
        <w:t>Compensation and Benefits Program.</w:t>
      </w:r>
      <w:r>
        <w:rPr>
          <w:rFonts w:ascii="Times New Roman" w:hAnsi="Times New Roman"/>
          <w:caps w:val="false"/>
          <w:smallCaps w:val="false"/>
          <w:sz w:val="20"/>
        </w:rPr>
        <w:t xml:space="preserve"> Our compensation program is designed to attract, motivate, and retain talented individuals who possess the skills necessary to support our business and contribute to our strategic goals, creating long-term value for our stockholders. We provide employees with competitive compensation packages that include base salary, annual incentive bonuses, 401(k), and equity awards tied to the value of our stock price. Our comprehensive benefits package also includes medical, dental, vision, life and disability plans, and an employee assistance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 xml:space="preserve">Wellness and Safety. </w:t>
      </w:r>
      <w:r>
        <w:rPr>
          <w:rFonts w:ascii="Times New Roman" w:hAnsi="Times New Roman"/>
          <w:caps w:val="false"/>
          <w:smallCaps w:val="false"/>
          <w:sz w:val="20"/>
        </w:rPr>
        <w:t>The health and safety of our employees is of utmost importance to us. We currently operate under a hybrid model of onsite and remote work with our technical teams being mostly back onsite on a full-time basis. In response to the COVID-19 pandemic, we continue to require employees to be fully vaccinated for COVID-19 and have policies and guidelines which are designed to protect the safety of our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applications we intend to target are subject to intense competition from rapidly evolving companies and new scientific discoveries. We compete against well-established incumbent technologies offering products in cardiology, oncology, and dermatology, as well as in minimally invasive procedures.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All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can influence many cellular functions depending on the energy applied. When it is used to stimulate primarily regulated cell death, such as through nsPFA ablation, we believe it would be less traumatic to treated tissue and would result in less scarring or collateral damage to surrounding tissues, which we feel will give us a competitive advantage over these more established companies despite formidable competition.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CellFX System is a medical device subject to extensive and ongoing regulation by the FDA under the Federal Food, Drug, and Cosmetic Act and its implementing regulations, as well as other federal and state regulatory bodies in the United States. The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regulates the medical device market to ensure the safety and efficacy of these products. For medical devices that require pre-market review, the FDA allows for three clearance/approval pathways for a medical device to be commercialized: approval via a Pre-market Approval Application (“PMA”), clearance of a 510(k) submission, or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Class I and Class II devices are considered low and moderate risk devices. Most Class I devices are exempt from premarket notification. Most Class II devices require 510(k) clearance from the FDA in order to be marketed in the U.S. A 510(k) Premarket Notification is a premarket submission made to the FDA to demonstrate that the device to be marketed is substantially equivalent to a legally marketed Class II device, </w:t>
      </w:r>
      <w:r>
        <w:rPr>
          <w:rFonts w:ascii="Times New Roman" w:hAnsi="Times New Roman"/>
          <w:i/>
          <w:caps w:val="false"/>
          <w:smallCaps w:val="false"/>
          <w:sz w:val="20"/>
        </w:rPr>
        <w:t>i.e.,</w:t>
      </w:r>
      <w:r>
        <w:rPr>
          <w:rFonts w:ascii="Times New Roman" w:hAnsi="Times New Roman"/>
          <w:caps w:val="false"/>
          <w:smallCaps w:val="false"/>
          <w:sz w:val="20"/>
        </w:rPr>
        <w:t> a predicate device. Companies making a 510(k) submission must compare their 510(k)-candidate device to a predicate device and establish substantial equivalence to the satisfaction of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efficacy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efficacy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Supplements to be submitted. The FDA could also require a manufacturer to cease marketing and distribution and/or recall the modified device until clearance or approval is obtained. Also, in these circumstances, the manufacturer may be subject to significant regulatory fines, penalties, and possible warning letters.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Pervasive and Continuing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Even after a device is placed on the market with FDA clearance or approval, numerous regulatory requirements continue to apply. These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FDA’s Quality System Regulation (“QSR”) which requires manufacturers, including third-party manufacturers, to follow stringent design, testing, control, documentation, and other quality assurance procedures during all aspects of the manufacturing process</w:t>
            </w:r>
            <w:r>
              <w:rPr>
                <w:rFonts w:ascii="Times New Roman" w:hAnsi="Times New Roman"/>
                <w:b/>
                <w:caps w:val="false"/>
                <w:smallCaps w:val="false"/>
                <w:sz w:val="20"/>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labeling regulations and FDA and FTC prohibitions against the promotion of products for uncleared, unapproved, or off-label uses;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post-market surveillance regulations, which apply when necessary to protect the public health or to provide additional safety and efficacy data for the device.</w:t>
            </w:r>
          </w:p>
        </w:tc>
      </w:tr>
    </w:tbl>
    <w:p>
      <w:pPr>
        <w:pStyle w:val="TextBody"/>
        <w:spacing w:before="0" w:after="0"/>
        <w:ind w:left="0" w:right="0" w:hanging="0"/>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has broad post-market and regulatory enforcement powers, and we must comply with the post-market surveillance regulations, including medical device reporting regulations. We are required to report to the FDA information if a device has, or may have, caused or contributed to a death or serious injury or has malfunctioned in a way that would likely cause or contribute to death or serious injury, if the malfunction of the device or one of our similar devices were to recur.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Failure to comply with applicable regulatory requirements can result in enforcement action by the FDA, which may include any of the following sanctions:</w:t>
      </w:r>
    </w:p>
    <w:p>
      <w:pPr>
        <w:pStyle w:val="TextBody"/>
        <w:spacing w:before="0" w:after="0"/>
        <w:ind w:left="0" w:right="0" w:hanging="0"/>
        <w:rPr/>
      </w:pPr>
      <w:r>
        <w:rPr/>
        <w:t> </w:t>
      </w:r>
    </w:p>
    <w:tbl>
      <w:tblPr>
        <w:tblW w:w="6850" w:type="dxa"/>
        <w:jc w:val="left"/>
        <w:tblInd w:w="0" w:type="dxa"/>
        <w:tblCellMar>
          <w:top w:w="0" w:type="dxa"/>
          <w:left w:w="0" w:type="dxa"/>
          <w:bottom w:w="0" w:type="dxa"/>
          <w:right w:w="0" w:type="dxa"/>
        </w:tblCellMar>
      </w:tblPr>
      <w:tblGrid>
        <w:gridCol w:w="60"/>
        <w:gridCol w:w="170"/>
        <w:gridCol w:w="66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20" w:type="dxa"/>
            <w:tcBorders/>
            <w:shd w:fill="auto" w:val="clear"/>
            <w:vAlign w:val="center"/>
          </w:tcPr>
          <w:p>
            <w:pPr>
              <w:pStyle w:val="TableContents"/>
              <w:spacing w:before="0" w:after="283"/>
              <w:rPr/>
            </w:pPr>
            <w:r>
              <w:rPr/>
              <w:t>warning letters, fines, injunctions, consent decrees, and civil penalties;</w:t>
            </w:r>
          </w:p>
        </w:tc>
      </w:tr>
    </w:tbl>
    <w:p>
      <w:pPr>
        <w:pStyle w:val="TextBody"/>
        <w:spacing w:before="0" w:after="0"/>
        <w:ind w:left="0" w:right="0" w:hanging="0"/>
        <w:rPr/>
      </w:pPr>
      <w:r>
        <w:rPr/>
        <w:t> </w:t>
      </w:r>
    </w:p>
    <w:tbl>
      <w:tblPr>
        <w:tblW w:w="6100" w:type="dxa"/>
        <w:jc w:val="left"/>
        <w:tblInd w:w="0" w:type="dxa"/>
        <w:tblCellMar>
          <w:top w:w="0" w:type="dxa"/>
          <w:left w:w="0" w:type="dxa"/>
          <w:bottom w:w="0" w:type="dxa"/>
          <w:right w:w="0" w:type="dxa"/>
        </w:tblCellMar>
      </w:tblPr>
      <w:tblGrid>
        <w:gridCol w:w="60"/>
        <w:gridCol w:w="170"/>
        <w:gridCol w:w="58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70" w:type="dxa"/>
            <w:tcBorders/>
            <w:shd w:fill="auto" w:val="clear"/>
            <w:vAlign w:val="center"/>
          </w:tcPr>
          <w:p>
            <w:pPr>
              <w:pStyle w:val="TableContents"/>
              <w:spacing w:before="0" w:after="283"/>
              <w:rPr/>
            </w:pPr>
            <w:r>
              <w:rPr/>
              <w:t>repair, replacement, refunds, recall, or seizure of our products;</w:t>
            </w:r>
          </w:p>
        </w:tc>
      </w:tr>
    </w:tbl>
    <w:p>
      <w:pPr>
        <w:pStyle w:val="TextBody"/>
        <w:spacing w:before="0" w:after="0"/>
        <w:ind w:left="0" w:right="0" w:hanging="0"/>
        <w:rPr/>
      </w:pPr>
      <w:r>
        <w:rPr/>
        <w:t> </w:t>
      </w:r>
    </w:p>
    <w:tbl>
      <w:tblPr>
        <w:tblW w:w="7180" w:type="dxa"/>
        <w:jc w:val="left"/>
        <w:tblInd w:w="0" w:type="dxa"/>
        <w:tblCellMar>
          <w:top w:w="0" w:type="dxa"/>
          <w:left w:w="0" w:type="dxa"/>
          <w:bottom w:w="0" w:type="dxa"/>
          <w:right w:w="0" w:type="dxa"/>
        </w:tblCellMar>
      </w:tblPr>
      <w:tblGrid>
        <w:gridCol w:w="60"/>
        <w:gridCol w:w="170"/>
        <w:gridCol w:w="69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50" w:type="dxa"/>
            <w:tcBorders/>
            <w:shd w:fill="auto" w:val="clear"/>
            <w:vAlign w:val="center"/>
          </w:tcPr>
          <w:p>
            <w:pPr>
              <w:pStyle w:val="TableContents"/>
              <w:spacing w:before="0" w:after="283"/>
              <w:rPr/>
            </w:pPr>
            <w:r>
              <w:rPr/>
              <w:t>operating restrictions, partial suspension, or total shutdown of production;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refusing our requests for 510(k) clearance or premarket approval of new products, new intended uses, or modifications to existing products;</w:t>
            </w:r>
          </w:p>
        </w:tc>
      </w:tr>
    </w:tbl>
    <w:p>
      <w:pPr>
        <w:pStyle w:val="TextBody"/>
        <w:spacing w:before="0" w:after="0"/>
        <w:ind w:left="0" w:right="0" w:hanging="0"/>
        <w:rPr/>
      </w:pPr>
      <w:r>
        <w:rPr/>
        <w:t> </w:t>
      </w:r>
    </w:p>
    <w:tbl>
      <w:tblPr>
        <w:tblW w:w="7315" w:type="dxa"/>
        <w:jc w:val="left"/>
        <w:tblInd w:w="0" w:type="dxa"/>
        <w:tblCellMar>
          <w:top w:w="0" w:type="dxa"/>
          <w:left w:w="0" w:type="dxa"/>
          <w:bottom w:w="0" w:type="dxa"/>
          <w:right w:w="0" w:type="dxa"/>
        </w:tblCellMar>
      </w:tblPr>
      <w:tblGrid>
        <w:gridCol w:w="60"/>
        <w:gridCol w:w="170"/>
        <w:gridCol w:w="70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0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withdrawing 510(k) clearance or premarket approval that has already been granted; and</w:t>
            </w:r>
          </w:p>
        </w:tc>
      </w:tr>
    </w:tbl>
    <w:p>
      <w:pPr>
        <w:pStyle w:val="TextBody"/>
        <w:spacing w:before="0" w:after="0"/>
        <w:ind w:left="0" w:right="0" w:hanging="0"/>
        <w:rPr/>
      </w:pPr>
      <w:r>
        <w:rPr/>
        <w:t> </w:t>
      </w:r>
    </w:p>
    <w:tbl>
      <w:tblPr>
        <w:tblW w:w="1975" w:type="dxa"/>
        <w:jc w:val="left"/>
        <w:tblInd w:w="0" w:type="dxa"/>
        <w:tblCellMar>
          <w:top w:w="0" w:type="dxa"/>
          <w:left w:w="0" w:type="dxa"/>
          <w:bottom w:w="0" w:type="dxa"/>
          <w:right w:w="0" w:type="dxa"/>
        </w:tblCellMar>
      </w:tblPr>
      <w:tblGrid>
        <w:gridCol w:w="60"/>
        <w:gridCol w:w="170"/>
        <w:gridCol w:w="17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7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criminal prosecution.</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Regulatory System for Medical Devices in Europe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European Union (the “EU”) consists of 27-member states and has a coordinated system for the authorization of medical devices. Marketing medical devices in the EU is subject to compliance with the Medical Devices Directive 93/92/EEC (MDD) and the European Union Medical Device Regulation (2017/745 or EU MDR) following its entry into application on May 26,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Manufacturers must demonstrate that their devices conform to the relevant essential requirements through a conformity assessment procedure. The nature of the assessment depends upon the classification of the device. The classification rules are mainly based on three criteria: (i) the length of time the device is in contact with the body, (ii) the degree of invasiveness, and (iii)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w:t>
      </w:r>
      <w:r>
        <w:rPr>
          <w:rFonts w:ascii="Times New Roman" w:hAnsi="Times New Roman"/>
          <w:i/>
          <w:caps w:val="false"/>
          <w:smallCaps w:val="false"/>
          <w:sz w:val="20"/>
        </w:rPr>
        <w:t>e.g.</w:t>
      </w:r>
      <w:r>
        <w:rPr>
          <w:rFonts w:ascii="Times New Roman" w:hAnsi="Times New Roman"/>
          <w:caps w:val="false"/>
          <w:smallCaps w:val="false"/>
          <w:sz w:val="20"/>
        </w:rPr>
        <w:t>,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EU MDR, which repealed and replaced the MDD, entered into force on May 25, 2017 with a transition period extending until May 26, 2021. The EU MDR clearly envisages, among other things, stricter controls of medical devices, including strengthening of the conformity assessment procedures, increased expectations with respect to clinical data for devices, and pre-market regulatory review of high-risk devices. The EU MDR also envisages greater control over notified bodies and their standards, increased transparency, more robust device vigilance requirements, and clarification of the rules for clinical investigations. Under transitional provisions, medical devices with notified body certificates issued under the MDD prior to May 26, 2020, and which have not been significantly changed, may continue to be placed on the market for the remaining validity of the certificate, until December 2028 at the latest. After the expiry of any applicable transitional period, only devices that have been CE marked under the EU MDR may be placed on the market in the EU.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Healthcare Reform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Affordance Care Act contains a number of provisions that impact our business and operations, some of which in ways we cannot currently predict, including those governing enrollments in federal healthcare programs and reimbursement changes.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Environmental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Insurance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maintain product and clinical trial liability insurance coverage which includes a maximum of per claim and annual aggregate policy limits, subject to self-insured retentions. The policy covers, subject to policy conditions and exclusions, claims of bodily injury and property damage from any product manufactured by us or from trial-related adverse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May 2022, the Company determined not to renew its annual director and officer liability insurance policy due to disproportionately high premiums quoted by insurance companies. Instead, on May 31, 2022, the Company and Robert W. Duggan, the Company's Executive Chairman, entered into a letter agreement (the “Letter Agreement”) pursuant to which Mr. Duggan has agreed with the Company to personally provide indemnity coverage for a one-year period, and he has agreed to deposit cash and/or marketable securities into a third-party escrow, as security for these obligations, if requested by the Company. The Company will pay a fee of $1.0 million to Mr. Duggan that shall be due on May 31, 2023, the last day of the one-year period, in consideration of the obligations set forth in the Letter Agreement. As of December 31, 2022, the amount owed to Mr. Duggan under the Letter Agreement was $0.6 million, recorded on the balance sheet under accrued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3957 Point Eden Way, Hayward, California. Our telephone number is (510) 906-4600.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Additionally, we use our website as a channel for distribution of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our website home page. </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4" w:name="risk"/>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firstLine="360"/>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that you should consider before investing in our common stock. These risks are described more fully below and include, but are not limited to, risks relating to the following:</w:t>
      </w:r>
    </w:p>
    <w:p>
      <w:pPr>
        <w:pStyle w:val="TextBody"/>
        <w:spacing w:before="0" w:after="0"/>
        <w:ind w:left="0" w:right="0" w:hanging="0"/>
        <w:rPr>
          <w:caps w:val="false"/>
          <w:smallCaps w:val="false"/>
        </w:rPr>
      </w:pPr>
      <w:r>
        <w:rPr>
          <w:caps w:val="false"/>
          <w:smallCaps w:val="false"/>
        </w:rPr>
        <w:t> </w:t>
      </w:r>
    </w:p>
    <w:tbl>
      <w:tblPr>
        <w:tblW w:w="6445" w:type="dxa"/>
        <w:jc w:val="left"/>
        <w:tblInd w:w="0" w:type="dxa"/>
        <w:tblCellMar>
          <w:top w:w="0" w:type="dxa"/>
          <w:left w:w="0" w:type="dxa"/>
          <w:bottom w:w="0" w:type="dxa"/>
          <w:right w:w="0" w:type="dxa"/>
        </w:tblCellMar>
      </w:tblPr>
      <w:tblGrid>
        <w:gridCol w:w="60"/>
        <w:gridCol w:w="170"/>
        <w:gridCol w:w="6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limited operating history and our limited revenue producing operations;</w:t>
            </w:r>
          </w:p>
        </w:tc>
      </w:tr>
    </w:tbl>
    <w:p>
      <w:pPr>
        <w:pStyle w:val="TextBody"/>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60"/>
        <w:gridCol w:w="170"/>
        <w:gridCol w:w="45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operate without additional fundraising;</w:t>
            </w:r>
          </w:p>
        </w:tc>
      </w:tr>
    </w:tbl>
    <w:p>
      <w:pPr>
        <w:pStyle w:val="TextBody"/>
        <w:spacing w:before="0" w:after="0"/>
        <w:ind w:left="0" w:right="0" w:hanging="0"/>
        <w:rPr/>
      </w:pPr>
      <w:r>
        <w:rPr/>
        <w:t> </w:t>
      </w:r>
    </w:p>
    <w:tbl>
      <w:tblPr>
        <w:tblW w:w="8650" w:type="dxa"/>
        <w:jc w:val="left"/>
        <w:tblInd w:w="0" w:type="dxa"/>
        <w:tblCellMar>
          <w:top w:w="0" w:type="dxa"/>
          <w:left w:w="0" w:type="dxa"/>
          <w:bottom w:w="0" w:type="dxa"/>
          <w:right w:w="0" w:type="dxa"/>
        </w:tblCellMar>
      </w:tblPr>
      <w:tblGrid>
        <w:gridCol w:w="60"/>
        <w:gridCol w:w="170"/>
        <w:gridCol w:w="84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8420" w:type="dxa"/>
            <w:tcBorders/>
            <w:shd w:fill="auto" w:val="clear"/>
            <w:vAlign w:val="center"/>
          </w:tcPr>
          <w:p>
            <w:pPr>
              <w:pStyle w:val="TableContents"/>
              <w:spacing w:before="0" w:after="283"/>
              <w:rPr/>
            </w:pPr>
            <w:r>
              <w:rPr/>
              <w:t>Our lack of experience developing and manufacturing medical products for cardiologists;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283"/>
              <w:rPr/>
            </w:pPr>
            <w:r>
              <w:rPr/>
              <w:t>Competition within our industry and in the markets and market segments we choose to pursue, including cardiology;</w:t>
            </w:r>
          </w:p>
        </w:tc>
      </w:tr>
    </w:tbl>
    <w:p>
      <w:pPr>
        <w:pStyle w:val="TextBody"/>
        <w:spacing w:before="0" w:after="0"/>
        <w:ind w:left="0" w:right="0" w:hanging="0"/>
        <w:rPr>
          <w:caps w:val="false"/>
          <w:smallCaps w:val="false"/>
        </w:rPr>
      </w:pPr>
      <w:r>
        <w:rPr>
          <w:caps w:val="false"/>
          <w:smallCaps w:val="false"/>
        </w:rPr>
        <w:t> </w:t>
      </w:r>
    </w:p>
    <w:tbl>
      <w:tblPr>
        <w:tblW w:w="5440" w:type="dxa"/>
        <w:jc w:val="left"/>
        <w:tblInd w:w="0" w:type="dxa"/>
        <w:tblCellMar>
          <w:top w:w="0" w:type="dxa"/>
          <w:left w:w="0" w:type="dxa"/>
          <w:bottom w:w="0" w:type="dxa"/>
          <w:right w:w="0" w:type="dxa"/>
        </w:tblCellMar>
      </w:tblPr>
      <w:tblGrid>
        <w:gridCol w:w="60"/>
        <w:gridCol w:w="170"/>
        <w:gridCol w:w="52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210" w:type="dxa"/>
            <w:tcBorders/>
            <w:shd w:fill="auto" w:val="clear"/>
            <w:vAlign w:val="center"/>
          </w:tcPr>
          <w:p>
            <w:pPr>
              <w:pStyle w:val="TableContents"/>
              <w:spacing w:before="0" w:after="283"/>
              <w:rPr/>
            </w:pPr>
            <w:r>
              <w:rPr/>
              <w:t>Health epidemics, including the coronavirus pandemic;</w:t>
            </w:r>
          </w:p>
        </w:tc>
      </w:tr>
    </w:tbl>
    <w:p>
      <w:pPr>
        <w:pStyle w:val="TextBody"/>
        <w:spacing w:before="0" w:after="0"/>
        <w:ind w:left="0" w:right="0" w:hanging="0"/>
        <w:rPr>
          <w:caps w:val="false"/>
          <w:smallCaps w:val="false"/>
        </w:rPr>
      </w:pPr>
      <w:r>
        <w:rPr>
          <w:caps w:val="false"/>
          <w:smallCaps w:val="false"/>
        </w:rPr>
        <w:t> </w:t>
      </w:r>
    </w:p>
    <w:tbl>
      <w:tblPr>
        <w:tblW w:w="5755" w:type="dxa"/>
        <w:jc w:val="left"/>
        <w:tblInd w:w="0" w:type="dxa"/>
        <w:tblCellMar>
          <w:top w:w="0" w:type="dxa"/>
          <w:left w:w="0" w:type="dxa"/>
          <w:bottom w:w="0" w:type="dxa"/>
          <w:right w:w="0" w:type="dxa"/>
        </w:tblCellMar>
      </w:tblPr>
      <w:tblGrid>
        <w:gridCol w:w="60"/>
        <w:gridCol w:w="170"/>
        <w:gridCol w:w="55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525" w:type="dxa"/>
            <w:tcBorders/>
            <w:shd w:fill="auto" w:val="clear"/>
            <w:vAlign w:val="center"/>
          </w:tcPr>
          <w:p>
            <w:pPr>
              <w:pStyle w:val="TableContents"/>
              <w:spacing w:before="0" w:after="283"/>
              <w:rPr/>
            </w:pPr>
            <w:r>
              <w:rPr/>
              <w:t>Our reliance on certain third parties, such as key suppliers;</w:t>
            </w:r>
          </w:p>
        </w:tc>
      </w:tr>
    </w:tbl>
    <w:p>
      <w:pPr>
        <w:pStyle w:val="TextBody"/>
        <w:spacing w:before="0" w:after="0"/>
        <w:ind w:left="0" w:right="0" w:hanging="0"/>
        <w:rPr>
          <w:caps w:val="false"/>
          <w:smallCaps w:val="false"/>
        </w:rPr>
      </w:pPr>
      <w:r>
        <w:rPr>
          <w:caps w:val="false"/>
          <w:smallCaps w:val="false"/>
        </w:rPr>
        <w:t> </w:t>
      </w:r>
    </w:p>
    <w:tbl>
      <w:tblPr>
        <w:tblW w:w="7090" w:type="dxa"/>
        <w:jc w:val="left"/>
        <w:tblInd w:w="0" w:type="dxa"/>
        <w:tblCellMar>
          <w:top w:w="0" w:type="dxa"/>
          <w:left w:w="0" w:type="dxa"/>
          <w:bottom w:w="0" w:type="dxa"/>
          <w:right w:w="0" w:type="dxa"/>
        </w:tblCellMar>
      </w:tblPr>
      <w:tblGrid>
        <w:gridCol w:w="60"/>
        <w:gridCol w:w="170"/>
        <w:gridCol w:w="68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60" w:type="dxa"/>
            <w:tcBorders/>
            <w:shd w:fill="auto" w:val="clear"/>
            <w:vAlign w:val="center"/>
          </w:tcPr>
          <w:p>
            <w:pPr>
              <w:pStyle w:val="TableContents"/>
              <w:spacing w:before="0" w:after="283"/>
              <w:rPr/>
            </w:pPr>
            <w:r>
              <w:rPr/>
              <w:t>Potential loss of key management personnel and high employee attrition;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283"/>
              <w:rPr/>
            </w:pPr>
            <w:r>
              <w:rPr/>
              <w:t>Potential security breaches, loss of data, and other disruptions to us or to our third-party service providers that could compromise sensitive information;</w:t>
            </w:r>
          </w:p>
        </w:tc>
      </w:tr>
    </w:tbl>
    <w:p>
      <w:pPr>
        <w:pStyle w:val="TextBody"/>
        <w:spacing w:before="0" w:after="0"/>
        <w:ind w:left="0" w:right="0" w:hanging="0"/>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60"/>
        <w:gridCol w:w="170"/>
        <w:gridCol w:w="51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105" w:type="dxa"/>
            <w:tcBorders/>
            <w:shd w:fill="auto" w:val="clear"/>
            <w:vAlign w:val="center"/>
          </w:tcPr>
          <w:p>
            <w:pPr>
              <w:pStyle w:val="TableContents"/>
              <w:spacing w:before="0" w:after="283"/>
              <w:rPr/>
            </w:pPr>
            <w:r>
              <w:rPr/>
              <w:t>Potential product liability lawsuits and other litigation;</w:t>
            </w:r>
          </w:p>
        </w:tc>
      </w:tr>
    </w:tbl>
    <w:p>
      <w:pPr>
        <w:pStyle w:val="TextBody"/>
        <w:spacing w:before="0" w:after="0"/>
        <w:ind w:left="0" w:right="0" w:hanging="0"/>
        <w:rPr>
          <w:caps w:val="false"/>
          <w:smallCaps w:val="false"/>
        </w:rPr>
      </w:pPr>
      <w:r>
        <w:rPr>
          <w:caps w:val="false"/>
          <w:smallCaps w:val="false"/>
        </w:rPr>
        <w:t> </w:t>
      </w:r>
    </w:p>
    <w:tbl>
      <w:tblPr>
        <w:tblW w:w="8935" w:type="dxa"/>
        <w:jc w:val="left"/>
        <w:tblInd w:w="0" w:type="dxa"/>
        <w:tblCellMar>
          <w:top w:w="0" w:type="dxa"/>
          <w:left w:w="0" w:type="dxa"/>
          <w:bottom w:w="0" w:type="dxa"/>
          <w:right w:w="0" w:type="dxa"/>
        </w:tblCellMar>
      </w:tblPr>
      <w:tblGrid>
        <w:gridCol w:w="60"/>
        <w:gridCol w:w="170"/>
        <w:gridCol w:w="87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05" w:type="dxa"/>
            <w:tcBorders/>
            <w:shd w:fill="auto" w:val="clear"/>
            <w:vAlign w:val="center"/>
          </w:tcPr>
          <w:p>
            <w:pPr>
              <w:pStyle w:val="TableContents"/>
              <w:spacing w:before="0" w:after="283"/>
              <w:rPr/>
            </w:pPr>
            <w:r>
              <w:rPr/>
              <w:t>The timing, unpredictability, and expense of our clinical and product development activities;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283"/>
              <w:rPr/>
            </w:pPr>
            <w:r>
              <w:rPr/>
              <w:t>The possibility of adverse clinical trial results and unfavorable long-term clinical trial data, especially given our limited pre-clinical experience using NPS technology in animal models of cardiac disease;</w:t>
            </w:r>
          </w:p>
        </w:tc>
      </w:tr>
    </w:tbl>
    <w:p>
      <w:pPr>
        <w:pStyle w:val="TextBody"/>
        <w:spacing w:before="0" w:after="0"/>
        <w:ind w:left="0" w:right="0" w:hanging="0"/>
        <w:rPr>
          <w:caps w:val="false"/>
          <w:smallCaps w:val="false"/>
        </w:rPr>
      </w:pPr>
      <w:r>
        <w:rPr>
          <w:caps w:val="false"/>
          <w:smallCaps w:val="false"/>
        </w:rPr>
        <w:t> </w:t>
      </w:r>
    </w:p>
    <w:tbl>
      <w:tblPr>
        <w:tblW w:w="7150" w:type="dxa"/>
        <w:jc w:val="left"/>
        <w:tblInd w:w="0" w:type="dxa"/>
        <w:tblCellMar>
          <w:top w:w="0" w:type="dxa"/>
          <w:left w:w="0" w:type="dxa"/>
          <w:bottom w:w="0" w:type="dxa"/>
          <w:right w:w="0" w:type="dxa"/>
        </w:tblCellMar>
      </w:tblPr>
      <w:tblGrid>
        <w:gridCol w:w="60"/>
        <w:gridCol w:w="170"/>
        <w:gridCol w:w="69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failure to obtain and maintain necessary regulatory clearances or approvals;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concerning the long-term safety and effectiveness of our CellFX System and product candidates, and the potential for adverse side effects;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commercial uncertainties concerning whether there will be broad adoption of our CellFX System and NPS technology, especially in the cardiology market given our announced focus on cardiac care, and uncertainties about whether we will be able to secure a partner to promote further sales of the CellFX System in dermatology profitably;</w:t>
            </w:r>
          </w:p>
        </w:tc>
      </w:tr>
    </w:tbl>
    <w:p>
      <w:pPr>
        <w:pStyle w:val="TextBody"/>
        <w:spacing w:before="0" w:after="0"/>
        <w:ind w:left="0" w:right="0" w:hanging="0"/>
        <w:rPr>
          <w:caps w:val="false"/>
          <w:smallCaps w:val="false"/>
        </w:rPr>
      </w:pPr>
      <w:r>
        <w:rPr>
          <w:caps w:val="false"/>
          <w:smallCaps w:val="false"/>
        </w:rPr>
        <w:t> </w:t>
      </w:r>
    </w:p>
    <w:tbl>
      <w:tblPr>
        <w:tblW w:w="5020" w:type="dxa"/>
        <w:jc w:val="left"/>
        <w:tblInd w:w="0" w:type="dxa"/>
        <w:tblCellMar>
          <w:top w:w="0" w:type="dxa"/>
          <w:left w:w="0" w:type="dxa"/>
          <w:bottom w:w="0" w:type="dxa"/>
          <w:right w:w="0" w:type="dxa"/>
        </w:tblCellMar>
      </w:tblPr>
      <w:tblGrid>
        <w:gridCol w:w="60"/>
        <w:gridCol w:w="170"/>
        <w:gridCol w:w="47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Possible challenges enrolling patients in our clinical trials;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concerning our ability to obtain an adequate level of reimbursement by Medicare and other third-party payers;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Protection of intellectual property, potential litigation related to intellectual property, and obligations under intellectual property agreements;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Stringent domestic and foreign regulation in respect of any potential devices and products, including healthcare laws and regulations;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2455" w:type="dxa"/>
        <w:jc w:val="left"/>
        <w:tblInd w:w="0" w:type="dxa"/>
        <w:tblCellMar>
          <w:top w:w="0" w:type="dxa"/>
          <w:left w:w="0" w:type="dxa"/>
          <w:bottom w:w="0" w:type="dxa"/>
          <w:right w:w="0" w:type="dxa"/>
        </w:tblCellMar>
      </w:tblPr>
      <w:tblGrid>
        <w:gridCol w:w="60"/>
        <w:gridCol w:w="170"/>
        <w:gridCol w:w="22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2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Healthcare policy changes;</w:t>
            </w:r>
          </w:p>
        </w:tc>
      </w:tr>
    </w:tbl>
    <w:p>
      <w:pPr>
        <w:pStyle w:val="TextBody"/>
        <w:spacing w:before="0" w:after="0"/>
        <w:ind w:left="0" w:right="0" w:hanging="0"/>
        <w:rPr>
          <w:caps w:val="false"/>
          <w:smallCaps w:val="false"/>
        </w:rPr>
      </w:pPr>
      <w:r>
        <w:rPr>
          <w:caps w:val="false"/>
          <w:smallCaps w:val="false"/>
        </w:rPr>
        <w:t> </w:t>
      </w:r>
    </w:p>
    <w:tbl>
      <w:tblPr>
        <w:tblW w:w="3820" w:type="dxa"/>
        <w:jc w:val="left"/>
        <w:tblInd w:w="0" w:type="dxa"/>
        <w:tblCellMar>
          <w:top w:w="0" w:type="dxa"/>
          <w:left w:w="0" w:type="dxa"/>
          <w:bottom w:w="0" w:type="dxa"/>
          <w:right w:w="0" w:type="dxa"/>
        </w:tblCellMar>
      </w:tblPr>
      <w:tblGrid>
        <w:gridCol w:w="60"/>
        <w:gridCol w:w="170"/>
        <w:gridCol w:w="35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Volatility of the price of our common stock;</w:t>
            </w:r>
          </w:p>
        </w:tc>
      </w:tr>
    </w:tbl>
    <w:p>
      <w:pPr>
        <w:pStyle w:val="TextBody"/>
        <w:spacing w:before="0" w:after="0"/>
        <w:ind w:left="0" w:right="0" w:hanging="0"/>
        <w:rPr>
          <w:caps w:val="false"/>
          <w:smallCaps w:val="false"/>
        </w:rPr>
      </w:pPr>
      <w:r>
        <w:rPr>
          <w:caps w:val="false"/>
          <w:smallCaps w:val="false"/>
        </w:rPr>
        <w:t> </w:t>
      </w:r>
    </w:p>
    <w:tbl>
      <w:tblPr>
        <w:tblW w:w="8590" w:type="dxa"/>
        <w:jc w:val="left"/>
        <w:tblInd w:w="0" w:type="dxa"/>
        <w:tblCellMar>
          <w:top w:w="0" w:type="dxa"/>
          <w:left w:w="0" w:type="dxa"/>
          <w:bottom w:w="0" w:type="dxa"/>
          <w:right w:w="0" w:type="dxa"/>
        </w:tblCellMar>
      </w:tblPr>
      <w:tblGrid>
        <w:gridCol w:w="60"/>
        <w:gridCol w:w="170"/>
        <w:gridCol w:w="83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3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Concentration of ownership by our principal stockholder and Executive Chairman, Robert W. Duggan;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material weaknesses and uncertainties concerning our ability to maintain an effective system of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5215" w:type="dxa"/>
        <w:jc w:val="left"/>
        <w:tblInd w:w="0" w:type="dxa"/>
        <w:tblCellMar>
          <w:top w:w="0" w:type="dxa"/>
          <w:left w:w="0" w:type="dxa"/>
          <w:bottom w:w="0" w:type="dxa"/>
          <w:right w:w="0" w:type="dxa"/>
        </w:tblCellMar>
      </w:tblPr>
      <w:tblGrid>
        <w:gridCol w:w="60"/>
        <w:gridCol w:w="170"/>
        <w:gridCol w:w="49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985" w:type="dxa"/>
            <w:tcBorders/>
            <w:shd w:fill="auto" w:val="clear"/>
            <w:vAlign w:val="center"/>
          </w:tcPr>
          <w:p>
            <w:pPr>
              <w:pStyle w:val="TableContents"/>
              <w:spacing w:before="0" w:after="283"/>
              <w:rPr/>
            </w:pPr>
            <w:r>
              <w:rPr/>
              <w:t>Unfavorable global economic or political conditions.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have not generated significant revenue and we may never become profitable.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Investors should evaluate an investment in us in light of the uncertainties typically encountered by developing medical technology companies in a competitive environment, especially given our limited preclinical experience using our NPS technology in animal models of cardiac disease.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Additionally, in September 2022, to fund operations, we borrowed $65 million from our majority stockholder and Executive Chairman, Robert W. Duggan, and we will need to raise additional capital in order to repay this loan by no later than its maturity date in September 2024. Accordingly, there is no assurance that cash flows from operations and other internal and external sources of liquidity will at all times be sufficient for our cash requirements, including repayment of the loan and other indebtedness.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hostilities between Russia and Ukraine and the ongoing COVID-19 pandemic and resulting negative impact on the global macroeconomic environment and capital markets may make it more difficult for us to raise additional funds. Also, the existing debt obligations we owe to our Executive Chairman may make future equity financings difficult to structure, more costly to the Company, and harder to complete, and additionally we may be required to incur more debt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corporate restructuring and the associated headcount reduction announced in March and September 2022 and February 2023 may not result in anticipated savings, could result in total costs and expenses and attrition that are greater than expected and could disrupt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On March 31, 2022, we announced an approximate 20% reduction in headcount as part of a corporate restructuring plan. On September 30, 2022, we announced an approximate 40% reduction in headcount as part of our decision to focus our activities on product development outside of dermatology. As a consequence of our announced corporate realignment, we have experienced employee turnover in 2022 higher than industry norms, and in February 2023 we continued to reduce headcount by eliminating another seven positions at the Company.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servicing of commercial accounts, and product development activities. Our headcount reductions could also harm our ability to attract and retain qualified management, scientific, clinical, regulatory, manufacturing, engineering, and other personnel critical to our business. Any failure to attract or retain qualified personnel could prevent us from successfully developing and commercializing our new product candidates in the future and could also harm our existing and planned commercial activities in dermatology.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handpieces and tips, and both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Aesthetic and medical dermatologists have been slow to adopt our products and they have used our products in only a small percentage of their eligible patients for a variety of reasons.  Even if we are able to develop a safe and effective treatment for atrial fibrillation using our proprietary NPS technology, we can give no assurance that cardiologists would adopt NPS technology into their medical practices faster than dermatologists have.</w:t>
      </w:r>
    </w:p>
    <w:p>
      <w:pPr>
        <w:pStyle w:val="TextBody"/>
        <w:spacing w:before="0" w:after="0"/>
        <w:ind w:left="0" w:right="0" w:hanging="0"/>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spacing w:before="0" w:after="0"/>
        <w:ind w:left="0" w:right="0" w:hanging="0"/>
        <w:rPr>
          <w:caps w:val="false"/>
          <w:smallCaps w:val="false"/>
        </w:rPr>
      </w:pPr>
      <w:r>
        <w:rPr>
          <w:caps w:val="false"/>
          <w:smallCaps w:val="false"/>
        </w:rPr>
        <w:t> </w:t>
      </w:r>
    </w:p>
    <w:tbl>
      <w:tblPr>
        <w:tblW w:w="3415" w:type="dxa"/>
        <w:jc w:val="left"/>
        <w:tblInd w:w="0" w:type="dxa"/>
        <w:tblCellMar>
          <w:top w:w="0" w:type="dxa"/>
          <w:left w:w="0" w:type="dxa"/>
          <w:bottom w:w="0" w:type="dxa"/>
          <w:right w:w="0" w:type="dxa"/>
        </w:tblCellMar>
      </w:tblPr>
      <w:tblGrid>
        <w:gridCol w:w="60"/>
        <w:gridCol w:w="170"/>
        <w:gridCol w:w="31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1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significantly greater name recognition;</w:t>
            </w:r>
          </w:p>
        </w:tc>
      </w:tr>
    </w:tbl>
    <w:p>
      <w:pPr>
        <w:pStyle w:val="TextBody"/>
        <w:spacing w:before="0" w:after="0"/>
        <w:ind w:left="0" w:right="0" w:hanging="0"/>
        <w:rPr>
          <w:caps w:val="false"/>
          <w:smallCaps w:val="false"/>
        </w:rPr>
      </w:pPr>
      <w:r>
        <w:rPr>
          <w:caps w:val="false"/>
          <w:smallCaps w:val="false"/>
        </w:rPr>
        <w:t> </w:t>
      </w:r>
    </w:p>
    <w:tbl>
      <w:tblPr>
        <w:tblW w:w="7495" w:type="dxa"/>
        <w:jc w:val="left"/>
        <w:tblInd w:w="0" w:type="dxa"/>
        <w:tblCellMar>
          <w:top w:w="0" w:type="dxa"/>
          <w:left w:w="0" w:type="dxa"/>
          <w:bottom w:w="0" w:type="dxa"/>
          <w:right w:w="0" w:type="dxa"/>
        </w:tblCellMar>
      </w:tblPr>
      <w:tblGrid>
        <w:gridCol w:w="60"/>
        <w:gridCol w:w="170"/>
        <w:gridCol w:w="72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established relationships with healthcare professionals, customers, and third-party payers;</w:t>
            </w:r>
          </w:p>
        </w:tc>
      </w:tr>
    </w:tbl>
    <w:p>
      <w:pPr>
        <w:pStyle w:val="TextBody"/>
        <w:spacing w:before="0" w:after="0"/>
        <w:ind w:left="0" w:right="0" w:hanging="0"/>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60"/>
        <w:gridCol w:w="170"/>
        <w:gridCol w:w="54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4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products with greater efficacy or better safety profiles;</w:t>
            </w:r>
          </w:p>
        </w:tc>
      </w:tr>
    </w:tbl>
    <w:p>
      <w:pPr>
        <w:pStyle w:val="TextBody"/>
        <w:spacing w:before="0" w:after="0"/>
        <w:ind w:left="0" w:right="0" w:hanging="0"/>
        <w:rPr>
          <w:caps w:val="false"/>
          <w:smallCaps w:val="false"/>
        </w:rPr>
      </w:pPr>
      <w:r>
        <w:rPr>
          <w:caps w:val="false"/>
          <w:smallCaps w:val="false"/>
        </w:rPr>
        <w:t> </w:t>
      </w:r>
    </w:p>
    <w:tbl>
      <w:tblPr>
        <w:tblW w:w="3010" w:type="dxa"/>
        <w:jc w:val="left"/>
        <w:tblInd w:w="0" w:type="dxa"/>
        <w:tblCellMar>
          <w:top w:w="0" w:type="dxa"/>
          <w:left w:w="0" w:type="dxa"/>
          <w:bottom w:w="0" w:type="dxa"/>
          <w:right w:w="0" w:type="dxa"/>
        </w:tblCellMar>
      </w:tblPr>
      <w:tblGrid>
        <w:gridCol w:w="60"/>
        <w:gridCol w:w="170"/>
        <w:gridCol w:w="27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established distribution networks;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lines of products and the ability to offer rebates, higher discounts, or incentives to gain a competitive advantage;</w:t>
            </w:r>
          </w:p>
        </w:tc>
      </w:tr>
    </w:tbl>
    <w:p>
      <w:pPr>
        <w:pStyle w:val="TextBody"/>
        <w:spacing w:before="0" w:after="0"/>
        <w:ind w:left="0" w:right="0" w:hanging="0"/>
        <w:rPr>
          <w:caps w:val="false"/>
          <w:smallCaps w:val="false"/>
        </w:rPr>
      </w:pPr>
      <w:r>
        <w:rPr>
          <w:caps w:val="false"/>
          <w:smallCaps w:val="false"/>
        </w:rPr>
        <w:t> </w:t>
      </w:r>
    </w:p>
    <w:tbl>
      <w:tblPr>
        <w:tblW w:w="7405" w:type="dxa"/>
        <w:jc w:val="left"/>
        <w:tblInd w:w="0" w:type="dxa"/>
        <w:tblCellMar>
          <w:top w:w="0" w:type="dxa"/>
          <w:left w:w="0" w:type="dxa"/>
          <w:bottom w:w="0" w:type="dxa"/>
          <w:right w:w="0" w:type="dxa"/>
        </w:tblCellMar>
      </w:tblPr>
      <w:tblGrid>
        <w:gridCol w:w="60"/>
        <w:gridCol w:w="170"/>
        <w:gridCol w:w="71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experience in obtaining patents and regulatory approvals for product candidates;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experience conducting new product research and development, manufacturing therapies, conducting clinical trials, obtaining regulatory approval for products, and marketing approved products; and</w:t>
            </w:r>
          </w:p>
        </w:tc>
      </w:tr>
    </w:tbl>
    <w:p>
      <w:pPr>
        <w:pStyle w:val="TextBody"/>
        <w:spacing w:before="0" w:after="0"/>
        <w:ind w:left="0" w:right="0" w:hanging="0"/>
        <w:rPr>
          <w:caps w:val="false"/>
          <w:smallCaps w:val="false"/>
        </w:rPr>
      </w:pPr>
      <w:r>
        <w:rPr>
          <w:caps w:val="false"/>
          <w:smallCaps w:val="false"/>
        </w:rPr>
        <w:t> </w:t>
      </w:r>
    </w:p>
    <w:tbl>
      <w:tblPr>
        <w:tblW w:w="7105" w:type="dxa"/>
        <w:jc w:val="left"/>
        <w:tblInd w:w="0" w:type="dxa"/>
        <w:tblCellMar>
          <w:top w:w="0" w:type="dxa"/>
          <w:left w:w="0" w:type="dxa"/>
          <w:bottom w:w="0" w:type="dxa"/>
          <w:right w:w="0" w:type="dxa"/>
        </w:tblCellMar>
      </w:tblPr>
      <w:tblGrid>
        <w:gridCol w:w="60"/>
        <w:gridCol w:w="170"/>
        <w:gridCol w:w="68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greater financial and human resources for product development, sales and marketing.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dermatology, we commenced revenue-producing operations in 2021; however, we have been unsuccessful in earning significant revenues. We therefore intend to seek development and marketing partners and license our technology to others in order to avoid having to provide marketing, manufacturing, and distribution capabilities within our organization. There can be no assurance that we will find any development and marketing partners or companies that are interested in licensing our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Kevin Danahy, and our Chief Technology Officer, Darrin Uecker, and members of our finance,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However, we have had limited experience marketing and selling the CellFX System in dermatology, no sales experience in cardiology, and our revenues and cash flows have been volatile and difficult to predict. As of March 1, 2023, following two reductions in force in 2022 and a third elimination of positions in February 2023, we no longer had any employees engaged in sales and marketing activities on a fulltime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 xml:space="preserve">Rapidly changing technology in life sciences could make the products we are developing obsolete. </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spacing w:before="0" w:after="0"/>
        <w:ind w:left="0" w:right="0" w:hanging="0"/>
        <w:rPr>
          <w:caps w:val="false"/>
          <w:smallCaps w:val="false"/>
        </w:rPr>
      </w:pPr>
      <w:r>
        <w:rPr>
          <w:caps w:val="false"/>
          <w:smallCaps w:val="false"/>
        </w:rPr>
        <w:t> </w:t>
      </w:r>
    </w:p>
    <w:tbl>
      <w:tblPr>
        <w:tblW w:w="6790" w:type="dxa"/>
        <w:jc w:val="left"/>
        <w:tblInd w:w="0" w:type="dxa"/>
        <w:tblCellMar>
          <w:top w:w="0" w:type="dxa"/>
          <w:left w:w="0" w:type="dxa"/>
          <w:bottom w:w="0" w:type="dxa"/>
          <w:right w:w="0" w:type="dxa"/>
        </w:tblCellMar>
      </w:tblPr>
      <w:tblGrid>
        <w:gridCol w:w="60"/>
        <w:gridCol w:w="170"/>
        <w:gridCol w:w="65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5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decreased demand for our product or any planned products that we may develop;</w:t>
            </w:r>
          </w:p>
        </w:tc>
      </w:tr>
    </w:tbl>
    <w:p>
      <w:pPr>
        <w:pStyle w:val="TextBody"/>
        <w:spacing w:before="0" w:after="0"/>
        <w:ind w:left="0" w:right="0" w:hanging="0"/>
        <w:rPr>
          <w:caps w:val="false"/>
          <w:smallCaps w:val="false"/>
        </w:rPr>
      </w:pPr>
      <w:r>
        <w:rPr>
          <w:caps w:val="false"/>
          <w:smallCaps w:val="false"/>
        </w:rPr>
        <w:t> </w:t>
      </w:r>
    </w:p>
    <w:tbl>
      <w:tblPr>
        <w:tblW w:w="5545" w:type="dxa"/>
        <w:jc w:val="left"/>
        <w:tblInd w:w="0" w:type="dxa"/>
        <w:tblCellMar>
          <w:top w:w="0" w:type="dxa"/>
          <w:left w:w="0" w:type="dxa"/>
          <w:bottom w:w="0" w:type="dxa"/>
          <w:right w:w="0" w:type="dxa"/>
        </w:tblCellMar>
      </w:tblPr>
      <w:tblGrid>
        <w:gridCol w:w="60"/>
        <w:gridCol w:w="170"/>
        <w:gridCol w:w="53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injury to our reputation and significant negative media attention;</w:t>
            </w:r>
          </w:p>
        </w:tc>
      </w:tr>
    </w:tbl>
    <w:p>
      <w:pPr>
        <w:pStyle w:val="TextBody"/>
        <w:spacing w:before="0" w:after="0"/>
        <w:ind w:left="0" w:right="0" w:hanging="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60"/>
        <w:gridCol w:w="170"/>
        <w:gridCol w:w="5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withdrawal of patients from our clinical studies or cancellation of studies;</w:t>
            </w:r>
          </w:p>
        </w:tc>
      </w:tr>
    </w:tbl>
    <w:p>
      <w:pPr>
        <w:pStyle w:val="TextBody"/>
        <w:spacing w:before="0" w:after="0"/>
        <w:ind w:left="0" w:right="0" w:hanging="0"/>
        <w:rPr>
          <w:caps w:val="false"/>
          <w:smallCaps w:val="false"/>
        </w:rPr>
      </w:pPr>
      <w:r>
        <w:rPr>
          <w:caps w:val="false"/>
          <w:smallCaps w:val="false"/>
        </w:rPr>
        <w:t> </w:t>
      </w:r>
    </w:p>
    <w:tbl>
      <w:tblPr>
        <w:tblW w:w="7450" w:type="dxa"/>
        <w:jc w:val="left"/>
        <w:tblInd w:w="0" w:type="dxa"/>
        <w:tblCellMar>
          <w:top w:w="0" w:type="dxa"/>
          <w:left w:w="0" w:type="dxa"/>
          <w:bottom w:w="0" w:type="dxa"/>
          <w:right w:w="0" w:type="dxa"/>
        </w:tblCellMar>
      </w:tblPr>
      <w:tblGrid>
        <w:gridCol w:w="60"/>
        <w:gridCol w:w="170"/>
        <w:gridCol w:w="72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costs to defend the related litigation and distraction to our management team;</w:t>
            </w:r>
          </w:p>
        </w:tc>
      </w:tr>
    </w:tbl>
    <w:p>
      <w:pPr>
        <w:pStyle w:val="TextBody"/>
        <w:spacing w:before="0" w:after="0"/>
        <w:ind w:left="0" w:right="0" w:hanging="0"/>
        <w:rPr>
          <w:caps w:val="false"/>
          <w:smallCaps w:val="false"/>
        </w:rPr>
      </w:pPr>
      <w:r>
        <w:rPr>
          <w:caps w:val="false"/>
          <w:smallCaps w:val="false"/>
        </w:rPr>
        <w:t> </w:t>
      </w:r>
    </w:p>
    <w:tbl>
      <w:tblPr>
        <w:tblW w:w="3505" w:type="dxa"/>
        <w:jc w:val="left"/>
        <w:tblInd w:w="0" w:type="dxa"/>
        <w:tblCellMar>
          <w:top w:w="0" w:type="dxa"/>
          <w:left w:w="0" w:type="dxa"/>
          <w:bottom w:w="0" w:type="dxa"/>
          <w:right w:w="0" w:type="dxa"/>
        </w:tblCellMar>
      </w:tblPr>
      <w:tblGrid>
        <w:gridCol w:w="60"/>
        <w:gridCol w:w="170"/>
        <w:gridCol w:w="32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2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 monetary awards to patients;</w:t>
            </w:r>
          </w:p>
        </w:tc>
      </w:tr>
    </w:tbl>
    <w:p>
      <w:pPr>
        <w:pStyle w:val="TextBody"/>
        <w:spacing w:before="0" w:after="0"/>
        <w:ind w:left="0" w:right="0" w:hanging="0"/>
        <w:rPr>
          <w:caps w:val="false"/>
          <w:smallCaps w:val="false"/>
        </w:rPr>
      </w:pPr>
      <w:r>
        <w:rPr>
          <w:caps w:val="false"/>
          <w:smallCaps w:val="false"/>
        </w:rPr>
        <w:t> </w:t>
      </w:r>
    </w:p>
    <w:tbl>
      <w:tblPr>
        <w:tblW w:w="1525" w:type="dxa"/>
        <w:jc w:val="left"/>
        <w:tblInd w:w="0" w:type="dxa"/>
        <w:tblCellMar>
          <w:top w:w="0" w:type="dxa"/>
          <w:left w:w="0" w:type="dxa"/>
          <w:bottom w:w="0" w:type="dxa"/>
          <w:right w:w="0" w:type="dxa"/>
        </w:tblCellMar>
      </w:tblPr>
      <w:tblGrid>
        <w:gridCol w:w="60"/>
        <w:gridCol w:w="170"/>
        <w:gridCol w:w="12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2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revenue;</w:t>
            </w:r>
          </w:p>
        </w:tc>
      </w:tr>
    </w:tbl>
    <w:p>
      <w:pPr>
        <w:pStyle w:val="TextBody"/>
        <w:spacing w:before="0" w:after="0"/>
        <w:ind w:left="0" w:right="0" w:hanging="0"/>
        <w:rPr/>
      </w:pPr>
      <w:r>
        <w:rPr/>
        <w:t> </w:t>
      </w:r>
    </w:p>
    <w:tbl>
      <w:tblPr>
        <w:tblW w:w="4720" w:type="dxa"/>
        <w:jc w:val="left"/>
        <w:tblInd w:w="0" w:type="dxa"/>
        <w:tblCellMar>
          <w:top w:w="0" w:type="dxa"/>
          <w:left w:w="0" w:type="dxa"/>
          <w:bottom w:w="0" w:type="dxa"/>
          <w:right w:w="0" w:type="dxa"/>
        </w:tblCellMar>
      </w:tblPr>
      <w:tblGrid>
        <w:gridCol w:w="60"/>
        <w:gridCol w:w="170"/>
        <w:gridCol w:w="44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investigations or enforcement actions; and</w:t>
            </w:r>
          </w:p>
        </w:tc>
      </w:tr>
    </w:tbl>
    <w:p>
      <w:pPr>
        <w:pStyle w:val="TextBody"/>
        <w:spacing w:before="0" w:after="0"/>
        <w:ind w:left="0" w:right="0" w:hanging="0"/>
        <w:rPr/>
      </w:pPr>
      <w:r>
        <w:rPr/>
        <w:t> </w:t>
      </w:r>
    </w:p>
    <w:tbl>
      <w:tblPr>
        <w:tblW w:w="6085" w:type="dxa"/>
        <w:jc w:val="left"/>
        <w:tblInd w:w="0" w:type="dxa"/>
        <w:tblCellMar>
          <w:top w:w="0" w:type="dxa"/>
          <w:left w:w="0" w:type="dxa"/>
          <w:bottom w:w="0" w:type="dxa"/>
          <w:right w:w="0" w:type="dxa"/>
        </w:tblCellMar>
      </w:tblPr>
      <w:tblGrid>
        <w:gridCol w:w="60"/>
        <w:gridCol w:w="170"/>
        <w:gridCol w:w="58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inability to commercialize any future products that we may develop.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Product Development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very limited preclinical experience using NPS technology in animal models of cardiac disease; our past successes in dermatology may not translate into similar results in cardiology. In particular, the safety and efficacy data we have generated using NPS technology and the CellFX System to treat benign lesions in the skin might not be replicated in other areas of medicine outside of dermatology, including the use of nsPFA technology and the CellFX System to treat atrial fibrillation or other cardiac disease.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long-term growth depends on our ability to develop marketable products to treat AF 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might be unable to successfully commercialize our current products with domestic or international regulatory clearances or approvals or develop or obtain regulatory clearances or approvals to market new products, either with or without a corporate partner in cardiology, for example. Additionally, despite our best efforts and the best efforts of any corporate partners we may secure, these products and any future products might not be accepted by dermatologists, cardiologists,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pStyle w:val="TextBody"/>
        <w:spacing w:before="0" w:after="0"/>
        <w:ind w:left="0" w:right="0" w:hanging="0"/>
        <w:rPr>
          <w:caps w:val="false"/>
          <w:smallCaps w:val="false"/>
        </w:rPr>
      </w:pPr>
      <w:r>
        <w:rPr>
          <w:caps w:val="false"/>
          <w:smallCaps w:val="false"/>
        </w:rPr>
        <w:t> </w:t>
      </w:r>
    </w:p>
    <w:tbl>
      <w:tblPr>
        <w:tblW w:w="5125" w:type="dxa"/>
        <w:jc w:val="left"/>
        <w:tblInd w:w="0" w:type="dxa"/>
        <w:tblCellMar>
          <w:top w:w="0" w:type="dxa"/>
          <w:left w:w="0" w:type="dxa"/>
          <w:bottom w:w="0" w:type="dxa"/>
          <w:right w:w="0" w:type="dxa"/>
        </w:tblCellMar>
      </w:tblPr>
      <w:tblGrid>
        <w:gridCol w:w="60"/>
        <w:gridCol w:w="170"/>
        <w:gridCol w:w="48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properly identify and anticipate clinician and patient needs;</w:t>
            </w:r>
          </w:p>
        </w:tc>
      </w:tr>
    </w:tbl>
    <w:p>
      <w:pPr>
        <w:pStyle w:val="TextBody"/>
        <w:spacing w:before="0" w:after="0"/>
        <w:ind w:left="0" w:right="0" w:hanging="0"/>
        <w:rPr>
          <w:caps w:val="false"/>
          <w:smallCaps w:val="false"/>
        </w:rPr>
      </w:pPr>
      <w:r>
        <w:rPr>
          <w:caps w:val="false"/>
          <w:smallCaps w:val="false"/>
        </w:rPr>
        <w:t> </w:t>
      </w:r>
    </w:p>
    <w:tbl>
      <w:tblPr>
        <w:tblW w:w="6910" w:type="dxa"/>
        <w:jc w:val="left"/>
        <w:tblInd w:w="0" w:type="dxa"/>
        <w:tblCellMar>
          <w:top w:w="0" w:type="dxa"/>
          <w:left w:w="0" w:type="dxa"/>
          <w:bottom w:w="0" w:type="dxa"/>
          <w:right w:w="0" w:type="dxa"/>
        </w:tblCellMar>
      </w:tblPr>
      <w:tblGrid>
        <w:gridCol w:w="60"/>
        <w:gridCol w:w="170"/>
        <w:gridCol w:w="66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 and introduce new products or product enhancements in a timely manner;</w:t>
            </w:r>
          </w:p>
        </w:tc>
      </w:tr>
    </w:tbl>
    <w:p>
      <w:pPr>
        <w:pStyle w:val="TextBody"/>
        <w:spacing w:before="0" w:after="0"/>
        <w:ind w:left="0" w:right="0" w:hanging="0"/>
        <w:rPr>
          <w:caps w:val="false"/>
          <w:smallCaps w:val="false"/>
        </w:rPr>
      </w:pPr>
      <w:r>
        <w:rPr>
          <w:caps w:val="false"/>
          <w:smallCaps w:val="false"/>
        </w:rPr>
        <w:t> </w:t>
      </w:r>
    </w:p>
    <w:tbl>
      <w:tblPr>
        <w:tblW w:w="9790" w:type="dxa"/>
        <w:jc w:val="left"/>
        <w:tblInd w:w="0" w:type="dxa"/>
        <w:tblCellMar>
          <w:top w:w="0" w:type="dxa"/>
          <w:left w:w="0" w:type="dxa"/>
          <w:bottom w:w="0" w:type="dxa"/>
          <w:right w:w="0" w:type="dxa"/>
        </w:tblCellMar>
      </w:tblPr>
      <w:tblGrid>
        <w:gridCol w:w="60"/>
        <w:gridCol w:w="170"/>
        <w:gridCol w:w="95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5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adequately protect our intellectual property and avoid infringing upon the intellectual property rights of third parties;</w:t>
            </w:r>
          </w:p>
        </w:tc>
      </w:tr>
    </w:tbl>
    <w:p>
      <w:pPr>
        <w:pStyle w:val="TextBody"/>
        <w:spacing w:before="0" w:after="0"/>
        <w:ind w:left="0" w:right="0" w:hanging="0"/>
        <w:rPr>
          <w:caps w:val="false"/>
          <w:smallCaps w:val="false"/>
        </w:rPr>
      </w:pPr>
      <w:r>
        <w:rPr>
          <w:caps w:val="false"/>
          <w:smallCaps w:val="false"/>
        </w:rPr>
        <w:t> </w:t>
      </w:r>
    </w:p>
    <w:tbl>
      <w:tblPr>
        <w:tblW w:w="4840" w:type="dxa"/>
        <w:jc w:val="left"/>
        <w:tblInd w:w="0" w:type="dxa"/>
        <w:tblCellMar>
          <w:top w:w="0" w:type="dxa"/>
          <w:left w:w="0" w:type="dxa"/>
          <w:bottom w:w="0" w:type="dxa"/>
          <w:right w:w="0" w:type="dxa"/>
        </w:tblCellMar>
      </w:tblPr>
      <w:tblGrid>
        <w:gridCol w:w="60"/>
        <w:gridCol w:w="170"/>
        <w:gridCol w:w="46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demonstrate the safety and efficacy of new products; and</w:t>
            </w:r>
          </w:p>
        </w:tc>
      </w:tr>
    </w:tbl>
    <w:p>
      <w:pPr>
        <w:pStyle w:val="TextBody"/>
        <w:spacing w:before="0" w:after="0"/>
        <w:ind w:left="0" w:right="0" w:hanging="0"/>
        <w:rPr>
          <w:caps w:val="false"/>
          <w:smallCaps w:val="false"/>
        </w:rPr>
      </w:pPr>
      <w:r>
        <w:rPr>
          <w:caps w:val="false"/>
          <w:smallCaps w:val="false"/>
        </w:rPr>
        <w:t> </w:t>
      </w:r>
    </w:p>
    <w:tbl>
      <w:tblPr>
        <w:tblW w:w="8245" w:type="dxa"/>
        <w:jc w:val="left"/>
        <w:tblInd w:w="0" w:type="dxa"/>
        <w:tblCellMar>
          <w:top w:w="0" w:type="dxa"/>
          <w:left w:w="0" w:type="dxa"/>
          <w:bottom w:w="0" w:type="dxa"/>
          <w:right w:w="0" w:type="dxa"/>
        </w:tblCellMar>
      </w:tblPr>
      <w:tblGrid>
        <w:gridCol w:w="60"/>
        <w:gridCol w:w="170"/>
        <w:gridCol w:w="80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the necessary regulatory clearances or approvals for new products or product enhancements.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 xml:space="preserve">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 or if clearances or approvals for future devices and indications are delayed or not issued, the commercial prospects for our CellFX System and other NPS technologies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spacing w:before="0" w:after="0"/>
        <w:ind w:left="0" w:right="0" w:hanging="0"/>
        <w:rPr>
          <w:caps w:val="false"/>
          <w:smallCaps w:val="false"/>
        </w:rPr>
      </w:pPr>
      <w:r>
        <w:rPr>
          <w:caps w:val="false"/>
          <w:smallCaps w:val="false"/>
        </w:rPr>
        <w:t> </w:t>
      </w:r>
    </w:p>
    <w:tbl>
      <w:tblPr>
        <w:tblW w:w="3985" w:type="dxa"/>
        <w:jc w:val="left"/>
        <w:tblInd w:w="0" w:type="dxa"/>
        <w:tblCellMar>
          <w:top w:w="0" w:type="dxa"/>
          <w:left w:w="0" w:type="dxa"/>
          <w:bottom w:w="0" w:type="dxa"/>
          <w:right w:w="0" w:type="dxa"/>
        </w:tblCellMar>
      </w:tblPr>
      <w:tblGrid>
        <w:gridCol w:w="60"/>
        <w:gridCol w:w="170"/>
        <w:gridCol w:w="37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7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device design, development and manufacture;</w:t>
            </w:r>
          </w:p>
        </w:tc>
      </w:tr>
    </w:tbl>
    <w:p>
      <w:pPr>
        <w:pStyle w:val="TextBody"/>
        <w:spacing w:before="0" w:after="0"/>
        <w:ind w:left="0" w:right="0" w:hanging="0"/>
        <w:rPr>
          <w:caps w:val="false"/>
          <w:smallCaps w:val="false"/>
        </w:rPr>
      </w:pPr>
      <w:r>
        <w:rPr>
          <w:caps w:val="false"/>
          <w:smallCaps w:val="false"/>
        </w:rPr>
        <w:t> </w:t>
      </w:r>
    </w:p>
    <w:tbl>
      <w:tblPr>
        <w:tblW w:w="6445" w:type="dxa"/>
        <w:jc w:val="left"/>
        <w:tblInd w:w="0" w:type="dxa"/>
        <w:tblCellMar>
          <w:top w:w="0" w:type="dxa"/>
          <w:left w:w="0" w:type="dxa"/>
          <w:bottom w:w="0" w:type="dxa"/>
          <w:right w:w="0" w:type="dxa"/>
        </w:tblCellMar>
      </w:tblPr>
      <w:tblGrid>
        <w:gridCol w:w="60"/>
        <w:gridCol w:w="170"/>
        <w:gridCol w:w="6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laboratory, preclinical and clinical testing, labeling, packaging, and storage;</w:t>
            </w:r>
          </w:p>
        </w:tc>
      </w:tr>
    </w:tbl>
    <w:p>
      <w:pPr>
        <w:pStyle w:val="TextBody"/>
        <w:spacing w:before="0" w:after="0"/>
        <w:ind w:left="0" w:right="0" w:hanging="0"/>
        <w:rPr>
          <w:caps w:val="false"/>
          <w:smallCaps w:val="false"/>
        </w:rPr>
      </w:pPr>
      <w:r>
        <w:rPr>
          <w:caps w:val="false"/>
          <w:smallCaps w:val="false"/>
        </w:rPr>
        <w:t> </w:t>
      </w:r>
    </w:p>
    <w:tbl>
      <w:tblPr>
        <w:tblW w:w="3175" w:type="dxa"/>
        <w:jc w:val="left"/>
        <w:tblInd w:w="0" w:type="dxa"/>
        <w:tblCellMar>
          <w:top w:w="0" w:type="dxa"/>
          <w:left w:w="0" w:type="dxa"/>
          <w:bottom w:w="0" w:type="dxa"/>
          <w:right w:w="0" w:type="dxa"/>
        </w:tblCellMar>
      </w:tblPr>
      <w:tblGrid>
        <w:gridCol w:w="60"/>
        <w:gridCol w:w="170"/>
        <w:gridCol w:w="29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9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premarketing clearance or approval;</w:t>
            </w:r>
          </w:p>
        </w:tc>
      </w:tr>
    </w:tbl>
    <w:p>
      <w:pPr>
        <w:pStyle w:val="TextBody"/>
        <w:spacing w:before="0" w:after="0"/>
        <w:ind w:left="0" w:right="0" w:hanging="0"/>
        <w:rPr>
          <w:caps w:val="false"/>
          <w:smallCaps w:val="false"/>
        </w:rPr>
      </w:pPr>
      <w:r>
        <w:rPr>
          <w:caps w:val="false"/>
          <w:smallCaps w:val="false"/>
        </w:rPr>
        <w:t> </w:t>
      </w:r>
    </w:p>
    <w:tbl>
      <w:tblPr>
        <w:tblW w:w="1525" w:type="dxa"/>
        <w:jc w:val="left"/>
        <w:tblInd w:w="0" w:type="dxa"/>
        <w:tblCellMar>
          <w:top w:w="0" w:type="dxa"/>
          <w:left w:w="0" w:type="dxa"/>
          <w:bottom w:w="0" w:type="dxa"/>
          <w:right w:w="0" w:type="dxa"/>
        </w:tblCellMar>
      </w:tblPr>
      <w:tblGrid>
        <w:gridCol w:w="60"/>
        <w:gridCol w:w="170"/>
        <w:gridCol w:w="12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2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 keeping;</w:t>
            </w:r>
          </w:p>
        </w:tc>
      </w:tr>
    </w:tbl>
    <w:p>
      <w:pPr>
        <w:pStyle w:val="TextBody"/>
        <w:spacing w:before="0" w:after="0"/>
        <w:ind w:left="0" w:right="0" w:hanging="0"/>
        <w:rPr>
          <w:caps w:val="false"/>
          <w:smallCaps w:val="false"/>
        </w:rPr>
      </w:pPr>
      <w:r>
        <w:rPr>
          <w:caps w:val="false"/>
          <w:smallCaps w:val="false"/>
        </w:rPr>
        <w:t> </w:t>
      </w:r>
    </w:p>
    <w:tbl>
      <w:tblPr>
        <w:tblW w:w="6145" w:type="dxa"/>
        <w:jc w:val="left"/>
        <w:tblInd w:w="0" w:type="dxa"/>
        <w:tblCellMar>
          <w:top w:w="0" w:type="dxa"/>
          <w:left w:w="0" w:type="dxa"/>
          <w:bottom w:w="0" w:type="dxa"/>
          <w:right w:w="0" w:type="dxa"/>
        </w:tblCellMar>
      </w:tblPr>
      <w:tblGrid>
        <w:gridCol w:w="60"/>
        <w:gridCol w:w="170"/>
        <w:gridCol w:w="59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9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device marketing, promotion and advertising, sales and distribution; and</w:t>
            </w:r>
          </w:p>
        </w:tc>
      </w:tr>
    </w:tbl>
    <w:p>
      <w:pPr>
        <w:pStyle w:val="TextBody"/>
        <w:spacing w:before="0" w:after="0"/>
        <w:ind w:left="0" w:right="0" w:hanging="0"/>
        <w:rPr>
          <w:caps w:val="false"/>
          <w:smallCaps w:val="false"/>
        </w:rPr>
      </w:pPr>
      <w:r>
        <w:rPr>
          <w:caps w:val="false"/>
          <w:smallCaps w:val="false"/>
        </w:rPr>
        <w:t> </w:t>
      </w:r>
    </w:p>
    <w:tbl>
      <w:tblPr>
        <w:tblW w:w="9895" w:type="dxa"/>
        <w:jc w:val="left"/>
        <w:tblInd w:w="0" w:type="dxa"/>
        <w:tblCellMar>
          <w:top w:w="0" w:type="dxa"/>
          <w:left w:w="0" w:type="dxa"/>
          <w:bottom w:w="0" w:type="dxa"/>
          <w:right w:w="0" w:type="dxa"/>
        </w:tblCellMar>
      </w:tblPr>
      <w:tblGrid>
        <w:gridCol w:w="60"/>
        <w:gridCol w:w="170"/>
        <w:gridCol w:w="96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post-marketing surveillance, including reporting of deaths and serious injuries and recalls and correction and removals.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spacing w:before="0" w:after="0"/>
        <w:ind w:left="0" w:right="0" w:hanging="0"/>
        <w:rPr>
          <w:caps w:val="false"/>
          <w:smallCaps w:val="false"/>
        </w:rPr>
      </w:pPr>
      <w:r>
        <w:rPr>
          <w:caps w:val="false"/>
          <w:smallCaps w:val="false"/>
        </w:rPr>
        <w:t> </w:t>
      </w:r>
    </w:p>
    <w:tbl>
      <w:tblPr>
        <w:tblW w:w="7465" w:type="dxa"/>
        <w:jc w:val="left"/>
        <w:tblInd w:w="0" w:type="dxa"/>
        <w:tblCellMar>
          <w:top w:w="0" w:type="dxa"/>
          <w:left w:w="0" w:type="dxa"/>
          <w:bottom w:w="0" w:type="dxa"/>
          <w:right w:w="0" w:type="dxa"/>
        </w:tblCellMar>
      </w:tblPr>
      <w:tblGrid>
        <w:gridCol w:w="60"/>
        <w:gridCol w:w="170"/>
        <w:gridCol w:w="72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publicity, warning letters, fines, injunctions, consent decrees, and civil penalties;</w:t>
            </w:r>
          </w:p>
        </w:tc>
      </w:tr>
    </w:tbl>
    <w:p>
      <w:pPr>
        <w:pStyle w:val="TextBody"/>
        <w:spacing w:before="0" w:after="0"/>
        <w:ind w:left="0" w:right="0" w:hanging="0"/>
        <w:rPr>
          <w:caps w:val="false"/>
          <w:smallCaps w:val="false"/>
        </w:rPr>
      </w:pPr>
      <w:r>
        <w:rPr>
          <w:caps w:val="false"/>
          <w:smallCaps w:val="false"/>
        </w:rPr>
        <w:t> </w:t>
      </w:r>
    </w:p>
    <w:tbl>
      <w:tblPr>
        <w:tblW w:w="8320" w:type="dxa"/>
        <w:jc w:val="left"/>
        <w:tblInd w:w="0" w:type="dxa"/>
        <w:tblCellMar>
          <w:top w:w="0" w:type="dxa"/>
          <w:left w:w="0" w:type="dxa"/>
          <w:bottom w:w="0" w:type="dxa"/>
          <w:right w:w="0" w:type="dxa"/>
        </w:tblCellMar>
      </w:tblPr>
      <w:tblGrid>
        <w:gridCol w:w="60"/>
        <w:gridCol w:w="170"/>
        <w:gridCol w:w="80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obligations to repair, replace, refund, or recall our marketed devices, or government seizure of them;</w:t>
            </w:r>
          </w:p>
        </w:tc>
      </w:tr>
    </w:tbl>
    <w:p>
      <w:pPr>
        <w:pStyle w:val="TextBody"/>
        <w:spacing w:before="0" w:after="0"/>
        <w:ind w:left="0" w:right="0" w:hanging="0"/>
        <w:rPr>
          <w:caps w:val="false"/>
          <w:smallCaps w:val="false"/>
        </w:rPr>
      </w:pPr>
      <w:r>
        <w:rPr>
          <w:caps w:val="false"/>
          <w:smallCaps w:val="false"/>
        </w:rPr>
        <w:t> </w:t>
      </w:r>
    </w:p>
    <w:tbl>
      <w:tblPr>
        <w:tblW w:w="6265" w:type="dxa"/>
        <w:jc w:val="left"/>
        <w:tblInd w:w="0" w:type="dxa"/>
        <w:tblCellMar>
          <w:top w:w="0" w:type="dxa"/>
          <w:left w:w="0" w:type="dxa"/>
          <w:bottom w:w="0" w:type="dxa"/>
          <w:right w:w="0" w:type="dxa"/>
        </w:tblCellMar>
      </w:tblPr>
      <w:tblGrid>
        <w:gridCol w:w="60"/>
        <w:gridCol w:w="170"/>
        <w:gridCol w:w="60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restrictions, partial suspension, or total shutdown of production;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refusing our requests for 510(k) clearance or premarket approval of new devices, new intended uses or modifications to existing devices;</w:t>
            </w:r>
          </w:p>
        </w:tc>
      </w:tr>
    </w:tbl>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0" w:type="dxa"/>
          <w:right w:w="0" w:type="dxa"/>
        </w:tblCellMar>
      </w:tblPr>
      <w:tblGrid>
        <w:gridCol w:w="60"/>
        <w:gridCol w:w="170"/>
        <w:gridCol w:w="7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withdrawing 510(k) clearance or premarket approvals that have already been granted; and</w:t>
            </w:r>
          </w:p>
        </w:tc>
      </w:tr>
    </w:tbl>
    <w:p>
      <w:pPr>
        <w:pStyle w:val="TextBody"/>
        <w:spacing w:before="0" w:after="0"/>
        <w:ind w:left="0" w:right="0" w:hanging="0"/>
        <w:rPr>
          <w:caps w:val="false"/>
          <w:smallCaps w:val="false"/>
        </w:rPr>
      </w:pPr>
      <w:r>
        <w:rPr>
          <w:caps w:val="false"/>
          <w:smallCaps w:val="false"/>
        </w:rPr>
        <w:t> </w:t>
      </w:r>
    </w:p>
    <w:tbl>
      <w:tblPr>
        <w:tblW w:w="1975" w:type="dxa"/>
        <w:jc w:val="left"/>
        <w:tblInd w:w="0" w:type="dxa"/>
        <w:tblCellMar>
          <w:top w:w="0" w:type="dxa"/>
          <w:left w:w="0" w:type="dxa"/>
          <w:bottom w:w="0" w:type="dxa"/>
          <w:right w:w="0" w:type="dxa"/>
        </w:tblCellMar>
      </w:tblPr>
      <w:tblGrid>
        <w:gridCol w:w="60"/>
        <w:gridCol w:w="170"/>
        <w:gridCol w:w="17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7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criminal prosecution.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all of which have examined the use of our CellFX System in dermatologic conditions. Undesirable side effects caused by the CellFX System, NPS pulses, or any of our planned future products could cause us, any partners,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spacing w:before="0" w:after="0"/>
        <w:ind w:left="0" w:right="0" w:hanging="0"/>
        <w:rPr>
          <w:caps w:val="false"/>
          <w:smallCaps w:val="false"/>
        </w:rPr>
      </w:pPr>
      <w:r>
        <w:rPr>
          <w:caps w:val="false"/>
          <w:smallCaps w:val="false"/>
        </w:rPr>
        <w:t> </w:t>
      </w:r>
    </w:p>
    <w:tbl>
      <w:tblPr>
        <w:tblW w:w="7045" w:type="dxa"/>
        <w:jc w:val="left"/>
        <w:tblInd w:w="0" w:type="dxa"/>
        <w:tblCellMar>
          <w:top w:w="0" w:type="dxa"/>
          <w:left w:w="0" w:type="dxa"/>
          <w:bottom w:w="0" w:type="dxa"/>
          <w:right w:w="0" w:type="dxa"/>
        </w:tblCellMar>
      </w:tblPr>
      <w:tblGrid>
        <w:gridCol w:w="60"/>
        <w:gridCol w:w="170"/>
        <w:gridCol w:w="68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forced to recall such product and suspend the marketing of such product;</w:t>
            </w:r>
          </w:p>
        </w:tc>
      </w:tr>
    </w:tbl>
    <w:p>
      <w:pPr>
        <w:pStyle w:val="TextBody"/>
        <w:spacing w:before="0" w:after="0"/>
        <w:ind w:left="0" w:right="0" w:hanging="0"/>
        <w:rPr>
          <w:caps w:val="false"/>
          <w:smallCaps w:val="false"/>
        </w:rPr>
      </w:pPr>
      <w:r>
        <w:rPr>
          <w:caps w:val="false"/>
          <w:smallCaps w:val="false"/>
        </w:rPr>
        <w:t> </w:t>
      </w:r>
    </w:p>
    <w:tbl>
      <w:tblPr>
        <w:tblW w:w="5815" w:type="dxa"/>
        <w:jc w:val="left"/>
        <w:tblInd w:w="0" w:type="dxa"/>
        <w:tblCellMar>
          <w:top w:w="0" w:type="dxa"/>
          <w:left w:w="0" w:type="dxa"/>
          <w:bottom w:w="0" w:type="dxa"/>
          <w:right w:w="0" w:type="dxa"/>
        </w:tblCellMar>
      </w:tblPr>
      <w:tblGrid>
        <w:gridCol w:w="60"/>
        <w:gridCol w:w="170"/>
        <w:gridCol w:w="55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5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withdraw their approvals of such product;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require additional warnings on the label and/or narrow the indication of use for the product which could diminish the usage or otherwise limit the commercial success of such product;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other regulatory authorities may issue safety alerts, “Dear Healthcare Provider” letters, press releases, or other communications containing warnings about such product;</w:t>
            </w:r>
          </w:p>
        </w:tc>
      </w:tr>
    </w:tbl>
    <w:p>
      <w:pPr>
        <w:pStyle w:val="TextBody"/>
        <w:spacing w:before="0" w:after="0"/>
        <w:ind w:left="0" w:right="0" w:hanging="0"/>
        <w:rPr>
          <w:caps w:val="false"/>
          <w:smallCaps w:val="false"/>
        </w:rPr>
      </w:pPr>
      <w:r>
        <w:rPr>
          <w:caps w:val="false"/>
          <w:smallCaps w:val="false"/>
        </w:rPr>
        <w:t> </w:t>
      </w:r>
    </w:p>
    <w:tbl>
      <w:tblPr>
        <w:tblW w:w="9100" w:type="dxa"/>
        <w:jc w:val="left"/>
        <w:tblInd w:w="0" w:type="dxa"/>
        <w:tblCellMar>
          <w:top w:w="0" w:type="dxa"/>
          <w:left w:w="0" w:type="dxa"/>
          <w:bottom w:w="0" w:type="dxa"/>
          <w:right w:w="0" w:type="dxa"/>
        </w:tblCellMar>
      </w:tblPr>
      <w:tblGrid>
        <w:gridCol w:w="60"/>
        <w:gridCol w:w="170"/>
        <w:gridCol w:w="88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8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restrict distribution of our product and impose burdensome implementation requirements on us;</w:t>
            </w:r>
          </w:p>
        </w:tc>
      </w:tr>
    </w:tbl>
    <w:p>
      <w:pPr>
        <w:pStyle w:val="TextBody"/>
        <w:spacing w:before="0" w:after="0"/>
        <w:ind w:left="0" w:right="0" w:hanging="0"/>
        <w:rPr>
          <w:caps w:val="false"/>
          <w:smallCaps w:val="false"/>
        </w:rPr>
      </w:pPr>
      <w:r>
        <w:rPr>
          <w:caps w:val="false"/>
          <w:smallCaps w:val="false"/>
        </w:rPr>
        <w:t> </w:t>
      </w:r>
    </w:p>
    <w:tbl>
      <w:tblPr>
        <w:tblW w:w="8560" w:type="dxa"/>
        <w:jc w:val="left"/>
        <w:tblInd w:w="0" w:type="dxa"/>
        <w:tblCellMar>
          <w:top w:w="0" w:type="dxa"/>
          <w:left w:w="0" w:type="dxa"/>
          <w:bottom w:w="0" w:type="dxa"/>
          <w:right w:w="0" w:type="dxa"/>
        </w:tblCellMar>
      </w:tblPr>
      <w:tblGrid>
        <w:gridCol w:w="60"/>
        <w:gridCol w:w="170"/>
        <w:gridCol w:w="83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33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required to change the way the product is administered or conduct additional clinical trials;</w:t>
            </w:r>
          </w:p>
        </w:tc>
      </w:tr>
    </w:tbl>
    <w:p>
      <w:pPr>
        <w:pStyle w:val="TextBody"/>
        <w:spacing w:before="0" w:after="0"/>
        <w:ind w:left="0" w:right="0" w:hanging="0"/>
        <w:rPr>
          <w:caps w:val="false"/>
          <w:smallCaps w:val="false"/>
        </w:rPr>
      </w:pPr>
      <w:r>
        <w:rPr>
          <w:caps w:val="false"/>
          <w:smallCaps w:val="false"/>
        </w:rPr>
        <w:t> </w:t>
      </w:r>
    </w:p>
    <w:tbl>
      <w:tblPr>
        <w:tblW w:w="6445" w:type="dxa"/>
        <w:jc w:val="left"/>
        <w:tblInd w:w="0" w:type="dxa"/>
        <w:tblCellMar>
          <w:top w:w="0" w:type="dxa"/>
          <w:left w:w="0" w:type="dxa"/>
          <w:bottom w:w="0" w:type="dxa"/>
          <w:right w:w="0" w:type="dxa"/>
        </w:tblCellMar>
      </w:tblPr>
      <w:tblGrid>
        <w:gridCol w:w="60"/>
        <w:gridCol w:w="170"/>
        <w:gridCol w:w="6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be sued and held liable for harm caused to subjects or patients; and</w:t>
            </w:r>
          </w:p>
        </w:tc>
      </w:tr>
    </w:tbl>
    <w:p>
      <w:pPr>
        <w:pStyle w:val="TextBody"/>
        <w:spacing w:before="0" w:after="0"/>
        <w:ind w:left="0" w:right="0" w:hanging="0"/>
        <w:rPr>
          <w:caps w:val="false"/>
          <w:smallCaps w:val="false"/>
        </w:rPr>
      </w:pPr>
      <w:r>
        <w:rPr>
          <w:caps w:val="false"/>
          <w:smallCaps w:val="false"/>
        </w:rPr>
        <w:t> </w:t>
      </w:r>
    </w:p>
    <w:tbl>
      <w:tblPr>
        <w:tblW w:w="2455" w:type="dxa"/>
        <w:jc w:val="left"/>
        <w:tblInd w:w="0" w:type="dxa"/>
        <w:tblCellMar>
          <w:top w:w="0" w:type="dxa"/>
          <w:left w:w="0" w:type="dxa"/>
          <w:bottom w:w="0" w:type="dxa"/>
          <w:right w:w="0" w:type="dxa"/>
        </w:tblCellMar>
      </w:tblPr>
      <w:tblGrid>
        <w:gridCol w:w="60"/>
        <w:gridCol w:w="170"/>
        <w:gridCol w:w="22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2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reputation could suffer.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Intellectual Property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spacing w:before="0" w:after="0"/>
        <w:ind w:left="160" w:right="0" w:firstLine="50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be able to make products that are similar to our product candidates but that are not covered by the claims of the patents that we own or have exclusively licensed;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others may independently develop similar or alternative technologies without infringing on our intellectual property rights;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issued patents that we own or have exclusively licensed may not provide us with any competitive advantages, or may be held invalid or unenforceable, as a result of legal challenges by our competitors;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spacing w:before="0" w:after="0"/>
        <w:ind w:left="0" w:right="0" w:hanging="0"/>
        <w:rPr>
          <w:caps w:val="false"/>
          <w:smallCaps w:val="false"/>
        </w:rPr>
      </w:pPr>
      <w:r>
        <w:rPr>
          <w:caps w:val="false"/>
          <w:smallCaps w:val="false"/>
        </w:rPr>
        <w:t> </w:t>
      </w:r>
    </w:p>
    <w:tbl>
      <w:tblPr>
        <w:tblW w:w="6625" w:type="dxa"/>
        <w:jc w:val="left"/>
        <w:tblInd w:w="0" w:type="dxa"/>
        <w:tblCellMar>
          <w:top w:w="0" w:type="dxa"/>
          <w:left w:w="0" w:type="dxa"/>
          <w:bottom w:w="0" w:type="dxa"/>
          <w:right w:w="0" w:type="dxa"/>
        </w:tblCellMar>
      </w:tblPr>
      <w:tblGrid>
        <w:gridCol w:w="60"/>
        <w:gridCol w:w="170"/>
        <w:gridCol w:w="63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fail to develop additional proprietary technologies that are patentable;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patents of others may have an adverse effect on our business, for example by preventing us from marketing one or more of our product candidates for one or more indications.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intellectual property used in our products, others may be able to copy our innovations which may impair our ability to compete effectively in our markets.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spacing w:before="0" w:after="0"/>
        <w:ind w:left="0" w:right="0" w:hanging="0"/>
        <w:rPr>
          <w:caps w:val="false"/>
          <w:smallCaps w:val="false"/>
        </w:rPr>
      </w:pPr>
      <w:r>
        <w:rPr>
          <w:caps w:val="false"/>
          <w:smallCaps w:val="false"/>
        </w:rPr>
        <w:t> </w:t>
      </w:r>
    </w:p>
    <w:tbl>
      <w:tblPr>
        <w:tblW w:w="4150" w:type="dxa"/>
        <w:jc w:val="left"/>
        <w:tblInd w:w="0" w:type="dxa"/>
        <w:tblCellMar>
          <w:top w:w="0" w:type="dxa"/>
          <w:left w:w="0" w:type="dxa"/>
          <w:bottom w:w="0" w:type="dxa"/>
          <w:right w:w="0" w:type="dxa"/>
        </w:tblCellMar>
      </w:tblPr>
      <w:tblGrid>
        <w:gridCol w:w="60"/>
        <w:gridCol w:w="170"/>
        <w:gridCol w:w="39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9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take a significant indeterminate amount of time;</w:t>
            </w:r>
          </w:p>
        </w:tc>
      </w:tr>
    </w:tbl>
    <w:p>
      <w:pPr>
        <w:pStyle w:val="TextBody"/>
        <w:spacing w:before="0" w:after="0"/>
        <w:ind w:left="0" w:right="0" w:hanging="0"/>
        <w:rPr>
          <w:caps w:val="false"/>
          <w:smallCaps w:val="false"/>
        </w:rPr>
      </w:pPr>
      <w:r>
        <w:rPr>
          <w:caps w:val="false"/>
          <w:smallCaps w:val="false"/>
        </w:rPr>
        <w:t> </w:t>
      </w:r>
    </w:p>
    <w:tbl>
      <w:tblPr>
        <w:tblW w:w="4135" w:type="dxa"/>
        <w:jc w:val="left"/>
        <w:tblInd w:w="0" w:type="dxa"/>
        <w:tblCellMar>
          <w:top w:w="0" w:type="dxa"/>
          <w:left w:w="0" w:type="dxa"/>
          <w:bottom w:w="0" w:type="dxa"/>
          <w:right w:w="0" w:type="dxa"/>
        </w:tblCellMar>
      </w:tblPr>
      <w:tblGrid>
        <w:gridCol w:w="60"/>
        <w:gridCol w:w="170"/>
        <w:gridCol w:w="39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9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the expenditure of substantial resources;</w:t>
            </w:r>
          </w:p>
        </w:tc>
      </w:tr>
    </w:tbl>
    <w:p>
      <w:pPr>
        <w:pStyle w:val="TextBody"/>
        <w:spacing w:before="0" w:after="0"/>
        <w:ind w:left="0" w:right="0" w:hanging="0"/>
        <w:rPr>
          <w:caps w:val="false"/>
          <w:smallCaps w:val="false"/>
        </w:rPr>
      </w:pPr>
      <w:r>
        <w:rPr>
          <w:caps w:val="false"/>
          <w:smallCaps w:val="false"/>
        </w:rPr>
        <w:t> </w:t>
      </w:r>
    </w:p>
    <w:tbl>
      <w:tblPr>
        <w:tblW w:w="7345" w:type="dxa"/>
        <w:jc w:val="left"/>
        <w:tblInd w:w="0" w:type="dxa"/>
        <w:tblCellMar>
          <w:top w:w="0" w:type="dxa"/>
          <w:left w:w="0" w:type="dxa"/>
          <w:bottom w:w="0" w:type="dxa"/>
          <w:right w:w="0" w:type="dxa"/>
        </w:tblCellMar>
      </w:tblPr>
      <w:tblGrid>
        <w:gridCol w:w="60"/>
        <w:gridCol w:w="170"/>
        <w:gridCol w:w="71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involve rigorous preclinical and clinical testing, and possibly post-market surveillance;</w:t>
            </w:r>
          </w:p>
        </w:tc>
      </w:tr>
    </w:tbl>
    <w:p>
      <w:pPr>
        <w:pStyle w:val="TextBody"/>
        <w:spacing w:before="0" w:after="0"/>
        <w:ind w:left="0" w:right="0" w:hanging="0"/>
        <w:rPr>
          <w:caps w:val="false"/>
          <w:smallCaps w:val="false"/>
        </w:rPr>
      </w:pPr>
      <w:r>
        <w:rPr>
          <w:caps w:val="false"/>
          <w:smallCaps w:val="false"/>
        </w:rPr>
        <w:t> </w:t>
      </w:r>
    </w:p>
    <w:tbl>
      <w:tblPr>
        <w:tblW w:w="5335" w:type="dxa"/>
        <w:jc w:val="left"/>
        <w:tblInd w:w="0" w:type="dxa"/>
        <w:tblCellMar>
          <w:top w:w="0" w:type="dxa"/>
          <w:left w:w="0" w:type="dxa"/>
          <w:bottom w:w="0" w:type="dxa"/>
          <w:right w:w="0" w:type="dxa"/>
        </w:tblCellMar>
      </w:tblPr>
      <w:tblGrid>
        <w:gridCol w:w="60"/>
        <w:gridCol w:w="170"/>
        <w:gridCol w:w="51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1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involve modifications, repairs or replacements of our products;</w:t>
            </w:r>
          </w:p>
        </w:tc>
      </w:tr>
    </w:tbl>
    <w:p>
      <w:pPr>
        <w:pStyle w:val="TextBody"/>
        <w:spacing w:before="0" w:after="0"/>
        <w:ind w:left="0" w:right="0" w:hanging="0"/>
        <w:rPr>
          <w:caps w:val="false"/>
          <w:smallCaps w:val="false"/>
        </w:rPr>
      </w:pPr>
      <w:r>
        <w:rPr>
          <w:caps w:val="false"/>
          <w:smallCaps w:val="false"/>
        </w:rPr>
        <w:t> </w:t>
      </w:r>
    </w:p>
    <w:tbl>
      <w:tblPr>
        <w:tblW w:w="3445" w:type="dxa"/>
        <w:jc w:val="left"/>
        <w:tblInd w:w="0" w:type="dxa"/>
        <w:tblCellMar>
          <w:top w:w="0" w:type="dxa"/>
          <w:left w:w="0" w:type="dxa"/>
          <w:bottom w:w="0" w:type="dxa"/>
          <w:right w:w="0" w:type="dxa"/>
        </w:tblCellMar>
      </w:tblPr>
      <w:tblGrid>
        <w:gridCol w:w="60"/>
        <w:gridCol w:w="170"/>
        <w:gridCol w:w="3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2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design changes of our products;</w:t>
            </w:r>
          </w:p>
        </w:tc>
      </w:tr>
    </w:tbl>
    <w:p>
      <w:pPr>
        <w:pStyle w:val="TextBody"/>
        <w:spacing w:before="0" w:after="0"/>
        <w:ind w:left="0" w:right="0" w:hanging="0"/>
        <w:rPr>
          <w:caps w:val="false"/>
          <w:smallCaps w:val="false"/>
        </w:rPr>
      </w:pPr>
      <w:r>
        <w:rPr>
          <w:caps w:val="false"/>
          <w:smallCaps w:val="false"/>
        </w:rPr>
        <w:t> </w:t>
      </w:r>
    </w:p>
    <w:tbl>
      <w:tblPr>
        <w:tblW w:w="5275" w:type="dxa"/>
        <w:jc w:val="left"/>
        <w:tblInd w:w="0" w:type="dxa"/>
        <w:tblCellMar>
          <w:top w:w="0" w:type="dxa"/>
          <w:left w:w="0" w:type="dxa"/>
          <w:bottom w:w="0" w:type="dxa"/>
          <w:right w:w="0" w:type="dxa"/>
        </w:tblCellMar>
      </w:tblPr>
      <w:tblGrid>
        <w:gridCol w:w="60"/>
        <w:gridCol w:w="170"/>
        <w:gridCol w:w="50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0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 in limitations on the indicated uses of our products; and</w:t>
            </w:r>
          </w:p>
        </w:tc>
      </w:tr>
    </w:tbl>
    <w:p>
      <w:pPr>
        <w:pStyle w:val="TextBody"/>
        <w:spacing w:before="0" w:after="0"/>
        <w:ind w:left="0" w:right="0" w:hanging="0"/>
        <w:rPr>
          <w:caps w:val="false"/>
          <w:smallCaps w:val="false"/>
        </w:rPr>
      </w:pPr>
      <w:r>
        <w:rPr>
          <w:caps w:val="false"/>
          <w:smallCaps w:val="false"/>
        </w:rPr>
        <w:t> </w:t>
      </w:r>
    </w:p>
    <w:tbl>
      <w:tblPr>
        <w:tblW w:w="6580" w:type="dxa"/>
        <w:jc w:val="left"/>
        <w:tblInd w:w="0" w:type="dxa"/>
        <w:tblCellMar>
          <w:top w:w="0" w:type="dxa"/>
          <w:left w:w="0" w:type="dxa"/>
          <w:bottom w:w="0" w:type="dxa"/>
          <w:right w:w="0" w:type="dxa"/>
        </w:tblCellMar>
      </w:tblPr>
      <w:tblGrid>
        <w:gridCol w:w="60"/>
        <w:gridCol w:w="170"/>
        <w:gridCol w:w="63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 in our never being granted the regulatory approval or clearance we seek.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Also, any material change to any of the laws or regulations applicable to our business could harm our business, financial condition and results of operations</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spacing w:before="0" w:after="0"/>
        <w:ind w:left="0" w:right="0" w:hanging="0"/>
        <w:rPr>
          <w:caps w:val="false"/>
          <w:smallCaps w:val="false"/>
        </w:rPr>
      </w:pPr>
      <w:r>
        <w:rPr>
          <w:caps w:val="false"/>
          <w:smallCaps w:val="false"/>
        </w:rPr>
        <w:t> </w:t>
      </w:r>
    </w:p>
    <w:tbl>
      <w:tblPr>
        <w:tblW w:w="8845" w:type="dxa"/>
        <w:jc w:val="left"/>
        <w:tblInd w:w="0" w:type="dxa"/>
        <w:tblCellMar>
          <w:top w:w="0" w:type="dxa"/>
          <w:left w:w="0" w:type="dxa"/>
          <w:bottom w:w="0" w:type="dxa"/>
          <w:right w:w="0" w:type="dxa"/>
        </w:tblCellMar>
      </w:tblPr>
      <w:tblGrid>
        <w:gridCol w:w="60"/>
        <w:gridCol w:w="170"/>
        <w:gridCol w:w="86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not deem a technology or device to be reasonably safe or effective for any intended use or indication;</w:t>
            </w:r>
          </w:p>
        </w:tc>
      </w:tr>
    </w:tbl>
    <w:p>
      <w:pPr>
        <w:pStyle w:val="TextBody"/>
        <w:spacing w:before="0" w:after="0"/>
        <w:ind w:left="0" w:right="0" w:hanging="0"/>
        <w:rPr>
          <w:caps w:val="false"/>
          <w:smallCaps w:val="false"/>
        </w:rPr>
      </w:pPr>
      <w:r>
        <w:rPr>
          <w:caps w:val="false"/>
          <w:smallCaps w:val="false"/>
        </w:rPr>
        <w:t> </w:t>
      </w:r>
    </w:p>
    <w:tbl>
      <w:tblPr>
        <w:tblW w:w="6550" w:type="dxa"/>
        <w:jc w:val="left"/>
        <w:tblInd w:w="0" w:type="dxa"/>
        <w:tblCellMar>
          <w:top w:w="0" w:type="dxa"/>
          <w:left w:w="0" w:type="dxa"/>
          <w:bottom w:w="0" w:type="dxa"/>
          <w:right w:w="0" w:type="dxa"/>
        </w:tblCellMar>
      </w:tblPr>
      <w:tblGrid>
        <w:gridCol w:w="60"/>
        <w:gridCol w:w="170"/>
        <w:gridCol w:w="63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interpret data from preclinical and clinical testing differently than we do;</w:t>
            </w:r>
          </w:p>
        </w:tc>
      </w:tr>
    </w:tbl>
    <w:p>
      <w:pPr>
        <w:pStyle w:val="TextBody"/>
        <w:spacing w:before="0" w:after="0"/>
        <w:ind w:left="0" w:right="0" w:hanging="0"/>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60"/>
        <w:gridCol w:w="170"/>
        <w:gridCol w:w="83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3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determine our manufacturing facility or processes do not comply with quality system regulations;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conclude that our products do not meet quality standards for durability, long-term reliability, biocompatibility, electromagnetic compatibility, or electrical safety; or</w:t>
            </w:r>
          </w:p>
        </w:tc>
      </w:tr>
    </w:tbl>
    <w:p>
      <w:pPr>
        <w:pStyle w:val="TextBody"/>
        <w:spacing w:before="0" w:after="0"/>
        <w:ind w:left="0" w:right="0" w:hanging="0"/>
        <w:rPr>
          <w:caps w:val="false"/>
          <w:smallCaps w:val="false"/>
        </w:rPr>
      </w:pPr>
      <w:r>
        <w:rPr>
          <w:caps w:val="false"/>
          <w:smallCaps w:val="false"/>
        </w:rPr>
        <w:t> </w:t>
      </w:r>
    </w:p>
    <w:tbl>
      <w:tblPr>
        <w:tblW w:w="8845" w:type="dxa"/>
        <w:jc w:val="left"/>
        <w:tblInd w:w="0" w:type="dxa"/>
        <w:tblCellMar>
          <w:top w:w="0" w:type="dxa"/>
          <w:left w:w="0" w:type="dxa"/>
          <w:bottom w:w="0" w:type="dxa"/>
          <w:right w:w="0" w:type="dxa"/>
        </w:tblCellMar>
      </w:tblPr>
      <w:tblGrid>
        <w:gridCol w:w="60"/>
        <w:gridCol w:w="170"/>
        <w:gridCol w:w="86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61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change their approval or clearance policies or adopt new regulations in a manner that is adverse to us.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Healthcare policy changes, including recent federal legislation to reform the U.S. healthcare system, may have a material adverse effect on us.</w:t>
      </w:r>
      <w:r>
        <w:rPr>
          <w:rFonts w:ascii="Times New Roman" w:hAnsi="Times New Roman"/>
          <w:caps w:val="false"/>
          <w:smallCaps w:val="false"/>
          <w:sz w:val="2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spacing w:before="0" w:after="0"/>
        <w:ind w:left="0" w:right="0" w:hanging="0"/>
        <w:rPr>
          <w:caps w:val="false"/>
          <w:smallCaps w:val="false"/>
        </w:rPr>
      </w:pPr>
      <w:r>
        <w:rPr>
          <w:caps w:val="false"/>
          <w:smallCaps w:val="false"/>
        </w:rPr>
        <w:t> </w:t>
      </w:r>
    </w:p>
    <w:tbl>
      <w:tblPr>
        <w:tblW w:w="6355" w:type="dxa"/>
        <w:jc w:val="left"/>
        <w:tblInd w:w="0" w:type="dxa"/>
        <w:tblCellMar>
          <w:top w:w="0" w:type="dxa"/>
          <w:left w:w="0" w:type="dxa"/>
          <w:bottom w:w="0" w:type="dxa"/>
          <w:right w:w="0" w:type="dxa"/>
        </w:tblCellMar>
      </w:tblPr>
      <w:tblGrid>
        <w:gridCol w:w="60"/>
        <w:gridCol w:w="170"/>
        <w:gridCol w:w="61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12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of clinical trials of our planned products or those of our competitors;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actions by regulatory bodies, such as the FDA, that affect our business or have the effect of delaying or rejecting approval or clearance of our planned products;</w:t>
            </w:r>
          </w:p>
        </w:tc>
      </w:tr>
    </w:tbl>
    <w:p>
      <w:pPr>
        <w:pStyle w:val="TextBody"/>
        <w:spacing w:before="0" w:after="0"/>
        <w:ind w:left="0" w:right="0" w:hanging="0"/>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60"/>
        <w:gridCol w:w="170"/>
        <w:gridCol w:w="66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anticipated fluctuations in our financial condition and operating results;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by our customers, partners or suppliers relating directly or indirectly to our products, services or technologies;</w:t>
            </w:r>
          </w:p>
        </w:tc>
      </w:tr>
    </w:tbl>
    <w:p>
      <w:pPr>
        <w:pStyle w:val="TextBody"/>
        <w:spacing w:before="0" w:after="0"/>
        <w:ind w:left="0" w:right="0" w:hanging="0"/>
        <w:rPr>
          <w:caps w:val="false"/>
          <w:smallCaps w:val="false"/>
        </w:rPr>
      </w:pPr>
      <w:r>
        <w:rPr>
          <w:caps w:val="false"/>
          <w:smallCaps w:val="false"/>
        </w:rPr>
        <w:t> </w:t>
      </w:r>
    </w:p>
    <w:tbl>
      <w:tblPr>
        <w:tblW w:w="5995" w:type="dxa"/>
        <w:jc w:val="left"/>
        <w:tblInd w:w="0" w:type="dxa"/>
        <w:tblCellMar>
          <w:top w:w="0" w:type="dxa"/>
          <w:left w:w="0" w:type="dxa"/>
          <w:bottom w:w="0" w:type="dxa"/>
          <w:right w:w="0" w:type="dxa"/>
        </w:tblCellMar>
      </w:tblPr>
      <w:tblGrid>
        <w:gridCol w:w="60"/>
        <w:gridCol w:w="170"/>
        <w:gridCol w:w="57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7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of technological innovations by us or our competitors;</w:t>
            </w:r>
          </w:p>
        </w:tc>
      </w:tr>
    </w:tbl>
    <w:p>
      <w:pPr>
        <w:pStyle w:val="TextBody"/>
        <w:spacing w:before="0" w:after="0"/>
        <w:ind w:left="0" w:right="0" w:hanging="0"/>
        <w:rPr>
          <w:caps w:val="false"/>
          <w:smallCaps w:val="false"/>
        </w:rPr>
      </w:pPr>
      <w:r>
        <w:rPr>
          <w:caps w:val="false"/>
          <w:smallCaps w:val="false"/>
        </w:rPr>
        <w:t> </w:t>
      </w:r>
    </w:p>
    <w:tbl>
      <w:tblPr>
        <w:tblW w:w="7615" w:type="dxa"/>
        <w:jc w:val="left"/>
        <w:tblInd w:w="0" w:type="dxa"/>
        <w:tblCellMar>
          <w:top w:w="0" w:type="dxa"/>
          <w:left w:w="0" w:type="dxa"/>
          <w:bottom w:w="0" w:type="dxa"/>
          <w:right w:w="0" w:type="dxa"/>
        </w:tblCellMar>
      </w:tblPr>
      <w:tblGrid>
        <w:gridCol w:w="60"/>
        <w:gridCol w:w="170"/>
        <w:gridCol w:w="73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3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laws or regulations applicable to the CellFX System or to our planned products;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by us or our competitors of significant acquisitions, strategic partnerships, joint ventures, capital commitments, or achievement of significant milestones;</w:t>
            </w:r>
          </w:p>
        </w:tc>
      </w:tr>
    </w:tbl>
    <w:p>
      <w:pPr>
        <w:pStyle w:val="TextBody"/>
        <w:spacing w:before="0" w:after="0"/>
        <w:ind w:left="0" w:right="0" w:hanging="0"/>
        <w:rPr>
          <w:caps w:val="false"/>
          <w:smallCaps w:val="false"/>
        </w:rPr>
      </w:pPr>
      <w:r>
        <w:rPr>
          <w:caps w:val="false"/>
          <w:smallCaps w:val="false"/>
        </w:rPr>
        <w:t> </w:t>
      </w:r>
    </w:p>
    <w:tbl>
      <w:tblPr>
        <w:tblW w:w="3565" w:type="dxa"/>
        <w:jc w:val="left"/>
        <w:tblInd w:w="0" w:type="dxa"/>
        <w:tblCellMar>
          <w:top w:w="0" w:type="dxa"/>
          <w:left w:w="0" w:type="dxa"/>
          <w:bottom w:w="0" w:type="dxa"/>
          <w:right w:w="0" w:type="dxa"/>
        </w:tblCellMar>
      </w:tblPr>
      <w:tblGrid>
        <w:gridCol w:w="60"/>
        <w:gridCol w:w="170"/>
        <w:gridCol w:w="33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3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additions or departures of key personnel;</w:t>
            </w:r>
          </w:p>
        </w:tc>
      </w:tr>
    </w:tbl>
    <w:p>
      <w:pPr>
        <w:pStyle w:val="TextBody"/>
        <w:spacing w:before="0" w:after="0"/>
        <w:ind w:left="0" w:right="0" w:hanging="0"/>
        <w:rPr>
          <w:caps w:val="false"/>
          <w:smallCaps w:val="false"/>
        </w:rPr>
      </w:pPr>
      <w:r>
        <w:rPr>
          <w:caps w:val="false"/>
          <w:smallCaps w:val="false"/>
        </w:rPr>
        <w:t> </w:t>
      </w:r>
    </w:p>
    <w:tbl>
      <w:tblPr>
        <w:tblW w:w="5890" w:type="dxa"/>
        <w:jc w:val="left"/>
        <w:tblInd w:w="0" w:type="dxa"/>
        <w:tblCellMar>
          <w:top w:w="0" w:type="dxa"/>
          <w:left w:w="0" w:type="dxa"/>
          <w:bottom w:w="0" w:type="dxa"/>
          <w:right w:w="0" w:type="dxa"/>
        </w:tblCellMar>
      </w:tblPr>
      <w:tblGrid>
        <w:gridCol w:w="60"/>
        <w:gridCol w:w="170"/>
        <w:gridCol w:w="56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from existing products or new products that may emerge;</w:t>
            </w:r>
          </w:p>
        </w:tc>
      </w:tr>
    </w:tbl>
    <w:p>
      <w:pPr>
        <w:pStyle w:val="TextBody"/>
        <w:spacing w:before="0" w:after="0"/>
        <w:ind w:left="0" w:right="0" w:hanging="0"/>
        <w:rPr>
          <w:caps w:val="false"/>
          <w:smallCaps w:val="false"/>
        </w:rPr>
      </w:pPr>
      <w:r>
        <w:rPr>
          <w:caps w:val="false"/>
          <w:smallCaps w:val="false"/>
        </w:rPr>
        <w:t> </w:t>
      </w:r>
    </w:p>
    <w:tbl>
      <w:tblPr>
        <w:tblW w:w="7495" w:type="dxa"/>
        <w:jc w:val="left"/>
        <w:tblInd w:w="0" w:type="dxa"/>
        <w:tblCellMar>
          <w:top w:w="0" w:type="dxa"/>
          <w:left w:w="0" w:type="dxa"/>
          <w:bottom w:w="0" w:type="dxa"/>
          <w:right w:w="0" w:type="dxa"/>
        </w:tblCellMar>
      </w:tblPr>
      <w:tblGrid>
        <w:gridCol w:w="60"/>
        <w:gridCol w:w="170"/>
        <w:gridCol w:w="72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the valuation of companies perceived by investors to be comparable to us;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disputes or other developments related to proprietary rights, including patents, litigation matters or our ability to obtain intellectual property protection for our technologies;</w:t>
            </w:r>
          </w:p>
        </w:tc>
      </w:tr>
    </w:tbl>
    <w:p>
      <w:pPr>
        <w:pStyle w:val="TextBody"/>
        <w:spacing w:before="0" w:after="0"/>
        <w:ind w:left="0" w:right="0" w:hanging="0"/>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60"/>
        <w:gridCol w:w="170"/>
        <w:gridCol w:w="28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8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alleged security breaches;</w:t>
            </w:r>
          </w:p>
        </w:tc>
      </w:tr>
    </w:tbl>
    <w:p>
      <w:pPr>
        <w:pStyle w:val="TextBody"/>
        <w:spacing w:before="0" w:after="0"/>
        <w:ind w:left="0" w:right="0" w:hanging="0"/>
        <w:rPr/>
      </w:pPr>
      <w:r>
        <w:rPr/>
        <w:t> </w:t>
      </w:r>
    </w:p>
    <w:tbl>
      <w:tblPr>
        <w:tblW w:w="5350" w:type="dxa"/>
        <w:jc w:val="left"/>
        <w:tblInd w:w="0" w:type="dxa"/>
        <w:tblCellMar>
          <w:top w:w="0" w:type="dxa"/>
          <w:left w:w="0" w:type="dxa"/>
          <w:bottom w:w="0" w:type="dxa"/>
          <w:right w:w="0" w:type="dxa"/>
        </w:tblCellMar>
      </w:tblPr>
      <w:tblGrid>
        <w:gridCol w:w="60"/>
        <w:gridCol w:w="170"/>
        <w:gridCol w:w="51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1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or expectations of additional financing efforts;</w:t>
            </w:r>
          </w:p>
        </w:tc>
      </w:tr>
    </w:tbl>
    <w:p>
      <w:pPr>
        <w:pStyle w:val="TextBody"/>
        <w:spacing w:before="0" w:after="0"/>
        <w:ind w:left="0" w:right="0" w:hanging="0"/>
        <w:rPr>
          <w:caps w:val="false"/>
          <w:smallCaps w:val="false"/>
        </w:rPr>
      </w:pPr>
      <w:r>
        <w:rPr>
          <w:caps w:val="false"/>
          <w:smallCaps w:val="false"/>
        </w:rPr>
        <w:t> </w:t>
      </w:r>
    </w:p>
    <w:tbl>
      <w:tblPr>
        <w:tblW w:w="4540" w:type="dxa"/>
        <w:jc w:val="left"/>
        <w:tblInd w:w="0" w:type="dxa"/>
        <w:tblCellMar>
          <w:top w:w="0" w:type="dxa"/>
          <w:left w:w="0" w:type="dxa"/>
          <w:bottom w:w="0" w:type="dxa"/>
          <w:right w:w="0" w:type="dxa"/>
        </w:tblCellMar>
      </w:tblPr>
      <w:tblGrid>
        <w:gridCol w:w="60"/>
        <w:gridCol w:w="170"/>
        <w:gridCol w:w="43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3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common stock by us or our stockholders;</w:t>
            </w:r>
          </w:p>
        </w:tc>
      </w:tr>
    </w:tbl>
    <w:p>
      <w:pPr>
        <w:pStyle w:val="TextBody"/>
        <w:spacing w:before="0" w:after="0"/>
        <w:ind w:left="0" w:right="0" w:hanging="0"/>
        <w:rPr>
          <w:caps w:val="false"/>
          <w:smallCaps w:val="false"/>
        </w:rPr>
      </w:pPr>
      <w:r>
        <w:rPr>
          <w:caps w:val="false"/>
          <w:smallCaps w:val="false"/>
        </w:rPr>
        <w:t> </w:t>
      </w:r>
    </w:p>
    <w:tbl>
      <w:tblPr>
        <w:tblW w:w="8335" w:type="dxa"/>
        <w:jc w:val="left"/>
        <w:tblInd w:w="0" w:type="dxa"/>
        <w:tblCellMar>
          <w:top w:w="0" w:type="dxa"/>
          <w:left w:w="0" w:type="dxa"/>
          <w:bottom w:w="0" w:type="dxa"/>
          <w:right w:w="0" w:type="dxa"/>
        </w:tblCellMar>
      </w:tblPr>
      <w:tblGrid>
        <w:gridCol w:w="60"/>
        <w:gridCol w:w="170"/>
        <w:gridCol w:w="81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10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price and volume fluctuations attributable to inconsistent trading volume levels of our shares;</w:t>
            </w:r>
          </w:p>
        </w:tc>
      </w:tr>
    </w:tbl>
    <w:p>
      <w:pPr>
        <w:pStyle w:val="TextBody"/>
        <w:spacing w:before="0" w:after="0"/>
        <w:ind w:left="0" w:right="0" w:hanging="0"/>
        <w:rPr>
          <w:caps w:val="false"/>
          <w:smallCaps w:val="false"/>
        </w:rPr>
      </w:pPr>
      <w:r>
        <w:rPr>
          <w:caps w:val="false"/>
          <w:smallCaps w:val="false"/>
        </w:rPr>
        <w:t> </w:t>
      </w:r>
    </w:p>
    <w:tbl>
      <w:tblPr>
        <w:tblW w:w="5905" w:type="dxa"/>
        <w:jc w:val="left"/>
        <w:tblInd w:w="0" w:type="dxa"/>
        <w:tblCellMar>
          <w:top w:w="0" w:type="dxa"/>
          <w:left w:w="0" w:type="dxa"/>
          <w:bottom w:w="0" w:type="dxa"/>
          <w:right w:w="0" w:type="dxa"/>
        </w:tblCellMar>
      </w:tblPr>
      <w:tblGrid>
        <w:gridCol w:w="60"/>
        <w:gridCol w:w="170"/>
        <w:gridCol w:w="56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reports, guidance and ratings issued by securities or industry analysts;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conditions in our industry and market including the negative impact of COVID-19 on the global economy and markets; and</w:t>
            </w:r>
          </w:p>
        </w:tc>
      </w:tr>
    </w:tbl>
    <w:p>
      <w:pPr>
        <w:pStyle w:val="TextBody"/>
        <w:spacing w:before="0" w:after="0"/>
        <w:ind w:left="0" w:right="0" w:hanging="0"/>
        <w:rPr>
          <w:caps w:val="false"/>
          <w:smallCaps w:val="false"/>
        </w:rPr>
      </w:pPr>
      <w:r>
        <w:rPr>
          <w:caps w:val="false"/>
          <w:smallCaps w:val="false"/>
        </w:rPr>
        <w:t> </w:t>
      </w:r>
    </w:p>
    <w:tbl>
      <w:tblPr>
        <w:tblW w:w="3595" w:type="dxa"/>
        <w:jc w:val="left"/>
        <w:tblInd w:w="0" w:type="dxa"/>
        <w:tblCellMar>
          <w:top w:w="0" w:type="dxa"/>
          <w:left w:w="0" w:type="dxa"/>
          <w:bottom w:w="0" w:type="dxa"/>
          <w:right w:w="0" w:type="dxa"/>
        </w:tblCellMar>
      </w:tblPr>
      <w:tblGrid>
        <w:gridCol w:w="60"/>
        <w:gridCol w:w="170"/>
        <w:gridCol w:w="33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3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and market conditions.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Additionally, we maintain a shelf registration statement on Form S-3 pursuant to which we may, from time to time, sell up to an aggregate of $160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Executive Chairman of our Board, who beneficially owns approximately 56% of our common stock outstanding as of the date of this Annual Report. As a result, Mr. Duggan has control over corporate actions requiring stockholder approval, including the following actions:</w:t>
      </w:r>
    </w:p>
    <w:p>
      <w:pPr>
        <w:pStyle w:val="TextBody"/>
        <w:spacing w:before="0" w:after="0"/>
        <w:ind w:left="0" w:right="0" w:hanging="0"/>
        <w:rPr>
          <w:caps w:val="false"/>
          <w:smallCaps w:val="false"/>
        </w:rPr>
      </w:pPr>
      <w:r>
        <w:rPr>
          <w:caps w:val="false"/>
          <w:smallCaps w:val="false"/>
        </w:rPr>
        <w:t> </w:t>
      </w:r>
    </w:p>
    <w:tbl>
      <w:tblPr>
        <w:tblW w:w="3940" w:type="dxa"/>
        <w:jc w:val="left"/>
        <w:tblInd w:w="0" w:type="dxa"/>
        <w:tblCellMar>
          <w:top w:w="0" w:type="dxa"/>
          <w:left w:w="0" w:type="dxa"/>
          <w:bottom w:w="0" w:type="dxa"/>
          <w:right w:w="0" w:type="dxa"/>
        </w:tblCellMar>
      </w:tblPr>
      <w:tblGrid>
        <w:gridCol w:w="60"/>
        <w:gridCol w:w="170"/>
        <w:gridCol w:w="37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7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elect or defeat the election of our directors;</w:t>
            </w:r>
          </w:p>
        </w:tc>
      </w:tr>
    </w:tbl>
    <w:p>
      <w:pPr>
        <w:pStyle w:val="TextBody"/>
        <w:spacing w:before="0" w:after="0"/>
        <w:ind w:left="0" w:right="0" w:hanging="0"/>
        <w:rPr>
          <w:caps w:val="false"/>
          <w:smallCaps w:val="false"/>
        </w:rPr>
      </w:pPr>
      <w:r>
        <w:rPr>
          <w:caps w:val="false"/>
          <w:smallCaps w:val="false"/>
        </w:rPr>
        <w:t> </w:t>
      </w:r>
    </w:p>
    <w:tbl>
      <w:tblPr>
        <w:tblW w:w="6490" w:type="dxa"/>
        <w:jc w:val="left"/>
        <w:tblInd w:w="0" w:type="dxa"/>
        <w:tblCellMar>
          <w:top w:w="0" w:type="dxa"/>
          <w:left w:w="0" w:type="dxa"/>
          <w:bottom w:w="0" w:type="dxa"/>
          <w:right w:w="0" w:type="dxa"/>
        </w:tblCellMar>
      </w:tblPr>
      <w:tblGrid>
        <w:gridCol w:w="60"/>
        <w:gridCol w:w="170"/>
        <w:gridCol w:w="62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6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amend or prevent amendment of our certificate of incorporation or bylaws;</w:t>
            </w:r>
          </w:p>
        </w:tc>
      </w:tr>
    </w:tbl>
    <w:p>
      <w:pPr>
        <w:pStyle w:val="TextBody"/>
        <w:spacing w:before="0" w:after="0"/>
        <w:ind w:left="0" w:right="0" w:hanging="0"/>
        <w:rPr>
          <w:caps w:val="false"/>
          <w:smallCaps w:val="false"/>
        </w:rPr>
      </w:pPr>
      <w:r>
        <w:rPr>
          <w:caps w:val="false"/>
          <w:smallCaps w:val="false"/>
        </w:rPr>
        <w:t> </w:t>
      </w:r>
    </w:p>
    <w:tbl>
      <w:tblPr>
        <w:tblW w:w="6475" w:type="dxa"/>
        <w:jc w:val="left"/>
        <w:tblInd w:w="0" w:type="dxa"/>
        <w:tblCellMar>
          <w:top w:w="0" w:type="dxa"/>
          <w:left w:w="0" w:type="dxa"/>
          <w:bottom w:w="0" w:type="dxa"/>
          <w:right w:w="0" w:type="dxa"/>
        </w:tblCellMar>
      </w:tblPr>
      <w:tblGrid>
        <w:gridCol w:w="60"/>
        <w:gridCol w:w="170"/>
        <w:gridCol w:w="62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2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effect or prevent a merger, sale of assets or other corporate transaction; and</w:t>
            </w:r>
          </w:p>
        </w:tc>
      </w:tr>
    </w:tbl>
    <w:p>
      <w:pPr>
        <w:pStyle w:val="TextBody"/>
        <w:spacing w:before="0" w:after="0"/>
        <w:ind w:left="0" w:right="0" w:hanging="0"/>
        <w:rPr>
          <w:caps w:val="false"/>
          <w:smallCaps w:val="false"/>
        </w:rPr>
      </w:pPr>
      <w:r>
        <w:rPr>
          <w:caps w:val="false"/>
          <w:smallCaps w:val="false"/>
        </w:rPr>
        <w:t> </w:t>
      </w:r>
    </w:p>
    <w:tbl>
      <w:tblPr>
        <w:tblW w:w="6850" w:type="dxa"/>
        <w:jc w:val="left"/>
        <w:tblInd w:w="0" w:type="dxa"/>
        <w:tblCellMar>
          <w:top w:w="0" w:type="dxa"/>
          <w:left w:w="0" w:type="dxa"/>
          <w:bottom w:w="0" w:type="dxa"/>
          <w:right w:w="0" w:type="dxa"/>
        </w:tblCellMar>
      </w:tblPr>
      <w:tblGrid>
        <w:gridCol w:w="60"/>
        <w:gridCol w:w="170"/>
        <w:gridCol w:w="66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control the outcome of any other matter submitted to our stockholders for vote.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Executive Chairman, and he beneficially owns approximately 56% of our common stock outstanding as of the date of this Annual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Executive Chairman of our board of directors, have entered into a letter agreement pursuant to which Mr. Duggan has agreed with us to personally provide “Side A”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 xml:space="preserve">We are a </w:t>
      </w:r>
      <w:r>
        <w:rPr>
          <w:rFonts w:ascii="Times New Roman" w:hAnsi="Times New Roman"/>
          <w:caps w:val="false"/>
          <w:smallCaps w:val="false"/>
          <w:sz w:val="20"/>
        </w:rPr>
        <w:t>“</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market price and trading volume could decline.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that any action to be taken by our stockholders be effected at a duly called annual or special meeting and not by written consent;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an advance notice procedure for stockholder approvals to be brought before an annual meeting of our stockholders, including proposed nominations of persons for election to our board of directors;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spacing w:before="0" w:after="0"/>
        <w:ind w:left="0" w:right="0" w:hanging="0"/>
        <w:rPr>
          <w:caps w:val="false"/>
          <w:smallCaps w:val="false"/>
        </w:rPr>
      </w:pPr>
      <w:r>
        <w:rPr>
          <w:caps w:val="false"/>
          <w:smallCaps w:val="false"/>
        </w:rPr>
        <w:t> </w:t>
      </w:r>
    </w:p>
    <w:tbl>
      <w:tblPr>
        <w:tblW w:w="6805" w:type="dxa"/>
        <w:jc w:val="left"/>
        <w:tblInd w:w="0" w:type="dxa"/>
        <w:tblCellMar>
          <w:top w:w="0" w:type="dxa"/>
          <w:left w:w="0" w:type="dxa"/>
          <w:bottom w:w="0" w:type="dxa"/>
          <w:right w:w="0" w:type="dxa"/>
        </w:tblCellMar>
      </w:tblPr>
      <w:tblGrid>
        <w:gridCol w:w="60"/>
        <w:gridCol w:w="170"/>
        <w:gridCol w:w="65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5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 our board of directors the ability to amend our bylaws by majority vote;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that vacancies on our board of directors may be filled only by a majority of directors then in office, even though less than a quorum.</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COVID-19 on the global economy and markets. A global financial crisis or a banking crisis or a global or regional political disruption could cause extreme volatility in the capital and credit markets, as has recently been the case due to COVID-19. The Company places its cash equivalents and investments with high credit quality financial institutions and, by policy, limits the amounts invested with any one financial institution or issuer and restricts the Company’s investments to U.S. treasuries and money market instruments. The Company does not bank with Silicon Valley Bank, however in general the Company’s deposits held with banks may exceed the amount of insurance provided on such deposits. Despite our low 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b/>
          <w:i/>
          <w:caps w:val="false"/>
          <w:smallCaps w:val="false"/>
          <w:sz w:val="20"/>
        </w:rPr>
      </w:pPr>
      <w:r>
        <w:rPr>
          <w:rFonts w:ascii="Times New Roman" w:hAnsi="Times New Roman"/>
          <w:b/>
          <w:i/>
          <w:caps w:val="false"/>
          <w:smallCaps w:val="false"/>
          <w:sz w:val="20"/>
        </w:rPr>
        <w:t xml:space="preserve">Our facilities in California are located near known earthquake faults, and the occurrence of an earthquake or other catastrophic disaster could cause damage to our facilities and equipment, which could require us to cease or curtail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5" w:name="unresolved"/>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1B. Unresolved Staff Comments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6" w:name="properties"/>
      <w:bookmarkEnd w:id="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Properties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our existing and expanded facilities will be sufficient to meet our needs for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7" w:name="legal"/>
      <w:bookmarkEnd w:id="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cannot predict what the final outcome of Ms. Gardiner’s arbitration proceeding will likely be. However, at this time, we believe that the final resolution of this matter will not adversely affect our consolidated position, results of operation, or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8" w:name="mine"/>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9" w:name="market"/>
      <w:bookmarkEnd w:id="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Market Information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and has been traded under the symbol “PLSE” since May 18, 2016.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Holders of Record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March 27, 2023, there were approximately 11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Dividend Policy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 on our common stock and have no present plans to do so. We intend to retain earnings for use in the operation and expansion of our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Sales of Unregistered Securities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Performance Graph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performance graph included in this Annual Report on Form 10-K shall not be deemed “filed” for purposes of Section 18 of the Securities Exchange Act of 1934, as amended (“Exchange Act”), or incorporated by reference into any filing of Pulse Biosciences, Inc. under the Securities Act of 1933, as amended, or the Exchange Act, except as shall be expressly set forth by specific reference in such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graph matches our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December 31, 2017, to December 31, 2022. Such returns are based on historical results and are not intended to suggest future performance.</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firstLine="500"/>
        <w:rPr>
          <w:caps w:val="false"/>
          <w:smallCaps w:val="false"/>
        </w:rPr>
      </w:pPr>
      <w:r>
        <w:rPr>
          <w:caps w:val="false"/>
          <w:smallCaps w:val="false"/>
        </w:rPr>
        <w:t> </w:t>
      </w:r>
    </w:p>
    <w:p>
      <w:pPr>
        <w:pStyle w:val="TextBody"/>
        <w:jc w:val="center"/>
        <w:rPr/>
      </w:pPr>
      <w:r>
        <w:rPr/>
        <w:drawing>
          <wp:inline distT="0" distB="0" distL="0" distR="0">
            <wp:extent cx="4445000" cy="333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45000" cy="3333750"/>
                    </a:xfrm>
                    <a:prstGeom prst="rect">
                      <a:avLst/>
                    </a:prstGeom>
                  </pic:spPr>
                </pic:pic>
              </a:graphicData>
            </a:graphic>
          </wp:inline>
        </w:drawing>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10" w:name="selected"/>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Selected Financial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is a smaller reporting company as defined by Rule 12b-2 of the Exchange Act and is not required to provide the information required under this item.</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together with our consolidated financial statements and the related notes thereto included in Item 8 under the heading </w:t>
      </w:r>
      <w:r>
        <w:rPr>
          <w:rFonts w:ascii="Times New Roman" w:hAnsi="Times New Roman"/>
          <w:caps w:val="false"/>
          <w:smallCaps w:val="false"/>
          <w:sz w:val="20"/>
        </w:rPr>
        <w:t>“</w:t>
      </w:r>
      <w:r>
        <w:rPr>
          <w:rFonts w:ascii="Times New Roman" w:hAnsi="Times New Roman"/>
          <w:i/>
          <w:caps w:val="false"/>
          <w:smallCaps w:val="false"/>
          <w:sz w:val="20"/>
        </w:rPr>
        <w:t>Financial Statements and Supplementary Data</w:t>
      </w:r>
      <w:r>
        <w:rPr>
          <w:rFonts w:ascii="Times New Roman" w:hAnsi="Times New Roman"/>
          <w:caps w:val="false"/>
          <w:smallCaps w:val="false"/>
          <w:sz w:val="20"/>
        </w:rPr>
        <w:t>”</w:t>
      </w:r>
      <w:r>
        <w:rPr>
          <w:rFonts w:ascii="Times New Roman" w:hAnsi="Times New Roman"/>
          <w:i/>
          <w:caps w:val="false"/>
          <w:smallCaps w:val="false"/>
          <w:sz w:val="20"/>
        </w:rPr>
        <w:t xml:space="preserve">. Some of the information contained in this discussion and analysis or set forth elsewhere in this Form 10-K contains forward-looking statements that involve risks and uncertainties, including statements regarding our expected financial results in future periods. The words </w:t>
      </w:r>
      <w:r>
        <w:rPr>
          <w:rFonts w:ascii="Times New Roman" w:hAnsi="Times New Roman"/>
          <w:caps w:val="false"/>
          <w:smallCaps w:val="false"/>
          <w:sz w:val="20"/>
        </w:rPr>
        <w:t>“</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might,</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 of this</w:t>
      </w:r>
      <w:r>
        <w:rPr>
          <w:rFonts w:ascii="Times New Roman" w:hAnsi="Times New Roman"/>
          <w:caps w:val="false"/>
          <w:smallCaps w:val="false"/>
          <w:sz w:val="20"/>
        </w:rPr>
        <w:t xml:space="preserve"> </w:t>
      </w:r>
      <w:r>
        <w:rPr>
          <w:rFonts w:ascii="Times New Roman" w:hAnsi="Times New Roman"/>
          <w:i/>
          <w:caps w:val="false"/>
          <w:smallCaps w:val="false"/>
          <w:sz w:val="20"/>
        </w:rPr>
        <w:t>Form 10-K</w:t>
      </w:r>
      <w:r>
        <w:rPr>
          <w:rFonts w:ascii="Times New Roman" w:hAnsi="Times New Roman"/>
          <w:caps w:val="false"/>
          <w:smallCaps w:val="false"/>
          <w:sz w:val="20"/>
        </w:rPr>
        <w:t xml:space="preserve"> </w:t>
      </w:r>
      <w:r>
        <w:rPr>
          <w:rFonts w:ascii="Times New Roman" w:hAnsi="Times New Roman"/>
          <w:i/>
          <w:caps w:val="false"/>
          <w:smallCaps w:val="false"/>
          <w:sz w:val="20"/>
        </w:rPr>
        <w:t>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technology, a revolutionary energy modality that delivers nanosecond-duration pulses of electrical energy, each less than a millionth of a second long, to non-thermally clear targeted cells while sparing adjacent noncellular tissue. NPS technology, also referred to as a Nanosecond Pulsed-Field Ablation™ or nsPFA™ technology when used to ablate cellular tissue, can be used to treat a variety of medical conditions for which an optimal solution remains unfulfilled. We developed our proprietary CellFX System®, a novel nsPFA delivery platform, and commercialized the initial application of our nsPFA technology to treat benign lesions of the skin. In parallel, we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efforts on the use of nsPFA and the CellFX platform in the treatment of atrial fibrillation ("AF").</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We have developed a cardiac ablation clamp for use in cardiac surgery and a cardiac ablation catheter for use in electrophysiology and we are currently testing both in preclinical models. While these devices serve different physicians, the application of the energy to safely and effectively ablate cardiac tissue and the treatment of AF are the same, and we believe there will be important synergies realized through their contemporaneous development. Our cardiac ablation clamp and cardiac ablation catheter both use the CellFX System to generate our proprietary pulses of electrical energy.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nsPFA ablation given its nonthermal nature.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profoundly important to cardiac surgeons treating AF, so we are working with leaders in the field to develop this technology quickly.</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 Annual Report. We plan to seek to raise capital from time to time through public or private equity offerings, debt financings, our at-the-market equity offering program, or to enter into collaborations with third parties, to fund our future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Over the past few years, Mr. Duggan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pursuant to which Mr. Duggan lent the Company $65 million to fund its product development operations.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banking and capital markets, could have an adverse impact on potential sources of future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Significant Judgments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 We continually evaluate the accounting policies and estimates used in preparing our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 </w:t>
      </w:r>
      <w:r>
        <w:rPr>
          <w:rFonts w:ascii="Times New Roman" w:hAnsi="Times New Roman"/>
          <w:i/>
          <w:caps w:val="false"/>
          <w:smallCaps w:val="false"/>
          <w:sz w:val="20"/>
        </w:rPr>
        <w:t>Accounting for Uncertainty in Income Taxes</w:t>
      </w:r>
      <w:r>
        <w:rPr>
          <w:rFonts w:ascii="Times New Roman" w:hAnsi="Times New Roman"/>
          <w:caps w:val="false"/>
          <w:smallCaps w:val="false"/>
          <w:sz w:val="20"/>
        </w:rPr>
        <w:t>.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subject to U.S. federal income taxes and income taxes in California and various states.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2022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consolidated statements of operations as discussed herein are presented below:</w:t>
      </w:r>
    </w:p>
    <w:p>
      <w:pPr>
        <w:pStyle w:val="TextBody"/>
        <w:spacing w:before="0" w:after="0"/>
        <w:ind w:left="0" w:right="0" w:hanging="0"/>
        <w:rPr>
          <w:caps w:val="false"/>
          <w:smallCaps w:val="false"/>
        </w:rPr>
      </w:pPr>
      <w:r>
        <w:rPr>
          <w:caps w:val="false"/>
          <w:smallCaps w:val="false"/>
        </w:rPr>
        <w:t> </w:t>
      </w:r>
    </w:p>
    <w:tbl>
      <w:tblPr>
        <w:tblW w:w="6210" w:type="dxa"/>
        <w:jc w:val="left"/>
        <w:tblInd w:w="0" w:type="dxa"/>
        <w:tblCellMar>
          <w:top w:w="0" w:type="dxa"/>
          <w:left w:w="0" w:type="dxa"/>
          <w:bottom w:w="0" w:type="dxa"/>
          <w:right w:w="0" w:type="dxa"/>
        </w:tblCellMar>
      </w:tblPr>
      <w:tblGrid>
        <w:gridCol w:w="3425"/>
        <w:gridCol w:w="60"/>
        <w:gridCol w:w="125"/>
        <w:gridCol w:w="650"/>
        <w:gridCol w:w="80"/>
        <w:gridCol w:w="60"/>
        <w:gridCol w:w="125"/>
        <w:gridCol w:w="650"/>
        <w:gridCol w:w="80"/>
        <w:gridCol w:w="60"/>
        <w:gridCol w:w="152"/>
        <w:gridCol w:w="663"/>
        <w:gridCol w:w="80"/>
      </w:tblGrid>
      <w:tr>
        <w:trPr/>
        <w:tc>
          <w:tcPr>
            <w:tcW w:w="34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0" w:type="dxa"/>
            <w:gridSpan w:val="6"/>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rPr/>
            </w:pPr>
            <w:r>
              <w:rPr/>
              <w:t> </w:t>
            </w:r>
          </w:p>
        </w:tc>
        <w:tc>
          <w:tcPr>
            <w:tcW w:w="663"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rPr/>
            </w:pPr>
            <w:r>
              <w:rPr/>
              <w:t> </w:t>
            </w:r>
          </w:p>
        </w:tc>
        <w:tc>
          <w:tcPr>
            <w:tcW w:w="663"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283"/>
              <w:ind w:left="0" w:right="0" w:hanging="0"/>
              <w:jc w:val="center"/>
              <w:rPr>
                <w:rFonts w:ascii="Times New Roman" w:hAnsi="Times New Roman"/>
                <w:b/>
                <w:sz w:val="20"/>
              </w:rPr>
            </w:pPr>
            <w:r>
              <w:rPr>
                <w:rFonts w:ascii="Times New Roman" w:hAnsi="Times New Roman"/>
                <w:b/>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66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rPr/>
            </w:pPr>
            <w:r>
              <w:rPr/>
              <w:t> </w:t>
            </w:r>
          </w:p>
        </w:tc>
        <w:tc>
          <w:tcPr>
            <w:tcW w:w="66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11,944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ind w:left="0" w:right="0" w:hanging="0"/>
              <w:rPr/>
            </w:pPr>
            <w:r>
              <w:rPr/>
              <w:t> </w:t>
            </w:r>
          </w:p>
        </w:tc>
        <w:tc>
          <w:tcPr>
            <w:tcW w:w="66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9,976</w:t>
            </w:r>
          </w:p>
        </w:tc>
        <w:tc>
          <w:tcPr>
            <w:tcW w:w="80" w:type="dxa"/>
            <w:tcBorders/>
            <w:shd w:fill="CCEE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20,839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66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ind w:left="0" w:right="0" w:hanging="0"/>
              <w:rPr/>
            </w:pPr>
            <w:r>
              <w:rPr/>
              <w:t> </w:t>
            </w:r>
          </w:p>
        </w:tc>
        <w:tc>
          <w:tcPr>
            <w:tcW w:w="66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13,955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19,073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(5,118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58,757</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64,432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(5,675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(58,057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(63,014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66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4,957</w:t>
            </w:r>
          </w:p>
        </w:tc>
        <w:tc>
          <w:tcPr>
            <w:tcW w:w="80" w:type="dxa"/>
            <w:tcBorders/>
            <w:shd w:fill="FFFFFF"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66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expense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ind w:left="0" w:right="0" w:hanging="0"/>
              <w:rPr/>
            </w:pPr>
            <w:r>
              <w:rPr/>
              <w:t> </w:t>
            </w:r>
          </w:p>
        </w:tc>
        <w:tc>
          <w:tcPr>
            <w:tcW w:w="66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5,155</w:t>
            </w:r>
          </w:p>
        </w:tc>
        <w:tc>
          <w:tcPr>
            <w:tcW w:w="80" w:type="dxa"/>
            <w:tcBorders/>
            <w:shd w:fill="FFFFFF"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4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5,155</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Revenues decreased by $0.7 million to $0.7 million for the year ended December 31, 2022, from $1.4 million during the same period in 2021. The decrease in revenues was driven primarily by the September 2022 announcement to shift our strategic direction and advance our core NPS technology outside of dermatology, discontinuing further sales in the dermatology market.</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Cost of revenues increased by $10.0 million to $11.9 million for the year ended December 31, 2022, from $2.0 million during the same period in 2021 primarily driven by a $8.5 million inventory write-off recorded for excessive and obsolete inventory in accordance with our announced strategic shift to advance our core NPS technology outside of dermatology.</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salaries and related expenses for research and development personnel, clinical trials and consulting costs related to the design, development and enhancement of our potential future products, prototype material and devices. Research and development expenses decreased by $7.8 million to $20.8 million in 2022 from $28.6 million in 2021 due to decreases of $3.6 million in stock-based compensation, $2.0 million in compensation and other employee related expenses and $2.0 million in clinical trial and other outside research costs. Compensation and other employee related expenses decreased primarily due to the decrease in headcount.</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Marketing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 of compensation and other related employee expenses for sales and marketing personnel, expenses associated with advertising and training, and marketing studies including our Controlled Launch program. Sales and marketing expenses decreased by $2.7 million to $12.0 million in 2022 from $14.7 million in 2021 due to decreases of $2.0 million in stock-based compensation and $1.9 million in paid services and promotional activities. These decreases were partially offset by an increase of $1.1 million in compensation and other employee related expenses. The reduction in paid services was related primarily to non-cash Controlled Launch expenses (see Footnote 8 for details of these non-cash expenses) and the reduction in stock-based compensation was related to the reduction in force. The increase in compensation and other employee related expenses was driven by timing, whereby the Company built up the sales force in the latter part of 2021 and early part of 2022, prior to the reduction in force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General and Administrative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$5.1 million to $14.0 million in 2022 from $19.1 million in 2021 due to decreases of $3.8 million in stock-based compensation, $0.8 million in administrative costs driven by D&amp;O insurance, $0.3 million in compensation and other employee related expenses, and $0.2 million in paid services. The reduction in stock-based compensation was related to the reduction in force and the decrease in compensation and other employee related expenses was driven by an overall reduction due to decrease in headcount, partially offset by an increase in severance costs in relation to the reduction in force. </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Expense,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Interest expense increased by $0.2 million to $0.9 million for the year ended December 31, 2022, from $0.7 million during the same period in 2021 driven by the 2022 Loan Agreement. Other expense increased by $0.2 million driven by a loss on disposal of assets. These were offset by an increase in interest income of $0.6 million primarily due to the higher cash and cash equivalents balance.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2021, and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Refer to Item 7. Management’s Discussion and Analysis of Financial Condition and Results of Operations located in our Form 10-K for the fiscal year ended December 31, 2021, filed on March 31, 2022, for the discussion of the comparison of the fiscal year ended December 31, 2021, to the fiscal year ended December 31, 2020, the earliest of the three fiscal years presented in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June 2020, we completed a rights offering pursuant to which we sold an aggregate of 4,279,600 shares of our common stock, par value $0.001 per share, and 641,571 warrants, for net proceeds of $29.4 million. On December 31, 2020, the Company met the requirements for redemption of these warrants. Pursuant to the redemption, the Company redeemed 5,139 warrants at a redemption price of $0.01 per warrant. 636,432 warrants were exercised, generating approximately $4.5 million of additional net proceeds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year ended December 31, 2022, the Company did not issue or sell any shares of common stock under the Sales Agreement. During the year ended December 31, 2021, the Company issued and sold 288,490 shares of common stock under the Sales Agreement. The shares were sold at a weighted average price of $27.73 per share for aggregate net proceeds of approximately $7.4 million, after deducting sales commissions and offering costs payable by us.</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March 2021 we entered into a Loan Agreement with Robert W. Duggan, our Executive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On June 30, 2021, we entered into a Securities Purchase Agreement with Mr. Duggan, pursuant to which the Company issued and sold to Mr. Duggan 3,048,780 shares of the Company’s common stock, par value $0.001 per share, in a private placement, at a price per share of $16.40. The shares were paid for through (i) the conversion of the $41 million aggregate principal amount, together with all accrued and unpaid interest outstanding, pursuant to the Loan Agreement by and between the Company and Mr. Duggan (Note 13), and (ii) additional cash in the amount of approximately $8.4 million. Upon closing of this Private Placement and satisfaction of the outstanding debt, the Loan Agreement was terminated, without early termination fees or penalties being owed by the Company, and no additional amounts were owed to Mr. Duggan under the Loan Agreement. The cash proceeds of approximately $8.4 million were received by the Company in July 2021.</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June 9, 2022, we completed the 2022 Rights Offering resulting in the sale of 7,317,072 Units, at a price of $2.05 per Unit, with each Unit consisting of one share of the Company’s common stock, par value $0.001 per share, and one warrant to purchase one share of common stock. 7,317,072 shares of common stock and warrants to acquire up to an additional 7,317,072 shares of common stock were issued in the 2022 Rights Offering. The Company received aggregate gross proceeds from the 2022 Rights Offering of $15 million. If exercised, additional gross proceeds of up to $15 million may be received through the exercise of warrants issued in the 2022 Rights Offering. Each warrant is exercisable for one share of the Company’s common stock at an exercise price equal to $2.05. Warrants are exercisable immediately and expire on the fifth anniversary of the closing of the 2022 Rights Offering.</w:t>
      </w:r>
    </w:p>
    <w:p>
      <w:pPr>
        <w:pStyle w:val="TextBody"/>
        <w:spacing w:before="0" w:after="0"/>
        <w:ind w:left="16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2022 we entered into the 2022 Loan Agreement with Robert W. Duggan, our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bears interest at a rate per annum equal to 5.0%, payable quarterly, commencing on January 1, 2023. On March 17, 2023, the Company and Mr. Duggan agreed to amend certain terms of the Loan Agreement. There were no changes to the interest rate, but the principal sum is now due and payable on September 30, 2024. The 2022 Loan Agreement contains certain covenants and Events of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consolidated statements of cash flows as discussed herein are presented below:</w:t>
      </w:r>
    </w:p>
    <w:p>
      <w:pPr>
        <w:pStyle w:val="TextBody"/>
        <w:spacing w:before="0" w:after="0"/>
        <w:ind w:left="0" w:right="0" w:hanging="0"/>
        <w:rPr>
          <w:caps w:val="false"/>
          <w:smallCaps w:val="false"/>
        </w:rPr>
      </w:pPr>
      <w:r>
        <w:rPr>
          <w:caps w:val="false"/>
          <w:smallCaps w:val="false"/>
        </w:rPr>
        <w:t> </w:t>
      </w:r>
    </w:p>
    <w:tbl>
      <w:tblPr>
        <w:tblW w:w="6845" w:type="dxa"/>
        <w:jc w:val="left"/>
        <w:tblInd w:w="0" w:type="dxa"/>
        <w:tblCellMar>
          <w:top w:w="0" w:type="dxa"/>
          <w:left w:w="0" w:type="dxa"/>
          <w:bottom w:w="0" w:type="dxa"/>
          <w:right w:w="0" w:type="dxa"/>
        </w:tblCellMar>
      </w:tblPr>
      <w:tblGrid>
        <w:gridCol w:w="4100"/>
        <w:gridCol w:w="60"/>
        <w:gridCol w:w="125"/>
        <w:gridCol w:w="650"/>
        <w:gridCol w:w="80"/>
        <w:gridCol w:w="60"/>
        <w:gridCol w:w="125"/>
        <w:gridCol w:w="650"/>
        <w:gridCol w:w="80"/>
        <w:gridCol w:w="60"/>
        <w:gridCol w:w="125"/>
        <w:gridCol w:w="650"/>
        <w:gridCol w:w="80"/>
      </w:tblGrid>
      <w:tr>
        <w:trPr/>
        <w:tc>
          <w:tcPr>
            <w:tcW w:w="41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00" w:type="dxa"/>
            <w:tcBorders/>
            <w:shd w:fill="FFFFFF"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(47,013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(54,097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(35,365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1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10,044</w:t>
            </w:r>
          </w:p>
        </w:tc>
        <w:tc>
          <w:tcPr>
            <w:tcW w:w="80" w:type="dxa"/>
            <w:tcBorders/>
            <w:shd w:fill="FFFFFF" w:val="clear"/>
            <w:vAlign w:val="center"/>
          </w:tcPr>
          <w:p>
            <w:pPr>
              <w:pStyle w:val="TableContents"/>
              <w:spacing w:before="0" w:after="283"/>
              <w:rPr/>
            </w:pPr>
            <w:r>
              <w:rPr/>
              <w:t> </w:t>
            </w:r>
          </w:p>
        </w:tc>
      </w:tr>
      <w:tr>
        <w:trPr/>
        <w:tc>
          <w:tcPr>
            <w:tcW w:w="41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79,939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62,685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30,885</w:t>
            </w:r>
          </w:p>
        </w:tc>
        <w:tc>
          <w:tcPr>
            <w:tcW w:w="80" w:type="dxa"/>
            <w:tcBorders/>
            <w:shd w:fill="CCEEFF" w:val="clear"/>
            <w:vAlign w:val="center"/>
          </w:tcPr>
          <w:p>
            <w:pPr>
              <w:pStyle w:val="TableContents"/>
              <w:spacing w:before="0" w:after="283"/>
              <w:rPr/>
            </w:pPr>
            <w:r>
              <w:rPr/>
              <w:t> </w:t>
            </w:r>
          </w:p>
        </w:tc>
      </w:tr>
      <w:tr>
        <w:trPr/>
        <w:tc>
          <w:tcPr>
            <w:tcW w:w="41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increase in cash and cash equivalents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December 31, 2022, the Company had cash and cash equivalents of $61.1 million. We believe that our existing cash and cash equivalents will be sufficient to fund our projected operating requirements for at least the next twelve months from the filing date of this Annual Report. However, we plan to raise additional capital in the future. We can give no assurance, at this time, that additional financing or a collaboration will be available when needed on terms acceptable to us, however.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pandemic, together with the deterioration of the credit and capital markets, could have an adverse impact on potential sources of future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During 2022, we used cash of $47.0 million in operating activities. The difference between cash used in operating activities and net loss consisted primarily of stock-based compensation, reserve for excessive and obsolete inventory, depreciation and amortization, accounts payable and accrued expenses, and right-of-use assets, partially offset by increases in accrued interest and 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During 2021, we used cash of $54.1 million in operating activities. The difference between cash used in operating activities and net loss consisted primarily of stock-based compensation, depreciation and amortization, accounts payable and accrued expenses, and right-of-use assets, partially offset by increases in prepaid expenses and 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Investing Activities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2022, cash used in investing activities was $0.4 million, which was for the purchase of 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2021, cash provided from investing activities was $7.6 million, of which $8.0 million was provided from the maturities of investments, partially offset by cash used for the purchase of 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2022, cash provided from financing activities was $79.9 million, primarily due to $65.0 million of proceeds from our 2022 Loan Agreement, $14.9 million of proceeds from the sale of common stock in our rights offering and $0.5 million from the sale of stock under our employee stock purchase plan, partially offset by payments made on the Insurance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2021, cash provided from financing activities was $62.7 million, primarily due to $49.3 million net cash received from our Loan Agreement and Private Placement, $7.4 million net cash received from our at-the-market equity offering, $5.0 million received from stock option and warrant exercises, $0.4 million received, net of payments made to date, from the Insurance Loan Agreement and $0.8 million received from the sale of stock under our employee stock purchase plan.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2021 and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Refer to Item 7. Management’s Discussion and Analysis of Financial Condition and Results of Operations located in our Form 10-K for the fiscal year ended December 31, 2021, filed on March 31, 2022, for the discussion of the comparison of the fiscal year ended December 31, 2021, to the fiscal year ended December 31, 2020, the earliest of the three fiscal years presented in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Frank Reidy Research Center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provided for in the license agreement with Old Dominion University Research Foundation (“ODURF”) and Eastern Virginia Medical School (“EVMS”), effective on November 6, 2014, we sponsored certain approved research activities at ODURF’s Frank Reidy Research Center under a sponsored research agreement (“SRA”). In September 2019, we agreed to sponsor a task order for research in the amount of $0.8 million each to be performed during the subsequent 12-month period. In March 2021, we agreed to sponsor a task order for research in the amount of $0.3 million and in May 2021 we sponsored an additional task order for $0.3 million each to be performed during their respective subsequent 12-month periods. These sponsored researches are funded through monthly payments made upon ODURF certifying, to our reasonable satisfaction, that ODURF has met its obligations pursuant to the specified task order and statement of work. The principal investigator may transfer funds within the budget as needed with our approval so long as the obligations of ODURF under the task order and statement of work remain unchanged and unimpaired. During the years ended December 31, 2022, 2021 and 2020, we incurred costs relating to the SRA equal to $0.2 million, $0.3 million and $0.6 million, respectively. As of December 31, 2022, there are no unbilled SRAs left under the task orders.</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hanging="0"/>
        <w:jc w:val="both"/>
        <w:rPr>
          <w:rFonts w:ascii="Times New Roman" w:hAnsi="Times New Roman"/>
          <w:b/>
          <w:i/>
          <w:caps w:val="false"/>
          <w:smallCaps w:val="false"/>
          <w:sz w:val="20"/>
        </w:rPr>
      </w:pPr>
      <w:r>
        <w:rPr>
          <w:rFonts w:ascii="Times New Roman" w:hAnsi="Times New Roman"/>
          <w:b/>
          <w:i/>
          <w:caps w:val="false"/>
          <w:smallCaps w:val="false"/>
          <w:sz w:val="20"/>
        </w:rPr>
        <w:t>Operating 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currently lease approximately 50,300 square feet of premises located in Hayward, California, which is used for our corporate headquarters and principal operating facility. The term of the original lease included approximately 15,700 square feet for 62 months and commenced on July 1, 2017. In May 2019, we entered into an amendment which enabled us to expand the lease by approximately 34,600 additional square feet, for a total of approximately 50,300 square feet. The amendment also included an option to extend the term of the lease. Approximately 13,300 square feet of the additional space was occupied in November 2019 as part of the first phase, and the remaining approximately 21,300 square feet was occupied in May 2020 as part of the second phase. The term of the total lease was extended through October 2029.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December 31, 2022 (in thousands):</w:t>
      </w:r>
    </w:p>
    <w:p>
      <w:pPr>
        <w:pStyle w:val="TextBody"/>
        <w:spacing w:before="0" w:after="0"/>
        <w:ind w:left="0" w:right="0" w:hanging="0"/>
        <w:rPr>
          <w:caps w:val="false"/>
          <w:smallCaps w:val="false"/>
        </w:rPr>
      </w:pPr>
      <w:r>
        <w:rPr>
          <w:caps w:val="false"/>
          <w:smallCaps w:val="false"/>
        </w:rPr>
        <w:t> </w:t>
      </w:r>
    </w:p>
    <w:tbl>
      <w:tblPr>
        <w:tblW w:w="7891" w:type="dxa"/>
        <w:jc w:val="left"/>
        <w:tblInd w:w="0" w:type="dxa"/>
        <w:tblCellMar>
          <w:top w:w="0" w:type="dxa"/>
          <w:left w:w="0" w:type="dxa"/>
          <w:bottom w:w="0" w:type="dxa"/>
          <w:right w:w="0" w:type="dxa"/>
        </w:tblCellMar>
      </w:tblPr>
      <w:tblGrid>
        <w:gridCol w:w="1355"/>
        <w:gridCol w:w="60"/>
        <w:gridCol w:w="125"/>
        <w:gridCol w:w="590"/>
        <w:gridCol w:w="60"/>
        <w:gridCol w:w="60"/>
        <w:gridCol w:w="308"/>
        <w:gridCol w:w="1196"/>
        <w:gridCol w:w="60"/>
        <w:gridCol w:w="60"/>
        <w:gridCol w:w="210"/>
        <w:gridCol w:w="814"/>
        <w:gridCol w:w="60"/>
        <w:gridCol w:w="60"/>
        <w:gridCol w:w="210"/>
        <w:gridCol w:w="814"/>
        <w:gridCol w:w="60"/>
        <w:gridCol w:w="60"/>
        <w:gridCol w:w="342"/>
        <w:gridCol w:w="1327"/>
        <w:gridCol w:w="60"/>
      </w:tblGrid>
      <w:tr>
        <w:trPr/>
        <w:tc>
          <w:tcPr>
            <w:tcW w:w="1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416"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 Due by Period</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355" w:type="dxa"/>
            <w:tcBorders/>
            <w:shd w:fill="FFFFFF"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Less Than 1 Year</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 to 3 Years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 to 5 Years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5 Years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4,163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3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4,074</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that have, or are reasonably likely to have, a current or future material effect on our financial condition, results of operations, liquidity, or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JOBS Act Accounting Election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Through the end of 2021, we were an emerging growth company as defined by the JOBS Act. Under the JOBS Act, we were given the option to delay adopting new or revised accounting standards issued subsequent to the enactment of the JOBS Act until such time as those standards apply to private companies. We irrevocably elected not to avail ourselves of this exemption from new or revised accounting standards and, therefore, we were subject to the same new or revised accounting standards as other public companies that are not emerging growth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Annual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12" w:name="quant"/>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Quantitative and Qualitative Disclosures About Market Risk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exposed to market risk in the ordinary course of our business. Market risk represents the risk of loss that may impact our financial position due to adverse changes in financial market prices and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and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 At December 31, 2022, we did not have any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Exchange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majority of our expense and capital purchasing activities are transacted in U.S. dollars. In 2021, we expended operations and sales into Europe and Canada. While we currently have limited international operations, we may incur foreign exchange gains or losses in the future as we further commercialize and expand internationally.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rPr/>
      </w:pPr>
      <w:r>
        <w:rPr/>
        <w:t xml:space="preserve">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bookmarkStart w:id="13" w:name="finstmts"/>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spacing w:before="0" w:after="0"/>
        <w:ind w:left="0" w:right="0" w:hanging="0"/>
        <w:rPr>
          <w:caps w:val="false"/>
          <w:smallCaps w:val="false"/>
        </w:rPr>
      </w:pPr>
      <w:r>
        <w:rPr>
          <w:caps w:val="false"/>
          <w:smallCaps w:val="false"/>
        </w:rPr>
        <w:t> </w:t>
      </w:r>
    </w:p>
    <w:tbl>
      <w:tblPr>
        <w:tblW w:w="7395" w:type="dxa"/>
        <w:jc w:val="left"/>
        <w:tblInd w:w="0" w:type="dxa"/>
        <w:tblCellMar>
          <w:top w:w="0" w:type="dxa"/>
          <w:left w:w="0" w:type="dxa"/>
          <w:bottom w:w="0" w:type="dxa"/>
          <w:right w:w="0" w:type="dxa"/>
        </w:tblCellMar>
      </w:tblPr>
      <w:tblGrid>
        <w:gridCol w:w="6610"/>
        <w:gridCol w:w="60"/>
        <w:gridCol w:w="725"/>
      </w:tblGrid>
      <w:tr>
        <w:trPr/>
        <w:tc>
          <w:tcPr>
            <w:tcW w:w="66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66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6610" w:type="dxa"/>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FINANCIAL STATEMENTS</w:t>
            </w:r>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rPr/>
            </w:pPr>
            <w:r>
              <w:rPr/>
              <w:t> </w:t>
            </w:r>
          </w:p>
        </w:tc>
      </w:tr>
      <w:tr>
        <w:trPr/>
        <w:tc>
          <w:tcPr>
            <w:tcW w:w="6610" w:type="dxa"/>
            <w:tcBorders/>
            <w:shd w:fill="auto" w:val="clear"/>
            <w:vAlign w:val="center"/>
          </w:tcPr>
          <w:p>
            <w:pPr>
              <w:pStyle w:val="TableContents"/>
              <w:spacing w:before="0" w:after="0"/>
              <w:ind w:left="0" w:right="0" w:firstLine="200"/>
              <w:rPr/>
            </w:pPr>
            <w:hyperlink w:anchor="report">
              <w:r>
                <w:rPr>
                  <w:rStyle w:val="InternetLink"/>
                  <w:rFonts w:ascii="Times New Roman;Times;serif" w:hAnsi="Times New Roman;Times;serif"/>
                  <w:caps w:val="false"/>
                  <w:smallCaps w:val="false"/>
                  <w:sz w:val="20"/>
                </w:rPr>
                <w:t>Report of Independent Registered Public Accounting Firm (PCAOB ID No. 34)</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report">
              <w:r>
                <w:rPr>
                  <w:rStyle w:val="InternetLink"/>
                  <w:rFonts w:ascii="Times New Roman;Times;serif" w:hAnsi="Times New Roman;Times;serif"/>
                  <w:caps w:val="false"/>
                  <w:smallCaps w:val="false"/>
                  <w:sz w:val="20"/>
                </w:rPr>
                <w:t>38</w:t>
              </w:r>
            </w:hyperlink>
          </w:p>
        </w:tc>
      </w:tr>
      <w:tr>
        <w:trPr/>
        <w:tc>
          <w:tcPr>
            <w:tcW w:w="6610" w:type="dxa"/>
            <w:tcBorders/>
            <w:shd w:fill="auto" w:val="clear"/>
            <w:vAlign w:val="center"/>
          </w:tcPr>
          <w:p>
            <w:pPr>
              <w:pStyle w:val="TableContents"/>
              <w:spacing w:before="0" w:after="0"/>
              <w:ind w:left="0" w:right="0" w:firstLine="200"/>
              <w:rPr/>
            </w:pPr>
            <w:hyperlink w:anchor="bs">
              <w:r>
                <w:rPr>
                  <w:rStyle w:val="InternetLink"/>
                  <w:rFonts w:ascii="Times New Roman;Times;serif" w:hAnsi="Times New Roman;Times;serif"/>
                  <w:caps w:val="false"/>
                  <w:smallCaps w:val="false"/>
                  <w:sz w:val="20"/>
                </w:rPr>
                <w:t>Consolidated Balance Sheets</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bs">
              <w:r>
                <w:rPr>
                  <w:rStyle w:val="InternetLink"/>
                  <w:rFonts w:ascii="Times New Roman;Times;serif" w:hAnsi="Times New Roman;Times;serif"/>
                  <w:caps w:val="false"/>
                  <w:smallCaps w:val="false"/>
                  <w:sz w:val="20"/>
                </w:rPr>
                <w:t>39</w:t>
              </w:r>
            </w:hyperlink>
          </w:p>
        </w:tc>
      </w:tr>
      <w:tr>
        <w:trPr/>
        <w:tc>
          <w:tcPr>
            <w:tcW w:w="6610" w:type="dxa"/>
            <w:tcBorders/>
            <w:shd w:fill="auto" w:val="clear"/>
            <w:vAlign w:val="center"/>
          </w:tcPr>
          <w:p>
            <w:pPr>
              <w:pStyle w:val="TableContents"/>
              <w:spacing w:before="0" w:after="0"/>
              <w:ind w:left="0" w:right="0" w:firstLine="200"/>
              <w:rPr/>
            </w:pPr>
            <w:hyperlink w:anchor="ops">
              <w:r>
                <w:rPr>
                  <w:rStyle w:val="InternetLink"/>
                  <w:rFonts w:ascii="Times New Roman;Times;serif" w:hAnsi="Times New Roman;Times;serif"/>
                  <w:caps w:val="false"/>
                  <w:smallCaps w:val="false"/>
                  <w:sz w:val="20"/>
                </w:rPr>
                <w:t>Consolidated Statements of Operations and Comprehensive Loss</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ops">
              <w:r>
                <w:rPr>
                  <w:rStyle w:val="InternetLink"/>
                  <w:rFonts w:ascii="Times New Roman;Times;serif" w:hAnsi="Times New Roman;Times;serif"/>
                  <w:caps w:val="false"/>
                  <w:smallCaps w:val="false"/>
                  <w:sz w:val="20"/>
                </w:rPr>
                <w:t>40</w:t>
              </w:r>
            </w:hyperlink>
          </w:p>
        </w:tc>
      </w:tr>
      <w:tr>
        <w:trPr/>
        <w:tc>
          <w:tcPr>
            <w:tcW w:w="6610" w:type="dxa"/>
            <w:tcBorders/>
            <w:shd w:fill="auto" w:val="clear"/>
            <w:vAlign w:val="center"/>
          </w:tcPr>
          <w:p>
            <w:pPr>
              <w:pStyle w:val="TableContents"/>
              <w:spacing w:before="0" w:after="0"/>
              <w:ind w:left="0" w:right="0" w:firstLine="200"/>
              <w:rPr/>
            </w:pPr>
            <w:hyperlink w:anchor="se">
              <w:r>
                <w:rPr>
                  <w:rStyle w:val="InternetLink"/>
                  <w:rFonts w:ascii="Times New Roman;Times;serif" w:hAnsi="Times New Roman;Times;serif"/>
                  <w:caps w:val="false"/>
                  <w:smallCaps w:val="false"/>
                  <w:sz w:val="20"/>
                </w:rPr>
                <w:t>Consolidated Statements of Stockholders’ (Deficit) Equity</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se">
              <w:r>
                <w:rPr>
                  <w:rStyle w:val="InternetLink"/>
                  <w:rFonts w:ascii="Times New Roman;Times;serif" w:hAnsi="Times New Roman;Times;serif"/>
                  <w:caps w:val="false"/>
                  <w:smallCaps w:val="false"/>
                  <w:sz w:val="20"/>
                </w:rPr>
                <w:t>41</w:t>
              </w:r>
            </w:hyperlink>
          </w:p>
        </w:tc>
      </w:tr>
      <w:tr>
        <w:trPr/>
        <w:tc>
          <w:tcPr>
            <w:tcW w:w="6610" w:type="dxa"/>
            <w:tcBorders/>
            <w:shd w:fill="auto" w:val="clear"/>
            <w:vAlign w:val="center"/>
          </w:tcPr>
          <w:p>
            <w:pPr>
              <w:pStyle w:val="TableContents"/>
              <w:spacing w:before="0" w:after="0"/>
              <w:ind w:left="0" w:right="0" w:firstLine="200"/>
              <w:rPr/>
            </w:pPr>
            <w:hyperlink w:anchor="cf">
              <w:r>
                <w:rPr>
                  <w:rStyle w:val="InternetLink"/>
                  <w:rFonts w:ascii="Times New Roman;Times;serif" w:hAnsi="Times New Roman;Times;serif"/>
                  <w:caps w:val="false"/>
                  <w:smallCaps w:val="false"/>
                  <w:sz w:val="20"/>
                </w:rPr>
                <w:t>Consolidated Statements of Cash Flows</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cf">
              <w:r>
                <w:rPr>
                  <w:rStyle w:val="InternetLink"/>
                  <w:rFonts w:ascii="Times New Roman;Times;serif" w:hAnsi="Times New Roman;Times;serif"/>
                  <w:caps w:val="false"/>
                  <w:smallCaps w:val="false"/>
                  <w:sz w:val="20"/>
                </w:rPr>
                <w:t>42</w:t>
              </w:r>
            </w:hyperlink>
          </w:p>
        </w:tc>
      </w:tr>
      <w:tr>
        <w:trPr/>
        <w:tc>
          <w:tcPr>
            <w:tcW w:w="6610" w:type="dxa"/>
            <w:tcBorders/>
            <w:shd w:fill="auto" w:val="clear"/>
            <w:vAlign w:val="center"/>
          </w:tcPr>
          <w:p>
            <w:pPr>
              <w:pStyle w:val="TableContents"/>
              <w:spacing w:before="0" w:after="0"/>
              <w:ind w:left="0" w:right="0" w:firstLine="200"/>
              <w:rPr/>
            </w:pPr>
            <w:hyperlink w:anchor="notes">
              <w:r>
                <w:rPr>
                  <w:rStyle w:val="InternetLink"/>
                  <w:rFonts w:ascii="Times New Roman;Times;serif" w:hAnsi="Times New Roman;Times;serif"/>
                  <w:caps w:val="false"/>
                  <w:smallCaps w:val="false"/>
                  <w:sz w:val="20"/>
                </w:rPr>
                <w:t>Notes to Consolidated Financial Statements</w:t>
              </w:r>
            </w:hyperlink>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0"/>
              <w:ind w:left="0" w:right="0" w:hanging="0"/>
              <w:jc w:val="center"/>
              <w:rPr/>
            </w:pPr>
            <w:hyperlink w:anchor="notes">
              <w:r>
                <w:rPr>
                  <w:rStyle w:val="InternetLink"/>
                  <w:rFonts w:ascii="Times New Roman;Times;serif" w:hAnsi="Times New Roman;Times;serif"/>
                  <w:caps w:val="false"/>
                  <w:smallCaps w:val="false"/>
                  <w:sz w:val="20"/>
                </w:rPr>
                <w:t>43</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14" w:name="report"/>
      <w:bookmarkEnd w:id="14"/>
      <w:r>
        <w:rPr>
          <w:rFonts w:ascii="Times New Roman" w:hAnsi="Times New Roman"/>
          <w:b/>
          <w:caps w:val="false"/>
          <w:smallCaps w:val="false"/>
          <w:sz w:val="20"/>
        </w:rPr>
        <w:t>REPORT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Pulse Biosciences,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Pulse Biosciences, Inc. and its wholly owned subsidiaries (the "Company") as of December 31, 2022 and 2021, the related consolidated statements of operations and comprehensive loss, stockholders' (deficit)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Audit Matter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Deloitte &amp; Touche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Jose, California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31, 2023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5" w:name="bs"/>
      <w:bookmarkEnd w:id="15"/>
      <w:r>
        <w:rPr>
          <w:rFonts w:ascii="Times New Roman" w:hAnsi="Times New Roman"/>
          <w:b/>
          <w:caps w:val="false"/>
          <w:smallCaps w:val="false"/>
          <w:sz w:val="20"/>
        </w:rPr>
        <w:t>PULSE BIOSCIENCES,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par value)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0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28,614</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5,824</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62,147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36,630</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2,462</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3,216</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8,785</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77,877</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54,249</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2,904</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4,389</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Lease liability, current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774</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Note payable, current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436</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Related party note payable, current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917</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5,981</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8,519</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9,144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10,040</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Related party note payable, less current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65,000</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r>
      <w:tr>
        <w:trPr/>
        <w:tc>
          <w:tcPr>
            <w:tcW w:w="81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80,125</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18,559</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Commitments and contingencies (Note 13)</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Preferred stock, $0.001 par value; authorized – 50,000 shares; no shares issued and outstanding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$0.001 par value; authorized – 500,000 shares; issued and outstanding – 37,235 shares and 29,716 shares at December 31, 2022 and 2021, respectively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292,420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271,861</w:t>
            </w:r>
          </w:p>
        </w:tc>
        <w:tc>
          <w:tcPr>
            <w:tcW w:w="80" w:type="dxa"/>
            <w:tcBorders/>
            <w:shd w:fill="FFFFFF" w:val="clear"/>
            <w:vAlign w:val="center"/>
          </w:tcPr>
          <w:p>
            <w:pPr>
              <w:pStyle w:val="TableContents"/>
              <w:spacing w:before="0" w:after="283"/>
              <w:rPr/>
            </w:pPr>
            <w:r>
              <w:rPr/>
              <w:t> </w:t>
            </w:r>
          </w:p>
        </w:tc>
      </w:tr>
      <w:tr>
        <w:trPr/>
        <w:tc>
          <w:tcPr>
            <w:tcW w:w="81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(294,705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(236,200</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16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stockholders’ (deficit) equity</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(2,248</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35,690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816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77,877</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54,249</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6" w:name="ops"/>
      <w:bookmarkEnd w:id="16"/>
      <w:r>
        <w:rPr>
          <w:rFonts w:ascii="Times New Roman" w:hAnsi="Times New Roman"/>
          <w:b/>
          <w:caps w:val="false"/>
          <w:smallCaps w:val="false"/>
          <w:sz w:val="20"/>
        </w:rPr>
        <w:t>PULSE BIOSCIENCES,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 and Comprehensive Loss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spacing w:before="0" w:after="0"/>
        <w:ind w:left="0" w:right="0" w:hanging="0"/>
        <w:rPr>
          <w:caps w:val="false"/>
          <w:smallCaps w:val="false"/>
        </w:rPr>
      </w:pPr>
      <w:r>
        <w:rPr>
          <w:caps w:val="false"/>
          <w:smallCaps w:val="false"/>
        </w:rPr>
        <w:t> </w:t>
      </w:r>
    </w:p>
    <w:tbl>
      <w:tblPr>
        <w:tblW w:w="10010" w:type="dxa"/>
        <w:jc w:val="left"/>
        <w:tblInd w:w="0" w:type="dxa"/>
        <w:tblCellMar>
          <w:top w:w="0" w:type="dxa"/>
          <w:left w:w="0" w:type="dxa"/>
          <w:bottom w:w="0" w:type="dxa"/>
          <w:right w:w="0" w:type="dxa"/>
        </w:tblCellMar>
      </w:tblPr>
      <w:tblGrid>
        <w:gridCol w:w="7265"/>
        <w:gridCol w:w="60"/>
        <w:gridCol w:w="125"/>
        <w:gridCol w:w="650"/>
        <w:gridCol w:w="80"/>
        <w:gridCol w:w="60"/>
        <w:gridCol w:w="125"/>
        <w:gridCol w:w="650"/>
        <w:gridCol w:w="80"/>
        <w:gridCol w:w="60"/>
        <w:gridCol w:w="125"/>
        <w:gridCol w:w="650"/>
        <w:gridCol w:w="80"/>
      </w:tblGrid>
      <w:tr>
        <w:trPr/>
        <w:tc>
          <w:tcPr>
            <w:tcW w:w="72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11,944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20,839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28,640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26,444</w:t>
            </w:r>
          </w:p>
        </w:tc>
        <w:tc>
          <w:tcPr>
            <w:tcW w:w="80" w:type="dxa"/>
            <w:tcBorders/>
            <w:shd w:fill="FFFFFF" w:val="cle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7,256</w:t>
            </w:r>
          </w:p>
        </w:tc>
        <w:tc>
          <w:tcPr>
            <w:tcW w:w="80" w:type="dxa"/>
            <w:tcBorders/>
            <w:shd w:fill="CCEEFF" w:val="cle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13,955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19,073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16,265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58,757</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64,432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49,965</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(58,057</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(63,014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(49,965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income (expense), net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comprehensive gain (loss):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265"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Unrealized gain (loss) on available-for-sale securities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(63,659</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(49,856</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Basic and diluted net loss per share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33,935</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27,964</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23,248</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7" w:name="se"/>
      <w:bookmarkEnd w:id="17"/>
      <w:r>
        <w:rPr>
          <w:rFonts w:ascii="Times New Roman" w:hAnsi="Times New Roman"/>
          <w:b/>
          <w:caps w:val="false"/>
          <w:smallCaps w:val="false"/>
          <w:sz w:val="20"/>
        </w:rPr>
        <w:t>PULSE BIOSCIENCES,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(Deficit) Equity</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103"/>
        <w:gridCol w:w="60"/>
        <w:gridCol w:w="61"/>
        <w:gridCol w:w="529"/>
        <w:gridCol w:w="61"/>
        <w:gridCol w:w="61"/>
        <w:gridCol w:w="184"/>
        <w:gridCol w:w="436"/>
        <w:gridCol w:w="60"/>
        <w:gridCol w:w="60"/>
        <w:gridCol w:w="120"/>
        <w:gridCol w:w="665"/>
        <w:gridCol w:w="80"/>
        <w:gridCol w:w="60"/>
        <w:gridCol w:w="433"/>
        <w:gridCol w:w="844"/>
        <w:gridCol w:w="80"/>
        <w:gridCol w:w="60"/>
        <w:gridCol w:w="139"/>
        <w:gridCol w:w="841"/>
        <w:gridCol w:w="80"/>
        <w:gridCol w:w="60"/>
        <w:gridCol w:w="166"/>
        <w:gridCol w:w="877"/>
        <w:gridCol w:w="85"/>
      </w:tblGrid>
      <w:tr>
        <w:trPr/>
        <w:tc>
          <w:tcPr>
            <w:tcW w:w="410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529" w:type="dxa"/>
            <w:tcBorders/>
            <w:shd w:fill="FFFFFF" w:val="clear"/>
            <w:vAlign w:val="center"/>
          </w:tcPr>
          <w:p>
            <w:pPr>
              <w:pStyle w:val="TableContents"/>
              <w:spacing w:before="0" w:after="283"/>
              <w:jc w:val="center"/>
              <w:rPr/>
            </w:pPr>
            <w:r>
              <w:rPr>
                <w:rStyle w:val="Emphasis"/>
              </w:rPr>
              <w:t> </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7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 Other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3"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Total</w:t>
            </w:r>
          </w:p>
        </w:tc>
        <w:tc>
          <w:tcPr>
            <w:tcW w:w="85" w:type="dxa"/>
            <w:tcBorders/>
            <w:shd w:fill="FFFF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7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3"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5" w:type="dxa"/>
            <w:tcBorders/>
            <w:shd w:fill="FFFF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Shares</w:t>
            </w:r>
          </w:p>
        </w:tc>
        <w:tc>
          <w:tcPr>
            <w:tcW w:w="61" w:type="dxa"/>
            <w:tcBorders>
              <w:bottom w:val="single" w:sz="2" w:space="0" w:color="000000"/>
            </w:tcBorders>
            <w:shd w:fill="FFFFFF" w:val="clear"/>
            <w:tcMar>
              <w:bottom w:w="28" w:type="dxa"/>
            </w:tcM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6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7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caps w:val="false"/>
                <w:smallCaps w:val="false"/>
                <w:sz w:val="18"/>
              </w:rPr>
              <w:t>(Deficit) Equity</w:t>
            </w:r>
          </w:p>
        </w:tc>
        <w:tc>
          <w:tcPr>
            <w:tcW w:w="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2019</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20,825</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84"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153,401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33"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(122,689</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30,737</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exercise of stock options</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175</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887</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under employee stock purchase plan</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490</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upon exercise of warrants</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187</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1,127</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and warrants in connection with rights offering at $7.01 per unit, net of issuance cost of $565</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4,280</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29,430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29,434</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pPr>
            <w:r>
              <w:rPr>
                <w:rStyle w:val="Emphasis"/>
              </w:rPr>
              <w:t>—</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10,075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10,075</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Unrealized loss on marketable investments, net of tax</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29" w:type="dxa"/>
            <w:tcBorders/>
            <w:shd w:fill="CCEEFF" w:val="clear"/>
            <w:vAlign w:val="center"/>
          </w:tcPr>
          <w:p>
            <w:pPr>
              <w:pStyle w:val="TableContents"/>
              <w:spacing w:before="0" w:after="283"/>
              <w:jc w:val="right"/>
              <w:rPr/>
            </w:pPr>
            <w:r>
              <w:rPr>
                <w:rStyle w:val="Emphasis"/>
              </w:rPr>
              <w:t>—</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43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844"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877"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(5</w:t>
            </w:r>
          </w:p>
        </w:tc>
        <w:tc>
          <w:tcPr>
            <w:tcW w:w="85"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spacing w:before="0" w:after="283"/>
              <w:rPr/>
            </w:pPr>
            <w:r>
              <w:rPr/>
              <w:t> </w:t>
            </w:r>
          </w:p>
        </w:tc>
        <w:tc>
          <w:tcPr>
            <w:tcW w:w="6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1" w:type="dxa"/>
            <w:tcBorders>
              <w:bottom w:val="single" w:sz="2" w:space="0" w:color="000000"/>
            </w:tcBorders>
            <w:shd w:fill="FFFFFF" w:val="clear"/>
            <w:tcMar>
              <w:bottom w:w="28" w:type="dxa"/>
            </w:tcM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(49,851</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(49,851</w:t>
            </w:r>
          </w:p>
        </w:tc>
        <w:tc>
          <w:tcPr>
            <w:tcW w:w="85"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2020</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25,550</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195,410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(172,540</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22,894</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as part of debt extinguishment and private investment, net of issuance cost of $106</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3,049</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49,891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49,894</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upon exercise of warrants</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585</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3,333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3,334</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as part of ATM offering, net of issuance cost of $568</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288</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7,432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7,432</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vesting of restricted stock units, net of shares withheld for employee taxes</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99</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5"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under employee stock purchase plan</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810</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upon exercise of stock options</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54</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616</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529" w:type="dxa"/>
            <w:tcBorders/>
            <w:shd w:fill="FFFFFF" w:val="clear"/>
            <w:vAlign w:val="center"/>
          </w:tcPr>
          <w:p>
            <w:pPr>
              <w:pStyle w:val="TableContents"/>
              <w:spacing w:before="0" w:after="283"/>
              <w:jc w:val="right"/>
              <w:rPr/>
            </w:pPr>
            <w:r>
              <w:rPr>
                <w:rStyle w:val="Emphasis"/>
              </w:rPr>
              <w:t>—</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14,601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rPr/>
            </w:pPr>
            <w:r>
              <w:rPr/>
              <w:t> </w:t>
            </w:r>
          </w:p>
        </w:tc>
        <w:tc>
          <w:tcPr>
            <w:tcW w:w="844"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14,601</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gain on available-for-sale securities</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pPr>
            <w:r>
              <w:rPr>
                <w:rStyle w:val="Emphasis"/>
              </w:rPr>
              <w:t>—</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spacing w:before="0" w:after="283"/>
              <w:ind w:left="0" w:right="0" w:hanging="0"/>
              <w:rPr/>
            </w:pPr>
            <w:r>
              <w:rPr/>
              <w:t> </w:t>
            </w:r>
          </w:p>
        </w:tc>
        <w:tc>
          <w:tcPr>
            <w:tcW w:w="6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29" w:type="dxa"/>
            <w:tcBorders>
              <w:bottom w:val="single" w:sz="2" w:space="0" w:color="000000"/>
            </w:tcBorders>
            <w:shd w:fill="FFFFFF" w:val="clear"/>
            <w:tcMar>
              <w:bottom w:w="28" w:type="dxa"/>
            </w:tcMar>
            <w:vAlign w:val="center"/>
          </w:tcPr>
          <w:p>
            <w:pPr>
              <w:pStyle w:val="TableContents"/>
              <w:spacing w:before="0" w:after="0"/>
              <w:ind w:left="0" w:right="0" w:hanging="0"/>
              <w:jc w:val="right"/>
              <w:rPr/>
            </w:pPr>
            <w:r>
              <w:rPr>
                <w:rStyle w:val="Emphasis"/>
              </w:rPr>
              <w:t>—</w:t>
            </w:r>
          </w:p>
        </w:tc>
        <w:tc>
          <w:tcPr>
            <w:tcW w:w="61" w:type="dxa"/>
            <w:tcBorders>
              <w:bottom w:val="single" w:sz="2" w:space="0" w:color="000000"/>
            </w:tcBorders>
            <w:shd w:fill="FFFFFF" w:val="clear"/>
            <w:tcMar>
              <w:bottom w:w="28" w:type="dxa"/>
            </w:tcMar>
            <w:vAlign w:val="center"/>
          </w:tcPr>
          <w:p>
            <w:pPr>
              <w:pStyle w:val="TableContents"/>
              <w:spacing w:before="0" w:after="0"/>
              <w:rPr/>
            </w:pPr>
            <w:r>
              <w:rPr/>
              <w:t> </w:t>
            </w:r>
          </w:p>
        </w:tc>
        <w:tc>
          <w:tcPr>
            <w:tcW w:w="61" w:type="dxa"/>
            <w:tcBorders/>
            <w:shd w:fill="FFFFFF" w:val="clear"/>
            <w:vAlign w:val="center"/>
          </w:tcPr>
          <w:p>
            <w:pPr>
              <w:pStyle w:val="TableContents"/>
              <w:spacing w:before="0" w:after="283"/>
              <w:ind w:left="0" w:right="0" w:hanging="0"/>
              <w:rPr/>
            </w:pPr>
            <w:r>
              <w:rPr/>
              <w:t> </w:t>
            </w:r>
          </w:p>
        </w:tc>
        <w:tc>
          <w:tcPr>
            <w:tcW w:w="184"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FFFFFF" w:val="clear"/>
            <w:tcMar>
              <w:bottom w:w="28" w:type="dxa"/>
            </w:tcMar>
            <w:vAlign w:val="center"/>
          </w:tcPr>
          <w:p>
            <w:pPr>
              <w:pStyle w:val="TableContents"/>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2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43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4" w:type="dxa"/>
            <w:tcBorders>
              <w:bottom w:val="single" w:sz="2" w:space="0" w:color="000000"/>
            </w:tcBorders>
            <w:shd w:fill="FFFF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0"/>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(63,660</w:t>
            </w:r>
          </w:p>
        </w:tc>
        <w:tc>
          <w:tcPr>
            <w:tcW w:w="80"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ind w:left="0" w:right="0" w:hanging="0"/>
              <w:rPr/>
            </w:pPr>
            <w:r>
              <w:rPr/>
              <w:t> </w:t>
            </w:r>
          </w:p>
        </w:tc>
        <w:tc>
          <w:tcPr>
            <w:tcW w:w="16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77"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(63,660</w:t>
            </w:r>
          </w:p>
        </w:tc>
        <w:tc>
          <w:tcPr>
            <w:tcW w:w="85" w:type="dxa"/>
            <w:tcBorders>
              <w:bottom w:val="single" w:sz="2" w:space="0" w:color="000000"/>
            </w:tcBorders>
            <w:shd w:fill="FFFFFF" w:val="clear"/>
            <w:tcMar>
              <w:bottom w:w="28" w:type="dxa"/>
            </w:tcM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December 31, 2021</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29"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29,716</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rPr/>
            </w:pPr>
            <w:r>
              <w:rPr/>
              <w:t> </w:t>
            </w:r>
          </w:p>
        </w:tc>
        <w:tc>
          <w:tcPr>
            <w:tcW w:w="436"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271,861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rPr/>
            </w:pPr>
            <w:r>
              <w:rPr/>
              <w:t> </w:t>
            </w:r>
          </w:p>
        </w:tc>
        <w:tc>
          <w:tcPr>
            <w:tcW w:w="844"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841"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(236,200</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877" w:type="dxa"/>
            <w:tcBorders/>
            <w:shd w:fill="CCEE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35,690</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in Rights Offering, net of issuance costs of $136</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ind w:left="0" w:right="0" w:hanging="0"/>
              <w:rPr/>
            </w:pPr>
            <w:r>
              <w:rPr/>
              <w:t> </w:t>
            </w:r>
          </w:p>
        </w:tc>
        <w:tc>
          <w:tcPr>
            <w:tcW w:w="529"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7,317</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ind w:left="0" w:right="0" w:hanging="0"/>
              <w:rPr/>
            </w:pPr>
            <w:r>
              <w:rPr/>
              <w:t> </w:t>
            </w:r>
          </w:p>
        </w:tc>
        <w:tc>
          <w:tcPr>
            <w:tcW w:w="436"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ind w:left="0" w:right="0" w:hanging="0"/>
              <w:rPr/>
            </w:pPr>
            <w:r>
              <w:rPr/>
              <w:t> </w:t>
            </w:r>
          </w:p>
        </w:tc>
        <w:tc>
          <w:tcPr>
            <w:tcW w:w="665"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14,857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ind w:left="0" w:right="0" w:hanging="0"/>
              <w:rPr/>
            </w:pPr>
            <w:r>
              <w:rPr/>
              <w:t> </w:t>
            </w:r>
          </w:p>
        </w:tc>
        <w:tc>
          <w:tcPr>
            <w:tcW w:w="84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84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877" w:type="dxa"/>
            <w:tcBorders/>
            <w:shd w:fill="FFFF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14,864</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under employee stock purchase plan</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188</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486</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of shares upon exercise of warrants</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529"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14</w:t>
            </w:r>
          </w:p>
        </w:tc>
        <w:tc>
          <w:tcPr>
            <w:tcW w:w="61"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436"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65"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shd w:fill="FFFFFF" w:val="clear"/>
            <w:vAlign w:val="center"/>
          </w:tcPr>
          <w:p>
            <w:pPr>
              <w:pStyle w:val="TableContents"/>
              <w:spacing w:before="0" w:after="283"/>
              <w:rPr/>
            </w:pPr>
            <w:r>
              <w:rPr/>
              <w:t> </w:t>
            </w:r>
          </w:p>
        </w:tc>
        <w:tc>
          <w:tcPr>
            <w:tcW w:w="844"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841"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877" w:type="dxa"/>
            <w:tcBorders/>
            <w:shd w:fill="FFFFFF" w:val="clear"/>
            <w:vAlign w:val="center"/>
          </w:tcPr>
          <w:p>
            <w:pPr>
              <w:pStyle w:val="TableContents"/>
              <w:spacing w:before="0" w:after="283"/>
              <w:jc w:val="right"/>
              <w:rPr>
                <w:rFonts w:ascii="Times New Roman;Times;serif" w:hAnsi="Times New Roman;Times;serif"/>
                <w:sz w:val="18"/>
              </w:rPr>
            </w:pPr>
            <w:r>
              <w:rPr>
                <w:rFonts w:ascii="Times New Roman;Times;serif" w:hAnsi="Times New Roman;Times;serif"/>
                <w:sz w:val="18"/>
              </w:rPr>
              <w:t>26</w:t>
            </w:r>
          </w:p>
        </w:tc>
        <w:tc>
          <w:tcPr>
            <w:tcW w:w="85" w:type="dxa"/>
            <w:tcBorders/>
            <w:shd w:fill="FFFFFF" w:val="clear"/>
            <w:vAlign w:val="center"/>
          </w:tcPr>
          <w:p>
            <w:pPr>
              <w:pStyle w:val="TableContents"/>
              <w:spacing w:before="0" w:after="283"/>
              <w:rPr/>
            </w:pPr>
            <w:r>
              <w:rPr/>
              <w:t> </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pPr>
            <w:r>
              <w:rPr>
                <w:rStyle w:val="Emphasis"/>
              </w:rPr>
              <w:t>—</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184" w:type="dxa"/>
            <w:tcBorders/>
            <w:shd w:fill="CCEEFF" w:val="clear"/>
            <w:vAlign w:val="center"/>
          </w:tcPr>
          <w:p>
            <w:pPr>
              <w:pStyle w:val="TableContents"/>
              <w:spacing w:before="0" w:after="283"/>
              <w:ind w:left="0" w:right="0" w:hanging="0"/>
              <w:rPr/>
            </w:pPr>
            <w:r>
              <w:rPr/>
              <w:t> </w:t>
            </w:r>
          </w:p>
        </w:tc>
        <w:tc>
          <w:tcPr>
            <w:tcW w:w="436"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5,191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3" w:type="dxa"/>
            <w:tcBorders/>
            <w:shd w:fill="CCEEFF" w:val="clear"/>
            <w:vAlign w:val="center"/>
          </w:tcPr>
          <w:p>
            <w:pPr>
              <w:pStyle w:val="TableContents"/>
              <w:spacing w:before="0" w:after="283"/>
              <w:ind w:left="0" w:right="0" w:hanging="0"/>
              <w:rPr/>
            </w:pPr>
            <w:r>
              <w:rPr/>
              <w:t> </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84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5,191</w:t>
            </w:r>
          </w:p>
        </w:tc>
        <w:tc>
          <w:tcPr>
            <w:tcW w:w="85" w:type="dxa"/>
            <w:tcBorders/>
            <w:shd w:fill="CCEEFF" w:val="clear"/>
            <w:vAlign w:val="center"/>
          </w:tcPr>
          <w:p>
            <w:pPr>
              <w:pStyle w:val="TableContents"/>
              <w:spacing w:before="0" w:after="283"/>
              <w:rPr/>
            </w:pPr>
            <w:r>
              <w:rPr/>
              <w:t> </w:t>
            </w:r>
          </w:p>
        </w:tc>
      </w:tr>
      <w:tr>
        <w:trPr/>
        <w:tc>
          <w:tcPr>
            <w:tcW w:w="4103"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spacing w:before="0" w:after="283"/>
              <w:rPr/>
            </w:pPr>
            <w:r>
              <w:rPr/>
              <w:t> </w:t>
            </w:r>
          </w:p>
        </w:tc>
        <w:tc>
          <w:tcPr>
            <w:tcW w:w="6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1" w:type="dxa"/>
            <w:tcBorders>
              <w:bottom w:val="single" w:sz="2" w:space="0" w:color="000000"/>
            </w:tcBorders>
            <w:shd w:fill="FFFFFF" w:val="clear"/>
            <w:tcMar>
              <w:bottom w:w="28" w:type="dxa"/>
            </w:tcM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c>
          <w:tcPr>
            <w:tcW w:w="18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6"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(58,505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(58,505</w:t>
            </w:r>
          </w:p>
        </w:tc>
        <w:tc>
          <w:tcPr>
            <w:tcW w:w="85" w:type="dxa"/>
            <w:tcBorders>
              <w:bottom w:val="single" w:sz="2" w:space="0" w:color="000000"/>
            </w:tcBorders>
            <w:shd w:fill="FFFFFF" w:val="clear"/>
            <w:tcMar>
              <w:bottom w:w="28"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r>
        <w:trPr/>
        <w:tc>
          <w:tcPr>
            <w:tcW w:w="4103"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2022</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529"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37,235</w:t>
            </w:r>
          </w:p>
        </w:tc>
        <w:tc>
          <w:tcPr>
            <w:tcW w:w="61"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ind w:left="0" w:right="0" w:hanging="0"/>
              <w:rPr/>
            </w:pPr>
            <w:r>
              <w:rPr/>
              <w:t> </w:t>
            </w:r>
          </w:p>
        </w:tc>
        <w:tc>
          <w:tcPr>
            <w:tcW w:w="184"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292,420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33"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(294,705</w:t>
            </w:r>
          </w:p>
        </w:tc>
        <w:tc>
          <w:tcPr>
            <w:tcW w:w="80"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Times;serif" w:hAnsi="Times New Roman;Times;serif"/>
                <w:sz w:val="18"/>
              </w:rPr>
            </w:pPr>
            <w:r>
              <w:rPr>
                <w:rFonts w:ascii="Times New Roman;Times;serif" w:hAnsi="Times New Roman;Times;serif"/>
                <w:sz w:val="18"/>
              </w:rPr>
              <w:t>$</w:t>
            </w:r>
          </w:p>
        </w:tc>
        <w:tc>
          <w:tcPr>
            <w:tcW w:w="877" w:type="dxa"/>
            <w:tcBorders/>
            <w:shd w:fill="CCEEFF" w:val="clear"/>
            <w:vAlign w:val="center"/>
          </w:tcPr>
          <w:p>
            <w:pPr>
              <w:pStyle w:val="TableContents"/>
              <w:spacing w:before="0" w:after="283"/>
              <w:ind w:left="0" w:right="0" w:hanging="0"/>
              <w:jc w:val="right"/>
              <w:rPr>
                <w:rFonts w:ascii="Times New Roman;Times;serif" w:hAnsi="Times New Roman;Times;serif"/>
                <w:sz w:val="18"/>
              </w:rPr>
            </w:pPr>
            <w:r>
              <w:rPr>
                <w:rFonts w:ascii="Times New Roman;Times;serif" w:hAnsi="Times New Roman;Times;serif"/>
                <w:sz w:val="18"/>
              </w:rPr>
              <w:t>(2,248</w:t>
            </w:r>
          </w:p>
        </w:tc>
        <w:tc>
          <w:tcPr>
            <w:tcW w:w="85" w:type="dxa"/>
            <w:tcBorders/>
            <w:shd w:fill="CCEEFF"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8" w:name="cf"/>
      <w:bookmarkEnd w:id="18"/>
      <w:r>
        <w:rPr>
          <w:rFonts w:ascii="Times New Roman" w:hAnsi="Times New Roman"/>
          <w:b/>
          <w:caps w:val="false"/>
          <w:smallCaps w:val="false"/>
          <w:sz w:val="20"/>
        </w:rPr>
        <w:t>PULSE BIOSCIENCES,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60"/>
        <w:gridCol w:w="60"/>
        <w:gridCol w:w="125"/>
        <w:gridCol w:w="650"/>
        <w:gridCol w:w="80"/>
        <w:gridCol w:w="60"/>
        <w:gridCol w:w="125"/>
        <w:gridCol w:w="650"/>
        <w:gridCol w:w="80"/>
        <w:gridCol w:w="60"/>
        <w:gridCol w:w="125"/>
        <w:gridCol w:w="650"/>
        <w:gridCol w:w="80"/>
      </w:tblGrid>
      <w:tr>
        <w:trPr/>
        <w:tc>
          <w:tcPr>
            <w:tcW w:w="7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430</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10,075</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Write-off of excessive and obsolete inventory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8,477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premium amortization and discount on available-for-sale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Loss on disposal of fixed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Gain on U.S. Treasury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(2,653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(5,824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Other long-term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2,830</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interest on related party note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Accrued interest on note payable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spacing w:before="0" w:after="0"/>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658</w:t>
            </w:r>
          </w:p>
        </w:tc>
        <w:tc>
          <w:tcPr>
            <w:tcW w:w="80" w:type="dxa"/>
            <w:tcBorders>
              <w:bottom w:val="single" w:sz="2" w:space="0" w:color="000000"/>
            </w:tcBorders>
            <w:shd w:fill="CCEEFF" w:val="clear"/>
            <w:tcMar>
              <w:bottom w:w="28" w:type="dxa"/>
            </w:tcMar>
            <w:vAlign w:val="center"/>
          </w:tcPr>
          <w:p>
            <w:pPr>
              <w:pStyle w:val="TableContents"/>
              <w:spacing w:before="0" w:after="0"/>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0"/>
              <w:rPr/>
            </w:pPr>
            <w:r>
              <w:rPr/>
              <w:t> </w:t>
            </w:r>
          </w:p>
        </w:tc>
      </w:tr>
      <w:tr>
        <w:trPr/>
        <w:tc>
          <w:tcPr>
            <w:tcW w:w="746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(47,013</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(54,097</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(35,365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Purchases of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(29,025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Maturities of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35,000</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Sales of investments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issuance of common stock under employee stock purchase plan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490</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exercises of warrants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4,217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exercises of stock options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717</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issuance of common stock</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56,697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29,434</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Proceeds from issuance of related party note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65,000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Proceeds from insurance loan agreement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Payments made on insurance loan agreement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Tax payments related to shares withheld for vested restricted stock units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79,939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62,685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30,885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Net increase in cash and cash equivalents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5,564</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28,614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12,463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6,899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61,139</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28,614</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12,463</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Supplemental disclosure of noncash investing and financing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Other receivable from exercise of warrants and stock options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1,053</w:t>
            </w:r>
          </w:p>
        </w:tc>
        <w:tc>
          <w:tcPr>
            <w:tcW w:w="80" w:type="dxa"/>
            <w:tcBorders/>
            <w:shd w:fill="FFFF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Change in unrealized gains on available-for-sale securities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4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Equipment purchases included in accounts payable and accrued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20</w:t>
            </w:r>
          </w:p>
        </w:tc>
        <w:tc>
          <w:tcPr>
            <w:tcW w:w="80" w:type="dxa"/>
            <w:tcBorders/>
            <w:shd w:fill="FFFFFF" w:val="clear"/>
            <w:vAlign w:val="center"/>
          </w:tcPr>
          <w:p>
            <w:pPr>
              <w:pStyle w:val="TableContents"/>
              <w:spacing w:before="0" w:after="283"/>
              <w:rPr/>
            </w:pPr>
            <w:r>
              <w:rPr/>
              <w:t> </w:t>
            </w:r>
          </w:p>
        </w:tc>
      </w:tr>
      <w:tr>
        <w:trPr/>
        <w:tc>
          <w:tcPr>
            <w:tcW w:w="74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Accrued interest settled via issuance of common stock from private placement equity offering</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consolidated financial statements.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19" w:name="notes"/>
      <w:bookmarkEnd w:id="19"/>
      <w:r>
        <w:rPr>
          <w:rFonts w:ascii="Times New Roman" w:hAnsi="Times New Roman"/>
          <w:b/>
          <w:caps w:val="false"/>
          <w:smallCaps w:val="false"/>
          <w:sz w:val="20"/>
        </w:rPr>
        <w:t>PULSE BIOSCIENCES,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Pulse Biosciences, Inc. is a novel bioelectric medicine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targeted cells while sparing adjacent noncellular tissue. NPS technology, also referred to as a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its efforts on the use of nsPFA and the CellFX platform in the treatment of atrial fibrillation (“AF”)</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Company was incorporated in Nevada on </w:t>
      </w:r>
      <w:r>
        <w:rPr>
          <w:rStyle w:val="Emphasis"/>
          <w:rFonts w:ascii="Times New Roman" w:hAnsi="Times New Roman"/>
          <w:caps w:val="false"/>
          <w:smallCaps w:val="false"/>
          <w:sz w:val="20"/>
        </w:rPr>
        <w:t xml:space="preserve">May 19,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2018, </w:t>
      </w:r>
      <w:r>
        <w:rPr>
          <w:rFonts w:ascii="Times New Roman" w:hAnsi="Times New Roman"/>
          <w:caps w:val="false"/>
          <w:smallCaps w:val="false"/>
          <w:sz w:val="20"/>
        </w:rPr>
        <w:t>the Company reincorporated from the State of Nevada to the State of Delaware. The Company is located in Hayward, California.</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has minimal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Certain prior period balances have been reclassified to conform to the current period presentation in the consolidated financial statements and the accompanying notes. Sales and marketing expenses are reclassified out of general and administrative expenses, both of which are presented as separate line items. Amortization of intangible assets are reclassified to 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preparation of financial statements in conformity with U.S. GAAP requires the Company to make estimates that affect the amounts reported in the financial statements and accompanying notes to the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valuation and recognition of share-based compensation,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 of Credit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financial institution or issuer. Deposits held with banks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amount of insurance provided on such deposits.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since inception.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believes the carrying amounts of its financial instruments, including cash equivalents, prepaid expenses and other current assets, accounts payable and accrued expenses, approximate fair value due to the short-term nature of such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43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invests its cash primarily in money market funds. The Company considers all highly liquid investments purchased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balance sheet and the resulting gain or loss is reflected in operating expenses. Maintenance and repairs are charged to operations as incurred.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Valuation of 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inventory balance has been fully written off due to excessive and obsolete 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Company’s intangible assets consist of acquired patents and licenses, which are amortized over their estimated useful lives of twelve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Long-Lived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reviews long-lived assets, consisting of property and equipment and intangible assets, for impairment during each fiscal year or when events or changes in circumstances indicate the carrying value of these assets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records goodwill when the consideration paid in a business acquisition exceeds the fair value of the net tangible assets and the identified intangible assets acquired. The Company reviews goodwill for impairment at the reporting unit level at least annually or whenever changes in circumstances indicate that the carrying value of the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To date, there has been no impairment of 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from Contracts with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Sales contracts often involve the sale and delivery of multiple products, each of which typically represent a separate performance obligation in the contract. While the Company sells these products on a stand-alone basis at their respective SSP, initial customer contracts will likely involve the bundling of products which will be delivered concurrently to the customer. In such instances, the full consideration of the contract will be recognized upon shipment of the products. The Company generally requires receipt of full payment prior to shipment, however, from time to time, payment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extended to customers upon which the Company will perform a necessary credit evaluation to ensure future collectability of the outstanding balance.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Product Warranty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provides a standard warranty on eligible products which provides the customer assurances that the products comply with the agreed-upon specifications. The standard warranty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any services in addition to those assurances. The Company accrues a warranty reserve for products sold based upon the best estimate of the nature, frequency, and costs of future claims. These estimates are inherently uncertain given the short history of sales, and changes to the historical or projected warranty experience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cause material changes to the warranty reserve in the future. The warranty reserve is included within Accrued expenses on the consolidated balance sheets. Warranty expense is recorded as a component of Cost of Revenues in the consolidated statements of operations and 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Warranty accrual activity consisted of the following (in thousands):</w:t>
      </w:r>
    </w:p>
    <w:p>
      <w:pPr>
        <w:pStyle w:val="TextBody"/>
        <w:spacing w:before="0" w:after="0"/>
        <w:ind w:left="0" w:right="0" w:hanging="0"/>
        <w:rPr>
          <w:caps w:val="false"/>
          <w:smallCaps w:val="false"/>
        </w:rPr>
      </w:pPr>
      <w:r>
        <w:rPr>
          <w:caps w:val="false"/>
          <w:smallCaps w:val="false"/>
        </w:rPr>
        <w:t> </w:t>
      </w:r>
    </w:p>
    <w:tbl>
      <w:tblPr>
        <w:tblW w:w="8481" w:type="dxa"/>
        <w:jc w:val="left"/>
        <w:tblInd w:w="0" w:type="dxa"/>
        <w:tblCellMar>
          <w:top w:w="0" w:type="dxa"/>
          <w:left w:w="0" w:type="dxa"/>
          <w:bottom w:w="0" w:type="dxa"/>
          <w:right w:w="0" w:type="dxa"/>
        </w:tblCellMar>
      </w:tblPr>
      <w:tblGrid>
        <w:gridCol w:w="6200"/>
        <w:gridCol w:w="60"/>
        <w:gridCol w:w="287"/>
        <w:gridCol w:w="667"/>
        <w:gridCol w:w="184"/>
        <w:gridCol w:w="138"/>
        <w:gridCol w:w="287"/>
        <w:gridCol w:w="598"/>
        <w:gridCol w:w="60"/>
      </w:tblGrid>
      <w:tr>
        <w:trPr/>
        <w:tc>
          <w:tcPr>
            <w:tcW w:w="62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1"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62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84" w:type="dxa"/>
            <w:tcBorders>
              <w:bottom w:val="single" w:sz="2" w:space="0" w:color="000000"/>
            </w:tcBorders>
            <w:shd w:fill="FFFFFF" w:val="clear"/>
            <w:tcMar>
              <w:bottom w:w="28" w:type="dxa"/>
            </w:tcM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8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spacing w:before="0" w:after="283"/>
              <w:ind w:left="0" w:right="0" w:hanging="0"/>
              <w:rPr/>
            </w:pPr>
            <w:r>
              <w:rPr/>
              <w:t> </w:t>
            </w:r>
          </w:p>
        </w:tc>
        <w:tc>
          <w:tcPr>
            <w:tcW w:w="28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184"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28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620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Add: Accruals for warranties issued during the period</w:t>
            </w:r>
          </w:p>
        </w:tc>
        <w:tc>
          <w:tcPr>
            <w:tcW w:w="60"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ind w:left="0" w:right="0" w:hanging="0"/>
              <w:rPr/>
            </w:pPr>
            <w:r>
              <w:rPr/>
              <w:t> </w:t>
            </w:r>
          </w:p>
        </w:tc>
        <w:tc>
          <w:tcPr>
            <w:tcW w:w="66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184"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ind w:left="0" w:right="0" w:hanging="0"/>
              <w:rPr/>
            </w:pPr>
            <w:r>
              <w:rPr/>
              <w:t> </w:t>
            </w:r>
          </w:p>
        </w:tc>
        <w:tc>
          <w:tcPr>
            <w:tcW w:w="5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Less: Adjustment for inventory at cost and excessive and obsolete inventory</w:t>
            </w:r>
          </w:p>
        </w:tc>
        <w:tc>
          <w:tcPr>
            <w:tcW w:w="60" w:type="dxa"/>
            <w:tcBorders/>
            <w:shd w:fill="CCEEFF" w:val="clear"/>
            <w:vAlign w:val="center"/>
          </w:tcPr>
          <w:p>
            <w:pPr>
              <w:pStyle w:val="TableContents"/>
              <w:spacing w:before="0" w:after="283"/>
              <w:rPr/>
            </w:pPr>
            <w:r>
              <w:rPr/>
              <w:t> </w:t>
            </w:r>
          </w:p>
        </w:tc>
        <w:tc>
          <w:tcPr>
            <w:tcW w:w="2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184"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138" w:type="dxa"/>
            <w:tcBorders/>
            <w:shd w:fill="CCEEFF" w:val="clear"/>
            <w:vAlign w:val="center"/>
          </w:tcPr>
          <w:p>
            <w:pPr>
              <w:pStyle w:val="TableContents"/>
              <w:spacing w:before="0" w:after="283"/>
              <w:rPr/>
            </w:pPr>
            <w:r>
              <w:rPr/>
              <w:t> </w:t>
            </w:r>
          </w:p>
        </w:tc>
        <w:tc>
          <w:tcPr>
            <w:tcW w:w="2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62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spacing w:before="0" w:after="283"/>
              <w:ind w:left="0" w:right="0" w:hanging="0"/>
              <w:rPr/>
            </w:pPr>
            <w:r>
              <w:rPr/>
              <w:t> </w:t>
            </w:r>
          </w:p>
        </w:tc>
        <w:tc>
          <w:tcPr>
            <w:tcW w:w="28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184" w:type="dxa"/>
            <w:tcBorders>
              <w:bottom w:val="double" w:sz="6" w:space="0" w:color="000000"/>
            </w:tcBorders>
            <w:shd w:fill="FFFFFF" w:val="clear"/>
            <w:tcMar>
              <w:bottom w:w="28" w:type="dxa"/>
            </w:tcM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ind w:left="0" w:right="0" w:hanging="0"/>
              <w:rPr/>
            </w:pPr>
            <w:r>
              <w:rPr/>
              <w:t> </w:t>
            </w:r>
          </w:p>
        </w:tc>
        <w:tc>
          <w:tcPr>
            <w:tcW w:w="28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44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recognizes the cost of stock-based compensation in the financial statements based upon fair value. The fair value of stock options is determined as of the grant date using the Black-Scholes option pricing model. The fair value of Restricted Stock Units (“RSU”) awards is determined based on the number of units granted and the closing price of the Company’s common stock on the grant date. The fair value of each purchase under the employee stock purchase plan (“ESPP”) is estimated at the beginning of the offering period using the Black-Scholes option pricing model. The Company’s determination of the fair value of equity-settled awards is impacted by the price of the Company’s common stock as well as changes in assumptions regarding a number of complex and subjective variables. These variables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expected term that awards will remain outstanding, expected common stock price volatility over the term of the awards, risk-free interest rates and expected dividends. The fair value of an award is recognized over the period during which service is required to be performed in exchange for the award, the requisite service period (usually the vesting period) on a straight-line basis. The Company accounts for all equity instruments awarded to non-employees at the fair value of the award issued on the day of the grant. The fair value of these equity instruments are expensed over the requisite service period. Certain stock options awarded to the Company’s executives and other key employees contain performance conditions related to certain financial measures and achievements of strategic/operational milestones (“performance options”). These performance options can contain both service and performance-based vesting conditions. The fair value of these performance options is recognized using the graded vesting method over the requisite service period beginning in the period in which the awards are deemed probable to vest, to the extent such awards are probable to vest.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Estimates of the fair value of equity-settled awards as of the grant date using valuation models, such as the Black-Scholes option pricing model, are affected by assumptions regarding a number of complex variables. Changes in the assumptions can materially affect the fair value of the award and the stock-based compensation expense recognized. These inputs are subjective and generally require significant analysis and judgment to develop. The Company determines the volatility factor based on its own historical volatility. The risk-free interest rate is based on the yield available on U.S. Treasury </w:t>
      </w:r>
      <w:r>
        <w:rPr>
          <w:rStyle w:val="Emphasis"/>
          <w:rFonts w:ascii="Times New Roman" w:hAnsi="Times New Roman"/>
          <w:caps w:val="false"/>
          <w:smallCaps w:val="false"/>
          <w:sz w:val="20"/>
        </w:rPr>
        <w:t>zero</w:t>
      </w:r>
      <w:r>
        <w:rPr>
          <w:rFonts w:ascii="Times New Roman" w:hAnsi="Times New Roman"/>
          <w:caps w:val="false"/>
          <w:smallCaps w:val="false"/>
          <w:sz w:val="20"/>
        </w:rPr>
        <w:t>-coupon issues similar in duration to the expected term of the equity-settled award. For all stock options granted to date, the Company used the simplified method to calculate the expected term, which is the average of the contractual term and vesting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for a detailed discussion of the Company’s stock plans and stock-based compensation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 unless the achievement of milestones, the completion of contracted work, or other information indicates that a different expensing schedule is more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Patent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is the owner of numerous domestic and foreign patents. Due to the significant uncertainty associated with the successful development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commercially viable products based on the Company’s research efforts and any related patent applications, patent costs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acquired patents, including patent-related legal fees, filing fees and other costs, including internally generated costs, are expensed as incurred. During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patent costs totaled $0.5 million, $0.6 million and $0.5 million, respectively. Patent costs are included in general and administrative costs in the consolidated statements of operations and 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jc w:val="both"/>
        <w:rPr/>
      </w:pPr>
      <w:r>
        <w:rPr>
          <w:rFonts w:ascii="Times New Roman" w:hAnsi="Times New Roman"/>
          <w:caps w:val="false"/>
          <w:smallCaps w:val="false"/>
          <w:sz w:val="20"/>
        </w:rPr>
        <w:t>The Company records a valuation allowance to reduce its deferred tax assets to the amount that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realize all or part of its deferred tax assets in the future, an adjustment to the deferred tax assets would be charged to operations in the period such determination was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is subject to U.S. federal income taxes and state income taxes in various states. As the Company’s net operating losses have yet to be utilized, previous tax years remain open to examination by federal authorities and other jurisdictions in which the Company currently operates or has operated in the past.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under examination by any tax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by the taxing authority as of the reporting date. If the tax position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then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benefits of the position are recognized.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had not recorded any liability for uncertain tax positions. The Company includes interest and penalties related to uncertain tax positions as a component of income tax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Comprehensive loss consists of net loss and unrealized gains or losses on available-for-sale investments. The Company displays comprehensive loss and its components as part of the consolidated statements of operations and 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w:t>
      </w:r>
      <w:r>
        <w:rPr>
          <w:rFonts w:ascii="Times New Roman" w:hAnsi="Times New Roman"/>
          <w:i/>
          <w:caps w:val="false"/>
          <w:smallCaps w:val="false"/>
          <w:sz w:val="20"/>
        </w:rPr>
        <w:t>i.e.</w:t>
      </w:r>
      <w:r>
        <w:rPr>
          <w:rFonts w:ascii="Times New Roman" w:hAnsi="Times New Roman"/>
          <w:caps w:val="false"/>
          <w:smallCaps w:val="false"/>
          <w:sz w:val="20"/>
        </w:rPr>
        <w:t>, those that increase income per share or decrease loss per share) are excluded from the calculation of diluted 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outstanding stock options, warrants, and RSUs to purchase common stock were excluded from the computation of diluted net loss per share for the periods presented because including them would have had an anti-dilutive effect:</w:t>
      </w:r>
    </w:p>
    <w:p>
      <w:pPr>
        <w:pStyle w:val="TextBody"/>
        <w:spacing w:before="0" w:after="0"/>
        <w:ind w:left="0" w:right="0" w:hanging="0"/>
        <w:rPr>
          <w:caps w:val="false"/>
          <w:smallCaps w:val="false"/>
        </w:rPr>
      </w:pPr>
      <w:r>
        <w:rPr>
          <w:caps w:val="false"/>
          <w:smallCaps w:val="false"/>
        </w:rPr>
        <w:t> </w:t>
      </w:r>
    </w:p>
    <w:tbl>
      <w:tblPr>
        <w:tblW w:w="5150" w:type="dxa"/>
        <w:jc w:val="left"/>
        <w:tblInd w:w="0" w:type="dxa"/>
        <w:tblCellMar>
          <w:top w:w="0" w:type="dxa"/>
          <w:left w:w="0" w:type="dxa"/>
          <w:bottom w:w="0" w:type="dxa"/>
          <w:right w:w="0" w:type="dxa"/>
        </w:tblCellMar>
      </w:tblPr>
      <w:tblGrid>
        <w:gridCol w:w="1970"/>
        <w:gridCol w:w="60"/>
        <w:gridCol w:w="60"/>
        <w:gridCol w:w="950"/>
        <w:gridCol w:w="60"/>
        <w:gridCol w:w="60"/>
        <w:gridCol w:w="60"/>
        <w:gridCol w:w="845"/>
        <w:gridCol w:w="60"/>
        <w:gridCol w:w="60"/>
        <w:gridCol w:w="60"/>
        <w:gridCol w:w="845"/>
        <w:gridCol w:w="60"/>
      </w:tblGrid>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6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stock warrants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7,303,832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612,310</w:t>
            </w:r>
          </w:p>
        </w:tc>
        <w:tc>
          <w:tcPr>
            <w:tcW w:w="60" w:type="dxa"/>
            <w:tcBorders/>
            <w:shd w:fill="CCEEFF" w:val="cle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5,250,696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5,996,813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5,039,194</w:t>
            </w:r>
          </w:p>
        </w:tc>
        <w:tc>
          <w:tcPr>
            <w:tcW w:w="60" w:type="dxa"/>
            <w:tcBorders/>
            <w:shd w:fill="FFFFFF"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111,305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19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12,554,528</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5,996,813</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5,762,809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and Geographical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The Company operates in one segment and reports segment information in accordance with ASC </w:t>
      </w:r>
      <w:r>
        <w:rPr>
          <w:rStyle w:val="Emphasis"/>
          <w:rFonts w:ascii="Times New Roman" w:hAnsi="Times New Roman"/>
          <w:caps w:val="false"/>
          <w:smallCaps w:val="false"/>
          <w:sz w:val="20"/>
        </w:rPr>
        <w:t>280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Segment Reporting</w:t>
      </w:r>
      <w:r>
        <w:rPr>
          <w:rFonts w:ascii="Times New Roman" w:hAnsi="Times New Roman"/>
          <w:caps w:val="false"/>
          <w:smallCaps w:val="false"/>
          <w:sz w:val="20"/>
        </w:rPr>
        <w:t>. Management uses </w:t>
      </w:r>
      <w:r>
        <w:rPr>
          <w:rStyle w:val="Emphasis"/>
          <w:rFonts w:ascii="Times New Roman" w:hAnsi="Times New Roman"/>
          <w:caps w:val="false"/>
          <w:smallCaps w:val="false"/>
          <w:sz w:val="20"/>
        </w:rPr>
        <w:t>one</w:t>
      </w:r>
      <w:r>
        <w:rPr>
          <w:rFonts w:ascii="Times New Roman" w:hAnsi="Times New Roman"/>
          <w:caps w:val="false"/>
          <w:smallCaps w:val="false"/>
          <w:sz w:val="20"/>
        </w:rPr>
        <w:t> measurement of profitability and does </w:t>
      </w:r>
      <w:r>
        <w:rPr>
          <w:rStyle w:val="Emphasis"/>
          <w:rFonts w:ascii="Times New Roman" w:hAnsi="Times New Roman"/>
          <w:caps w:val="false"/>
          <w:smallCaps w:val="false"/>
          <w:sz w:val="20"/>
        </w:rPr>
        <w:t>not</w:t>
      </w:r>
      <w:r>
        <w:rPr>
          <w:rFonts w:ascii="Times New Roman" w:hAnsi="Times New Roman"/>
          <w:caps w:val="false"/>
          <w:smallCaps w:val="false"/>
          <w:sz w:val="20"/>
        </w:rPr>
        <w:t> segregate its business for internal reporting, however in making certain operating decisions and assessing performance, management will additionally review the disaggregated revenue results by product and geography. The Company’s Chief Executive Officer acts as the chief operating decision makers (“CODM”) of the Company. As of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i/>
          <w:caps w:val="false"/>
          <w:smallCaps w:val="false"/>
          <w:sz w:val="20"/>
        </w:rPr>
        <w:t>,</w:t>
      </w:r>
      <w:r>
        <w:rPr>
          <w:rFonts w:ascii="Times New Roman" w:hAnsi="Times New Roman"/>
          <w:caps w:val="false"/>
          <w:smallCaps w:val="false"/>
          <w:sz w:val="20"/>
        </w:rPr>
        <w:t> 100% of long-lived assets were in the United States. Revenue is attributed to a geographic region based on the location of the end customer.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pPr>
      <w:r>
        <w:rPr>
          <w:rFonts w:ascii="Times New Roman" w:hAnsi="Times New Roman"/>
          <w:caps w:val="false"/>
          <w:smallCaps w:val="false"/>
          <w:sz w:val="20"/>
        </w:rPr>
        <w:t>See Note </w:t>
      </w:r>
      <w:r>
        <w:rPr>
          <w:rStyle w:val="Emphasis"/>
          <w:rFonts w:ascii="Times New Roman" w:hAnsi="Times New Roman"/>
          <w:caps w:val="false"/>
          <w:smallCaps w:val="false"/>
          <w:sz w:val="20"/>
        </w:rPr>
        <w:t>10</w:t>
      </w:r>
      <w:r>
        <w:rPr>
          <w:rFonts w:ascii="Times New Roman" w:hAnsi="Times New Roman"/>
          <w:caps w:val="false"/>
          <w:smallCaps w:val="false"/>
          <w:sz w:val="20"/>
        </w:rPr>
        <w:t> for details of revenue by product and geography.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Recent Accounting Pronouncements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2014,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requiring an entity to recognize the amount of revenue to which it expects to be entitled for the transfer of promised goods or services to customers. This updated standard became effective for the Company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year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began to recognize revenue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using this updated standard.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additional details of the revenue recognition approach.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2018,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Collaborative Arrangements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Clarifying the Interaction between Topic </w:t>
      </w:r>
      <w:r>
        <w:rPr>
          <w:rStyle w:val="Emphasis"/>
          <w:rFonts w:ascii="Times New Roman" w:hAnsi="Times New Roman"/>
          <w:i/>
          <w:caps w:val="false"/>
          <w:smallCaps w:val="false"/>
          <w:sz w:val="20"/>
        </w:rPr>
        <w:t>808</w:t>
      </w:r>
      <w:r>
        <w:rPr>
          <w:rFonts w:ascii="Times New Roman" w:hAnsi="Times New Roman"/>
          <w:i/>
          <w:caps w:val="false"/>
          <w:smallCaps w:val="false"/>
          <w:sz w:val="20"/>
        </w:rPr>
        <w:t xml:space="preserve"> (Collaborative Arrangements) and Topic </w:t>
      </w:r>
      <w:r>
        <w:rPr>
          <w:rStyle w:val="Emphasis"/>
          <w:rFonts w:ascii="Times New Roman" w:hAnsi="Times New Roman"/>
          <w:i/>
          <w:caps w:val="false"/>
          <w:smallCaps w:val="false"/>
          <w:sz w:val="20"/>
        </w:rPr>
        <w:t>606</w:t>
      </w:r>
      <w:r>
        <w:rPr>
          <w:rFonts w:ascii="Times New Roman" w:hAnsi="Times New Roman"/>
          <w:i/>
          <w:caps w:val="false"/>
          <w:smallCaps w:val="false"/>
          <w:sz w:val="20"/>
        </w:rPr>
        <w:t xml:space="preserve"> (Revenue from Contracts with Customers)</w:t>
      </w:r>
      <w:r>
        <w:rPr>
          <w:rFonts w:ascii="Times New Roman" w:hAnsi="Times New Roman"/>
          <w:caps w:val="false"/>
          <w:smallCaps w:val="false"/>
          <w:sz w:val="20"/>
        </w:rPr>
        <w:t xml:space="preserve">, which clarifies the interaction between ASC </w:t>
      </w:r>
      <w:r>
        <w:rPr>
          <w:rStyle w:val="Emphasis"/>
          <w:rFonts w:ascii="Times New Roman" w:hAnsi="Times New Roman"/>
          <w:caps w:val="false"/>
          <w:smallCaps w:val="false"/>
          <w:sz w:val="20"/>
        </w:rPr>
        <w:t>808,</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Collaborative Arrangements </w:t>
      </w:r>
      <w:r>
        <w:rPr>
          <w:rFonts w:ascii="Times New Roman" w:hAnsi="Times New Roman"/>
          <w:caps w:val="false"/>
          <w:smallCaps w:val="false"/>
          <w:sz w:val="20"/>
        </w:rPr>
        <w:t xml:space="preserve">and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ASU clarifies that certain transactions between participants in a collaborative arrangement should be accounted for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when the counterparty is a customer. In addition, the ASU precludes an entity from presenting consideration from a transaction in a collaborative arrangement as revenue if the counterparty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customer for that transaction. The Company adopted the standard on </w:t>
      </w:r>
      <w:r>
        <w:rPr>
          <w:rStyle w:val="Emphasis"/>
          <w:rFonts w:ascii="Times New Roman" w:hAnsi="Times New Roman"/>
          <w:caps w:val="false"/>
          <w:smallCaps w:val="false"/>
          <w:sz w:val="20"/>
        </w:rPr>
        <w:t xml:space="preserve">January 1, 2020, </w:t>
      </w:r>
      <w:r>
        <w:rPr>
          <w:rFonts w:ascii="Times New Roman" w:hAnsi="Times New Roman"/>
          <w:caps w:val="false"/>
          <w:smallCaps w:val="false"/>
          <w:sz w:val="20"/>
        </w:rPr>
        <w:t xml:space="preserve">however,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revenue until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 xml:space="preserve">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collaborative arrangements in place. The adoption of the new standard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2019</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Simplifying the Accounting for Income Taxes</w:t>
      </w:r>
      <w:r>
        <w:rPr>
          <w:rFonts w:ascii="Times New Roman" w:hAnsi="Times New Roman"/>
          <w:caps w:val="false"/>
          <w:smallCaps w:val="false"/>
          <w:sz w:val="20"/>
        </w:rPr>
        <w:t xml:space="preserve">, which eliminates certain exceptions related to the general principles in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and makes amendments to other areas with the intention of simplifying various aspects related to accounting for income taxes. The new standard is effective for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including interim periods therein; with early adoption permitted. The Company adopted the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effective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46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w:t>
      </w:r>
    </w:p>
    <w:p>
      <w:pPr>
        <w:pStyle w:val="TextBody"/>
        <w:rPr/>
      </w:pPr>
      <w:r>
        <w:rPr/>
        <w:t xml:space="preserve">  </w:t>
      </w:r>
    </w:p>
    <w:p>
      <w:pPr>
        <w:pStyle w:val="TextBody"/>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Fair Value of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determines the fair value of its financial instruments based on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Financial assets and liabilities utilizing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include commercial paper, corporate bonds and asset-backed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in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fair value of the Company’s financial assets measured on a recurring basis (in thousands):</w:t>
      </w:r>
    </w:p>
    <w:p>
      <w:pPr>
        <w:pStyle w:val="TextBody"/>
        <w:spacing w:before="0" w:after="0"/>
        <w:ind w:left="0" w:right="0" w:hanging="0"/>
        <w:rPr>
          <w:caps w:val="false"/>
          <w:smallCaps w:val="false"/>
        </w:rPr>
      </w:pPr>
      <w:r>
        <w:rPr>
          <w:caps w:val="false"/>
          <w:smallCaps w:val="false"/>
        </w:rPr>
        <w:t> </w:t>
      </w:r>
    </w:p>
    <w:tbl>
      <w:tblPr>
        <w:tblW w:w="8198" w:type="dxa"/>
        <w:jc w:val="left"/>
        <w:tblInd w:w="0" w:type="dxa"/>
        <w:tblCellMar>
          <w:top w:w="0" w:type="dxa"/>
          <w:left w:w="0" w:type="dxa"/>
          <w:bottom w:w="0" w:type="dxa"/>
          <w:right w:w="0" w:type="dxa"/>
        </w:tblCellMar>
      </w:tblPr>
      <w:tblGrid>
        <w:gridCol w:w="2780"/>
        <w:gridCol w:w="6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3028"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spacing w:before="0" w:after="283"/>
              <w:ind w:left="0" w:right="0" w:hanging="0"/>
              <w:rPr/>
            </w:pPr>
            <w:r>
              <w:rPr/>
              <w:t> </w:t>
            </w:r>
          </w:p>
        </w:tc>
        <w:tc>
          <w:tcPr>
            <w:tcW w:w="221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spacing w:before="0" w:after="283"/>
              <w:ind w:left="0" w:right="0" w:hanging="0"/>
              <w:rPr/>
            </w:pPr>
            <w:r>
              <w:rPr/>
              <w:t> </w:t>
            </w:r>
          </w:p>
        </w:tc>
        <w:tc>
          <w:tcPr>
            <w:tcW w:w="221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spacing w:before="0" w:after="283"/>
              <w:rPr/>
            </w:pPr>
            <w:r>
              <w:rPr/>
              <w:t> </w:t>
            </w:r>
          </w:p>
        </w:tc>
        <w:tc>
          <w:tcPr>
            <w:tcW w:w="221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8198" w:type="dxa"/>
        <w:jc w:val="left"/>
        <w:tblInd w:w="0" w:type="dxa"/>
        <w:tblCellMar>
          <w:top w:w="0" w:type="dxa"/>
          <w:left w:w="0" w:type="dxa"/>
          <w:bottom w:w="0" w:type="dxa"/>
          <w:right w:w="0" w:type="dxa"/>
        </w:tblCellMar>
      </w:tblPr>
      <w:tblGrid>
        <w:gridCol w:w="2780"/>
        <w:gridCol w:w="6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3028"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 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spacing w:before="0" w:after="283"/>
              <w:ind w:left="0" w:right="0" w:hanging="0"/>
              <w:rPr/>
            </w:pPr>
            <w:r>
              <w:rPr/>
              <w:t> </w:t>
            </w:r>
          </w:p>
        </w:tc>
        <w:tc>
          <w:tcPr>
            <w:tcW w:w="221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CCEEFF" w:val="clear"/>
            <w:vAlign w:val="center"/>
          </w:tcPr>
          <w:p>
            <w:pPr>
              <w:pStyle w:val="TableContents"/>
              <w:spacing w:before="0" w:after="283"/>
              <w:ind w:left="0" w:right="0" w:hanging="0"/>
              <w:rPr/>
            </w:pPr>
            <w:r>
              <w:rPr/>
              <w:t> </w:t>
            </w:r>
          </w:p>
        </w:tc>
        <w:tc>
          <w:tcPr>
            <w:tcW w:w="2210" w:type="dxa"/>
            <w:tcBorders/>
            <w:shd w:fill="CCEE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23,675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23,675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spacing w:before="0" w:after="283"/>
              <w:rPr/>
            </w:pPr>
            <w:r>
              <w:rPr/>
              <w:t> </w:t>
            </w:r>
          </w:p>
        </w:tc>
        <w:tc>
          <w:tcPr>
            <w:tcW w:w="2210"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23,675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23,675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did not record impairment charges related to its marketable investments. 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did not have any transfers between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Additionally, the Company did not have any financial assets and liabilities measured at fair value on a non-recurring basis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Inventory consisted of the following (in thousands):</w:t>
      </w:r>
    </w:p>
    <w:p>
      <w:pPr>
        <w:pStyle w:val="TextBody"/>
        <w:spacing w:before="0" w:after="0"/>
        <w:ind w:left="0" w:right="0" w:hanging="0"/>
        <w:rPr>
          <w:caps w:val="false"/>
          <w:smallCaps w:val="false"/>
        </w:rPr>
      </w:pPr>
      <w:r>
        <w:rPr>
          <w:caps w:val="false"/>
          <w:smallCaps w:val="false"/>
        </w:rPr>
        <w:t> </w:t>
      </w:r>
    </w:p>
    <w:tbl>
      <w:tblPr>
        <w:tblW w:w="3606" w:type="dxa"/>
        <w:jc w:val="left"/>
        <w:tblInd w:w="0" w:type="dxa"/>
        <w:tblCellMar>
          <w:top w:w="0" w:type="dxa"/>
          <w:left w:w="0" w:type="dxa"/>
          <w:bottom w:w="0" w:type="dxa"/>
          <w:right w:w="0" w:type="dxa"/>
        </w:tblCellMar>
      </w:tblPr>
      <w:tblGrid>
        <w:gridCol w:w="1325"/>
        <w:gridCol w:w="60"/>
        <w:gridCol w:w="242"/>
        <w:gridCol w:w="504"/>
        <w:gridCol w:w="116"/>
        <w:gridCol w:w="116"/>
        <w:gridCol w:w="242"/>
        <w:gridCol w:w="941"/>
        <w:gridCol w:w="60"/>
      </w:tblGrid>
      <w:tr>
        <w:trPr/>
        <w:tc>
          <w:tcPr>
            <w:tcW w:w="13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1"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spacing w:before="0" w:after="283"/>
              <w:rPr/>
            </w:pPr>
            <w:r>
              <w:rPr/>
              <w:t> </w:t>
            </w:r>
          </w:p>
        </w:tc>
      </w:tr>
      <w:tr>
        <w:trPr/>
        <w:tc>
          <w:tcPr>
            <w:tcW w:w="13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116" w:type="dxa"/>
            <w:tcBorders>
              <w:bottom w:val="single" w:sz="2" w:space="0" w:color="000000"/>
            </w:tcBorders>
            <w:shd w:fill="FFFFFF" w:val="clear"/>
            <w:tcMar>
              <w:bottom w:w="28" w:type="dxa"/>
            </w:tcMar>
            <w:vAlign w:val="center"/>
          </w:tcPr>
          <w:p>
            <w:pPr>
              <w:pStyle w:val="TableContents"/>
              <w:spacing w:before="0" w:after="283"/>
              <w:rPr/>
            </w:pPr>
            <w:r>
              <w:rPr/>
              <w:t> </w:t>
            </w:r>
          </w:p>
        </w:tc>
        <w:tc>
          <w:tcPr>
            <w:tcW w:w="116" w:type="dxa"/>
            <w:tcBorders/>
            <w:shd w:fill="FFFFFF" w:val="clear"/>
            <w:vAlign w:val="center"/>
          </w:tcPr>
          <w:p>
            <w:pPr>
              <w:pStyle w:val="TableContents"/>
              <w:spacing w:before="0" w:after="283"/>
              <w:ind w:left="0" w:right="0" w:hanging="0"/>
              <w:rPr/>
            </w:pPr>
            <w:r>
              <w:rPr/>
              <w:t> </w:t>
            </w:r>
          </w:p>
        </w:tc>
        <w:tc>
          <w:tcPr>
            <w:tcW w:w="118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3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spacing w:before="0" w:after="283"/>
              <w:ind w:left="0" w:right="0" w:hanging="0"/>
              <w:rPr/>
            </w:pPr>
            <w:r>
              <w:rPr/>
              <w:t> </w:t>
            </w:r>
          </w:p>
        </w:tc>
        <w:tc>
          <w:tcPr>
            <w:tcW w:w="2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4" w:type="dxa"/>
            <w:tcBorders/>
            <w:shd w:fill="CCEEFF" w:val="clear"/>
            <w:vAlign w:val="center"/>
          </w:tcPr>
          <w:p>
            <w:pPr>
              <w:pStyle w:val="TableContents"/>
              <w:spacing w:before="0" w:after="283"/>
              <w:ind w:left="0" w:right="0" w:hanging="0"/>
              <w:jc w:val="right"/>
              <w:rPr/>
            </w:pPr>
            <w:r>
              <w:rPr/>
              <w:t>—</w:t>
            </w:r>
          </w:p>
        </w:tc>
        <w:tc>
          <w:tcPr>
            <w:tcW w:w="116"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ind w:left="0" w:right="0" w:hanging="0"/>
              <w:rPr/>
            </w:pPr>
            <w:r>
              <w:rPr/>
              <w:t> </w:t>
            </w:r>
          </w:p>
        </w:tc>
        <w:tc>
          <w:tcPr>
            <w:tcW w:w="2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2,010</w:t>
            </w:r>
          </w:p>
        </w:tc>
        <w:tc>
          <w:tcPr>
            <w:tcW w:w="60" w:type="dxa"/>
            <w:tcBorders/>
            <w:shd w:fill="CCEEFF" w:val="clear"/>
            <w:vAlign w:val="center"/>
          </w:tcPr>
          <w:p>
            <w:pPr>
              <w:pStyle w:val="TableContents"/>
              <w:spacing w:before="0" w:after="283"/>
              <w:rPr/>
            </w:pPr>
            <w:r>
              <w:rPr/>
              <w:t> </w:t>
            </w:r>
          </w:p>
        </w:tc>
      </w:tr>
      <w:tr>
        <w:trPr/>
        <w:tc>
          <w:tcPr>
            <w:tcW w:w="13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ind w:left="0" w:right="0" w:hanging="0"/>
              <w:rPr/>
            </w:pPr>
            <w:r>
              <w:rPr/>
              <w:t> </w:t>
            </w:r>
          </w:p>
        </w:tc>
        <w:tc>
          <w:tcPr>
            <w:tcW w:w="504" w:type="dxa"/>
            <w:tcBorders/>
            <w:shd w:fill="FFFFFF" w:val="clear"/>
            <w:vAlign w:val="center"/>
          </w:tcPr>
          <w:p>
            <w:pPr>
              <w:pStyle w:val="TableContents"/>
              <w:spacing w:before="0" w:after="283"/>
              <w:ind w:left="0" w:right="0" w:hanging="0"/>
              <w:jc w:val="right"/>
              <w:rPr/>
            </w:pPr>
            <w:r>
              <w:rPr/>
              <w:t>—</w:t>
            </w:r>
          </w:p>
        </w:tc>
        <w:tc>
          <w:tcPr>
            <w:tcW w:w="116" w:type="dxa"/>
            <w:tcBorders/>
            <w:shd w:fill="FFFFFF" w:val="clear"/>
            <w:vAlign w:val="center"/>
          </w:tcPr>
          <w:p>
            <w:pPr>
              <w:pStyle w:val="TableContents"/>
              <w:spacing w:before="0" w:after="283"/>
              <w:rPr/>
            </w:pPr>
            <w:r>
              <w:rPr/>
              <w:t> </w:t>
            </w:r>
          </w:p>
        </w:tc>
        <w:tc>
          <w:tcPr>
            <w:tcW w:w="116"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ind w:left="0" w:right="0" w:hanging="0"/>
              <w:rPr/>
            </w:pPr>
            <w:r>
              <w:rPr/>
              <w:t> </w:t>
            </w:r>
          </w:p>
        </w:tc>
        <w:tc>
          <w:tcPr>
            <w:tcW w:w="94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1,371</w:t>
            </w:r>
          </w:p>
        </w:tc>
        <w:tc>
          <w:tcPr>
            <w:tcW w:w="60" w:type="dxa"/>
            <w:tcBorders/>
            <w:shd w:fill="FFFFFF" w:val="clear"/>
            <w:vAlign w:val="center"/>
          </w:tcPr>
          <w:p>
            <w:pPr>
              <w:pStyle w:val="TableContents"/>
              <w:spacing w:before="0" w:after="283"/>
              <w:rPr/>
            </w:pPr>
            <w:r>
              <w:rPr/>
              <w:t> </w:t>
            </w:r>
          </w:p>
        </w:tc>
      </w:tr>
      <w:tr>
        <w:trPr/>
        <w:tc>
          <w:tcPr>
            <w:tcW w:w="13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spacing w:before="0" w:after="283"/>
              <w:rPr/>
            </w:pPr>
            <w:r>
              <w:rPr/>
              <w:t> </w:t>
            </w:r>
          </w:p>
        </w:tc>
        <w:tc>
          <w:tcPr>
            <w:tcW w:w="2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04"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116" w:type="dxa"/>
            <w:tcBorders>
              <w:bottom w:val="single" w:sz="2" w:space="0" w:color="000000"/>
            </w:tcBorders>
            <w:shd w:fill="CCEEFF" w:val="clear"/>
            <w:tcMar>
              <w:bottom w:w="28" w:type="dxa"/>
            </w:tcM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24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4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2,443</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132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spacing w:before="0" w:after="283"/>
              <w:ind w:left="0" w:right="0" w:hanging="0"/>
              <w:rPr/>
            </w:pPr>
            <w:r>
              <w:rPr/>
              <w:t> </w:t>
            </w:r>
          </w:p>
        </w:tc>
        <w:tc>
          <w:tcPr>
            <w:tcW w:w="2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4"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116" w:type="dxa"/>
            <w:tcBorders>
              <w:bottom w:val="double" w:sz="6" w:space="0" w:color="000000"/>
            </w:tcBorders>
            <w:shd w:fill="FFFFFF" w:val="clear"/>
            <w:tcMar>
              <w:bottom w:w="28" w:type="dxa"/>
            </w:tcMar>
            <w:vAlign w:val="center"/>
          </w:tcPr>
          <w:p>
            <w:pPr>
              <w:pStyle w:val="TableContents"/>
              <w:spacing w:before="0" w:after="283"/>
              <w:rPr/>
            </w:pPr>
            <w:r>
              <w:rPr/>
              <w:t> </w:t>
            </w:r>
          </w:p>
        </w:tc>
        <w:tc>
          <w:tcPr>
            <w:tcW w:w="116" w:type="dxa"/>
            <w:tcBorders/>
            <w:shd w:fill="FFFFFF" w:val="clear"/>
            <w:vAlign w:val="center"/>
          </w:tcPr>
          <w:p>
            <w:pPr>
              <w:pStyle w:val="TableContents"/>
              <w:spacing w:before="0" w:after="283"/>
              <w:ind w:left="0" w:right="0" w:hanging="0"/>
              <w:rPr/>
            </w:pPr>
            <w:r>
              <w:rPr/>
              <w:t> </w:t>
            </w:r>
          </w:p>
        </w:tc>
        <w:tc>
          <w:tcPr>
            <w:tcW w:w="2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5,824</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spacing w:before="0" w:after="0"/>
        <w:ind w:left="0" w:right="0" w:hanging="0"/>
        <w:rPr>
          <w:caps w:val="false"/>
          <w:smallCaps w:val="false"/>
        </w:rPr>
      </w:pPr>
      <w:r>
        <w:rPr>
          <w:caps w:val="false"/>
          <w:smallCaps w:val="false"/>
        </w:rPr>
        <w:t> </w:t>
      </w:r>
    </w:p>
    <w:tbl>
      <w:tblPr>
        <w:tblW w:w="5675" w:type="dxa"/>
        <w:jc w:val="left"/>
        <w:tblInd w:w="0" w:type="dxa"/>
        <w:tblCellMar>
          <w:top w:w="0" w:type="dxa"/>
          <w:left w:w="0" w:type="dxa"/>
          <w:bottom w:w="0" w:type="dxa"/>
          <w:right w:w="0" w:type="dxa"/>
        </w:tblCellMar>
      </w:tblPr>
      <w:tblGrid>
        <w:gridCol w:w="4055"/>
        <w:gridCol w:w="60"/>
        <w:gridCol w:w="125"/>
        <w:gridCol w:w="545"/>
        <w:gridCol w:w="80"/>
        <w:gridCol w:w="60"/>
        <w:gridCol w:w="125"/>
        <w:gridCol w:w="545"/>
        <w:gridCol w:w="80"/>
      </w:tblGrid>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1,019</w:t>
            </w:r>
          </w:p>
        </w:tc>
        <w:tc>
          <w:tcPr>
            <w:tcW w:w="8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w:t>
            </w:r>
          </w:p>
        </w:tc>
        <w:tc>
          <w:tcPr>
            <w:tcW w:w="80" w:type="dxa"/>
            <w:tcBorders/>
            <w:shd w:fill="CCEEFF" w:val="cle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w:t>
            </w:r>
          </w:p>
        </w:tc>
        <w:tc>
          <w:tcPr>
            <w:tcW w:w="8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4,914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4,858</w:t>
            </w:r>
          </w:p>
        </w:tc>
        <w:tc>
          <w:tcPr>
            <w:tcW w:w="80" w:type="dxa"/>
            <w:tcBorders/>
            <w:shd w:fill="FFFFFF" w:val="clear"/>
            <w:vAlign w:val="center"/>
          </w:tcPr>
          <w:p>
            <w:pPr>
              <w:pStyle w:val="TableContents"/>
              <w:spacing w:before="0" w:after="283"/>
              <w:rPr/>
            </w:pPr>
            <w:r>
              <w:rPr/>
              <w:t> </w:t>
            </w:r>
          </w:p>
        </w:tc>
      </w:tr>
      <w:tr>
        <w:trPr/>
        <w:tc>
          <w:tcPr>
            <w:tcW w:w="40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(2,953</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(2,396</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2,462</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00"/>
        <w:jc w:val="both"/>
        <w:rPr/>
      </w:pPr>
      <w:r>
        <w:rPr>
          <w:rFonts w:ascii="Times New Roman" w:hAnsi="Times New Roman"/>
          <w:caps w:val="false"/>
          <w:smallCaps w:val="false"/>
          <w:sz w:val="20"/>
        </w:rPr>
        <w:t>Depreciation expense for the years ended </w:t>
      </w:r>
      <w:r>
        <w:rPr>
          <w:rStyle w:val="Emphasis"/>
          <w:rFonts w:ascii="Times New Roman" w:hAnsi="Times New Roman"/>
          <w:caps w:val="false"/>
          <w:smallCaps w:val="false"/>
          <w:sz w:val="20"/>
        </w:rPr>
        <w:t xml:space="preserve"> 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was $0.7 million, $0.5 million, and $0.4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(“SRA”)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spacing w:before="0" w:after="0"/>
        <w:ind w:left="0" w:right="0" w:hanging="0"/>
        <w:rPr>
          <w:caps w:val="false"/>
          <w:smallCaps w:val="false"/>
        </w:rPr>
      </w:pPr>
      <w:r>
        <w:rPr>
          <w:caps w:val="false"/>
          <w:smallCaps w:val="false"/>
        </w:rPr>
        <w:t> </w:t>
      </w:r>
    </w:p>
    <w:tbl>
      <w:tblPr>
        <w:tblW w:w="4265" w:type="dxa"/>
        <w:jc w:val="left"/>
        <w:tblInd w:w="0" w:type="dxa"/>
        <w:tblCellMar>
          <w:top w:w="0" w:type="dxa"/>
          <w:left w:w="0" w:type="dxa"/>
          <w:bottom w:w="0" w:type="dxa"/>
          <w:right w:w="0" w:type="dxa"/>
        </w:tblCellMar>
      </w:tblPr>
      <w:tblGrid>
        <w:gridCol w:w="2645"/>
        <w:gridCol w:w="60"/>
        <w:gridCol w:w="125"/>
        <w:gridCol w:w="545"/>
        <w:gridCol w:w="80"/>
        <w:gridCol w:w="60"/>
        <w:gridCol w:w="125"/>
        <w:gridCol w:w="545"/>
        <w:gridCol w:w="80"/>
      </w:tblGrid>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spacing w:before="0" w:after="283"/>
              <w:rPr/>
            </w:pPr>
            <w:r>
              <w:rPr/>
              <w:t> </w:t>
            </w:r>
          </w:p>
        </w:tc>
      </w:tr>
      <w:tr>
        <w:trPr/>
        <w:tc>
          <w:tcPr>
            <w:tcW w:w="26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(4,769</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3,216</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 schedule of the amortization of intangible assets is as follows (in thousands):</w:t>
      </w:r>
    </w:p>
    <w:p>
      <w:pPr>
        <w:pStyle w:val="TextBody"/>
        <w:spacing w:before="0" w:after="0"/>
        <w:ind w:left="0" w:right="0" w:hanging="0"/>
        <w:rPr>
          <w:caps w:val="false"/>
          <w:smallCaps w:val="false"/>
        </w:rPr>
      </w:pPr>
      <w:r>
        <w:rPr>
          <w:caps w:val="false"/>
          <w:smallCaps w:val="false"/>
        </w:rPr>
        <w:t> </w:t>
      </w:r>
    </w:p>
    <w:tbl>
      <w:tblPr>
        <w:tblW w:w="2985" w:type="dxa"/>
        <w:jc w:val="left"/>
        <w:tblInd w:w="0" w:type="dxa"/>
        <w:tblCellMar>
          <w:top w:w="0" w:type="dxa"/>
          <w:left w:w="0" w:type="dxa"/>
          <w:bottom w:w="0" w:type="dxa"/>
          <w:right w:w="0" w:type="dxa"/>
        </w:tblCellMar>
      </w:tblPr>
      <w:tblGrid>
        <w:gridCol w:w="2255"/>
        <w:gridCol w:w="60"/>
        <w:gridCol w:w="125"/>
        <w:gridCol w:w="485"/>
        <w:gridCol w:w="60"/>
      </w:tblGrid>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2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FFFF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CCEEFF" w:val="clear"/>
            <w:vAlign w:val="center"/>
          </w:tcPr>
          <w:p>
            <w:pPr>
              <w:pStyle w:val="TableContents"/>
              <w:spacing w:before="0" w:after="283"/>
              <w:rPr/>
            </w:pPr>
            <w:r>
              <w:rPr/>
              <w:t> </w:t>
            </w:r>
          </w:p>
        </w:tc>
      </w:tr>
      <w:tr>
        <w:trPr/>
        <w:tc>
          <w:tcPr>
            <w:tcW w:w="22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FFFFFF" w:val="clear"/>
            <w:vAlign w:val="center"/>
          </w:tcPr>
          <w:p>
            <w:pPr>
              <w:pStyle w:val="TableContents"/>
              <w:spacing w:before="0" w:after="283"/>
              <w:rPr/>
            </w:pPr>
            <w:r>
              <w:rPr/>
              <w:t> </w:t>
            </w:r>
          </w:p>
        </w:tc>
      </w:tr>
      <w:tr>
        <w:trPr/>
        <w:tc>
          <w:tcPr>
            <w:tcW w:w="22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w:t>
            </w:r>
          </w:p>
        </w:tc>
        <w:tc>
          <w:tcPr>
            <w:tcW w:w="60" w:type="dxa"/>
            <w:tcBorders/>
            <w:shd w:fill="CCEEFF" w:val="clear"/>
            <w:vAlign w:val="center"/>
          </w:tcPr>
          <w:p>
            <w:pPr>
              <w:pStyle w:val="TableContents"/>
              <w:spacing w:before="0" w:after="283"/>
              <w:rPr/>
            </w:pPr>
            <w:r>
              <w:rPr/>
              <w:t> </w:t>
            </w:r>
          </w:p>
        </w:tc>
      </w:tr>
      <w:tr>
        <w:trPr/>
        <w:tc>
          <w:tcPr>
            <w:tcW w:w="22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2,551</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spacing w:before="0" w:after="0"/>
        <w:ind w:left="0" w:right="0" w:hanging="0"/>
        <w:rPr>
          <w:caps w:val="false"/>
          <w:smallCaps w:val="false"/>
        </w:rPr>
      </w:pPr>
      <w:r>
        <w:rPr>
          <w:caps w:val="false"/>
          <w:smallCaps w:val="false"/>
        </w:rPr>
        <w:t> </w:t>
      </w:r>
    </w:p>
    <w:tbl>
      <w:tblPr>
        <w:tblW w:w="5395" w:type="dxa"/>
        <w:jc w:val="left"/>
        <w:tblInd w:w="0" w:type="dxa"/>
        <w:tblCellMar>
          <w:top w:w="0" w:type="dxa"/>
          <w:left w:w="0" w:type="dxa"/>
          <w:bottom w:w="0" w:type="dxa"/>
          <w:right w:w="0" w:type="dxa"/>
        </w:tblCellMar>
      </w:tblPr>
      <w:tblGrid>
        <w:gridCol w:w="3935"/>
        <w:gridCol w:w="60"/>
        <w:gridCol w:w="125"/>
        <w:gridCol w:w="485"/>
        <w:gridCol w:w="60"/>
        <w:gridCol w:w="60"/>
        <w:gridCol w:w="125"/>
        <w:gridCol w:w="485"/>
        <w:gridCol w:w="60"/>
      </w:tblGrid>
      <w:tr>
        <w:trPr/>
        <w:tc>
          <w:tcPr>
            <w:tcW w:w="3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4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2,932</w:t>
            </w:r>
          </w:p>
        </w:tc>
        <w:tc>
          <w:tcPr>
            <w:tcW w:w="60" w:type="dxa"/>
            <w:tcBorders/>
            <w:shd w:fill="CCEEFF" w:val="clear"/>
            <w:vAlign w:val="center"/>
          </w:tcPr>
          <w:p>
            <w:pPr>
              <w:pStyle w:val="TableContents"/>
              <w:spacing w:before="0" w:after="283"/>
              <w:rPr/>
            </w:pPr>
            <w:r>
              <w:rPr/>
              <w:t> </w:t>
            </w:r>
          </w:p>
        </w:tc>
      </w:tr>
      <w:tr>
        <w:trPr/>
        <w:tc>
          <w:tcPr>
            <w:tcW w:w="39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Controlled launch (Note 8)</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534</w:t>
            </w:r>
          </w:p>
        </w:tc>
        <w:tc>
          <w:tcPr>
            <w:tcW w:w="60" w:type="dxa"/>
            <w:tcBorders/>
            <w:shd w:fill="FFFFFF"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 and officer liability insurance (Note 12)</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39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w:t>
            </w:r>
          </w:p>
        </w:tc>
        <w:tc>
          <w:tcPr>
            <w:tcW w:w="60" w:type="dxa"/>
            <w:tcBorders/>
            <w:shd w:fill="FFFFFF"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spacing w:before="0" w:after="283"/>
              <w:rPr/>
            </w:pPr>
            <w:r>
              <w:rPr/>
              <w:t> </w:t>
            </w:r>
          </w:p>
        </w:tc>
      </w:tr>
      <w:tr>
        <w:trPr/>
        <w:tc>
          <w:tcPr>
            <w:tcW w:w="39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513</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39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4,389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which represents the excess of consideration paid over the fair value of net tangible and intangible assets acquired.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reviews goodwill for impairment annually or whenever changes in circumstances indicate that the carrying amount of goodwill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Based on the Company’s annual review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determined that its goodwill was not impaired.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and Stock-Based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40"/>
        <w:jc w:val="both"/>
        <w:rPr/>
      </w:pPr>
      <w:r>
        <w:rPr>
          <w:rFonts w:ascii="Times New Roman" w:hAnsi="Times New Roman"/>
          <w:caps w:val="false"/>
          <w:smallCaps w:val="false"/>
          <w:sz w:val="20"/>
        </w:rPr>
        <w:t xml:space="preserve">The Company has authorized a total of 50,000,000 shares of preferred stock, par value $0.001 per share, none of which were outstanding at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Company’s Board of Directors (the “Board”) has the authority to issue preferred stock and to determine the rights, preferences, privileges, and restrictions, including voting rights, without any further vote or action by the Company’s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has authorized a total of 500,000,000 shares of common stock, par value $0.001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Rights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completed a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resulting in the sale of 7,317,072 units (the “Units”), at a price of $2.05 per Unit, with each Unit consisting of one share of the Company’s common stock, par value $0.001 per share, and one warrant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one share of common stock. The common stock and warrants comprising the Units separated upon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and were issued individually. 7,317,072 shares of common stock and warrants to acquire up to an additional 7,317,072 shares of common stock were issued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received aggregate gross proceeds from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of $15 million. If exercised, additional gross proceeds of up to $15 million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received through the exercise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Each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 is exercisable for one share of the Company’s common stock at an exercise price equal to $2.05.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are exercisable immediately and expire on the fifth anniversary of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are subject to redemption by the Company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the Company’s common stock equals or exceeds 200% of the exercise price for the warrants, subject to adjustment, per share, for 20 consecutive trading days,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warrants prior to the date that is three months after the issuance date. Robert W. Duggan, the Company’s largest stockholder and Executive Chairman, purchased approximately 56% of the shares offered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Private Placement Securities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entered into a Securities Purchase Agreement with Robert W. Duggan, the Company’s largest stockholder and Executive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$41.0 million aggregate principal amount, together with all accrued and unpaid interest outstanding, owed to Mr. Duggan under the Loan Agreement by and between the Company and Mr. Duggan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The cash proceeds of approximately $8.4 million were received by the Company in </w:t>
      </w:r>
      <w:r>
        <w:rPr>
          <w:rStyle w:val="Emphasis"/>
          <w:rFonts w:ascii="Times New Roman" w:hAnsi="Times New Roman"/>
          <w:caps w:val="false"/>
          <w:smallCaps w:val="false"/>
          <w:sz w:val="20"/>
        </w:rPr>
        <w:t>July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At-the-Market Equity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entered into a sales agreement (the “Sales Agreement”) with Stifel, Nicolaus &amp; Company, Inc. (“Stifel”) as sales agent,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from time to time, through Stifel, up to $60.0 million in shares of common stock, by any method permitted by law deemed to be an “at-the-market”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promulgated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make any sales of its common stock pursuant to such Sales Agreement. During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 or sell any shares of common stock under the Sales Agreement. During the year ended </w:t>
      </w:r>
      <w:r>
        <w:rPr>
          <w:rStyle w:val="Emphasis"/>
          <w:rFonts w:ascii="Times New Roman" w:hAnsi="Times New Roman"/>
          <w:caps w:val="false"/>
          <w:smallCaps w:val="false"/>
          <w:sz w:val="20"/>
        </w:rPr>
        <w:t xml:space="preserve"> December 31, 2021</w:t>
      </w:r>
      <w:r>
        <w:rPr>
          <w:rFonts w:ascii="Times New Roman" w:hAnsi="Times New Roman"/>
          <w:caps w:val="false"/>
          <w:smallCaps w:val="false"/>
          <w:sz w:val="20"/>
        </w:rPr>
        <w:t xml:space="preserve">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connection with a private placement in </w:t>
      </w:r>
      <w:r>
        <w:rPr>
          <w:rStyle w:val="Emphasis"/>
          <w:rFonts w:ascii="Times New Roman" w:hAnsi="Times New Roman"/>
          <w:caps w:val="false"/>
          <w:smallCaps w:val="false"/>
          <w:sz w:val="20"/>
        </w:rPr>
        <w:t xml:space="preserve">November 2014 </w:t>
      </w:r>
      <w:r>
        <w:rPr>
          <w:rFonts w:ascii="Times New Roman" w:hAnsi="Times New Roman"/>
          <w:caps w:val="false"/>
          <w:smallCaps w:val="false"/>
          <w:sz w:val="20"/>
        </w:rPr>
        <w:t xml:space="preserve">of the Company’s common stock, par value $0.001 per share, the Company issued warrants as compensation to the placement agent to purchase a total of 299,625 shares of its common stock at an exercise price of $2.67 per share (the “Private Placement Warrants”). The Private Placement Warrants were exercisable for a period of seven years from issuance.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warrants to purchase 45,638 shares of common stock were net exercised, resulting in the issuance of 40,563 shares of common stock.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the last remaining 600 Private Placement Warrants expired unexercised, resulting in no further Private Placement Warrants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connection with the closing of the Company’s initial public offering in </w:t>
      </w:r>
      <w:r>
        <w:rPr>
          <w:rStyle w:val="Emphasis"/>
          <w:rFonts w:ascii="Times New Roman" w:hAnsi="Times New Roman"/>
          <w:caps w:val="false"/>
          <w:smallCaps w:val="false"/>
          <w:sz w:val="20"/>
        </w:rPr>
        <w:t xml:space="preserve">May 2016, </w:t>
      </w:r>
      <w:r>
        <w:rPr>
          <w:rFonts w:ascii="Times New Roman" w:hAnsi="Times New Roman"/>
          <w:caps w:val="false"/>
          <w:smallCaps w:val="false"/>
          <w:sz w:val="20"/>
        </w:rPr>
        <w:t xml:space="preserve">the Company issued warrants as compensation to its underwriters, to purchase a total of 574,985 shares of its common stock at an exercise price of $5.00 per share (the “IPO Warrants”). The IPO Warrants were exercisable for a period of five years from issuance.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warrants to purchase 85,385 shares of common stock were net exercised, resulting in the issuance of 68,958 shares of common stock. All IPO Warrants were exercised prior to their expiration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resulting in no further IPO Warrants outstanding.</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40"/>
        <w:rPr/>
      </w:pPr>
      <w:r>
        <w:rPr>
          <w:rFonts w:ascii="Times New Roman" w:hAnsi="Times New Roman"/>
          <w:caps w:val="false"/>
          <w:smallCaps w:val="false"/>
          <w:sz w:val="20"/>
        </w:rPr>
        <w:t xml:space="preserve">In connection with a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rights offering, the Company issued warrants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Rights Offering Warrants”) to purchase a total of 641,571 shares of its common stock at an exercise price of $7.01. These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Rights Offering Warrants were exercisable immediately and expired on the fifth anniversary of the completion of the Rights Offering, or </w:t>
      </w:r>
      <w:r>
        <w:rPr>
          <w:rStyle w:val="Emphasis"/>
          <w:rFonts w:ascii="Times New Roman" w:hAnsi="Times New Roman"/>
          <w:caps w:val="false"/>
          <w:smallCaps w:val="false"/>
          <w:sz w:val="20"/>
        </w:rPr>
        <w:t xml:space="preserve">June 16, 2025, </w:t>
      </w:r>
      <w:r>
        <w:rPr>
          <w:rFonts w:ascii="Times New Roman" w:hAnsi="Times New Roman"/>
          <w:caps w:val="false"/>
          <w:smallCaps w:val="false"/>
          <w:sz w:val="20"/>
        </w:rPr>
        <w:t xml:space="preserve">subject to certain redemption rights by the Company.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Rights Offering Warrants were subject to redemption by the Company, on or after </w:t>
      </w:r>
      <w:r>
        <w:rPr>
          <w:rStyle w:val="Emphasis"/>
          <w:rFonts w:ascii="Times New Roman" w:hAnsi="Times New Roman"/>
          <w:caps w:val="false"/>
          <w:smallCaps w:val="false"/>
          <w:sz w:val="20"/>
        </w:rPr>
        <w:t>December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six months after the issuance date, for $0.01 per warrant, with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our common stock equaled or exceeded 200% of the exercise price for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Rights Offering Warrants for 10 consecutive trading days. On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met the requirements for redemption of these warrants and delivered a notice of redemption to redeem all of the outstanding warrants that remained unexercised at </w:t>
      </w:r>
      <w:r>
        <w:rPr>
          <w:rStyle w:val="Emphasis"/>
          <w:rFonts w:ascii="Times New Roman" w:hAnsi="Times New Roman"/>
          <w:caps w:val="false"/>
          <w:smallCaps w:val="false"/>
          <w:sz w:val="20"/>
        </w:rPr>
        <w:t>February 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for the redemption price of $0.01 per warrant. Pursuant to the redemption, the Company redeemed 5,139 warrants. Prior to the </w:t>
      </w:r>
      <w:r>
        <w:rPr>
          <w:rStyle w:val="Emphasis"/>
          <w:rFonts w:ascii="Times New Roman" w:hAnsi="Times New Roman"/>
          <w:caps w:val="false"/>
          <w:smallCaps w:val="false"/>
          <w:sz w:val="20"/>
        </w:rPr>
        <w:t>February 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redemption date, 636,432 warrants were exercised, generating approximately $4.5 million of total gross proceeds to the Company.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 were no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Rights Offering Warrants outstanding.</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issued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a total of 7,317,072 shares of its common stock at an exercise price of $2.05.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are exercisable immediately and expire on the fifth anniversary of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are subject to redemption by the Company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the Company’s common stock equals or exceeds 200% of the exercise price for the warrants, subject to adjustment, per share, for 20 consecutive trading days,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warrants prior to the date that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after the issuance date. In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a total of 13,240 warrants were exercised.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there were 7,303,832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outstanding.</w:t>
      </w:r>
    </w:p>
    <w:p>
      <w:pPr>
        <w:pStyle w:val="TextBody"/>
        <w:spacing w:before="0" w:after="0"/>
        <w:ind w:left="0" w:right="0" w:hanging="0"/>
        <w:jc w:val="left"/>
        <w:rPr/>
      </w:pPr>
      <w:r>
        <w:rPr/>
        <w:t> </w:t>
      </w:r>
    </w:p>
    <w:p>
      <w:pPr>
        <w:pStyle w:val="TextBody"/>
        <w:spacing w:before="0" w:after="0"/>
        <w:ind w:left="0" w:right="0" w:firstLine="500"/>
        <w:jc w:val="both"/>
        <w:rPr/>
      </w:pPr>
      <w:r>
        <w:rPr>
          <w:rFonts w:ascii="Times New Roman" w:hAnsi="Times New Roman"/>
          <w:caps w:val="false"/>
          <w:smallCaps w:val="false"/>
          <w:sz w:val="20"/>
        </w:rPr>
        <w:t xml:space="preserve">A summary of total warrants activity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is presented below:</w:t>
      </w:r>
    </w:p>
    <w:p>
      <w:pPr>
        <w:pStyle w:val="TextBody"/>
        <w:spacing w:before="0" w:after="0"/>
        <w:ind w:left="0" w:right="0" w:hanging="0"/>
        <w:rPr>
          <w:caps w:val="false"/>
          <w:smallCaps w:val="false"/>
        </w:rPr>
      </w:pPr>
      <w:r>
        <w:rPr>
          <w:caps w:val="false"/>
          <w:smallCaps w:val="false"/>
        </w:rPr>
        <w:t> </w:t>
      </w:r>
    </w:p>
    <w:tbl>
      <w:tblPr>
        <w:tblW w:w="8573" w:type="dxa"/>
        <w:jc w:val="left"/>
        <w:tblInd w:w="0" w:type="dxa"/>
        <w:tblCellMar>
          <w:top w:w="0" w:type="dxa"/>
          <w:left w:w="0" w:type="dxa"/>
          <w:bottom w:w="0" w:type="dxa"/>
          <w:right w:w="0" w:type="dxa"/>
        </w:tblCellMar>
      </w:tblPr>
      <w:tblGrid>
        <w:gridCol w:w="4880"/>
        <w:gridCol w:w="60"/>
        <w:gridCol w:w="60"/>
        <w:gridCol w:w="845"/>
        <w:gridCol w:w="80"/>
        <w:gridCol w:w="60"/>
        <w:gridCol w:w="300"/>
        <w:gridCol w:w="919"/>
        <w:gridCol w:w="60"/>
        <w:gridCol w:w="60"/>
        <w:gridCol w:w="161"/>
        <w:gridCol w:w="1028"/>
        <w:gridCol w:w="60"/>
      </w:tblGrid>
      <w:tr>
        <w:trPr/>
        <w:tc>
          <w:tcPr>
            <w:tcW w:w="48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0" w:type="dxa"/>
            <w:tcBorders/>
            <w:shd w:fill="FFFFFF" w:val="clear"/>
            <w:vAlign w:val="center"/>
          </w:tcPr>
          <w:p>
            <w:pPr>
              <w:pStyle w:val="TableContents"/>
              <w:spacing w:before="0" w:after="283"/>
              <w:rPr/>
            </w:pPr>
            <w:r>
              <w:rPr/>
              <w:t> </w:t>
            </w:r>
          </w:p>
        </w:tc>
        <w:tc>
          <w:tcPr>
            <w:tcW w:w="91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0" w:type="dxa"/>
            <w:tcBorders/>
            <w:shd w:fill="FFFFFF" w:val="clear"/>
            <w:vAlign w:val="center"/>
          </w:tcPr>
          <w:p>
            <w:pPr>
              <w:pStyle w:val="TableContents"/>
              <w:spacing w:before="0" w:after="283"/>
              <w:rPr/>
            </w:pPr>
            <w:r>
              <w:rPr/>
              <w:t> </w:t>
            </w:r>
          </w:p>
        </w:tc>
        <w:tc>
          <w:tcPr>
            <w:tcW w:w="919"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 Price</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8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Life (in Years)</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outstanding at 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ind w:left="0" w:right="0" w:hanging="0"/>
              <w:rPr/>
            </w:pPr>
            <w:r>
              <w:rPr/>
              <w:t> </w:t>
            </w:r>
          </w:p>
        </w:tc>
        <w:tc>
          <w:tcPr>
            <w:tcW w:w="1028"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Issued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7,317,072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0" w:type="dxa"/>
            <w:tcBorders/>
            <w:shd w:fill="FFFFFF" w:val="clear"/>
            <w:vAlign w:val="center"/>
          </w:tcPr>
          <w:p>
            <w:pPr>
              <w:pStyle w:val="TableContents"/>
              <w:spacing w:before="0" w:after="283"/>
              <w:ind w:left="0" w:right="0" w:hanging="0"/>
              <w:rPr/>
            </w:pPr>
            <w:r>
              <w:rPr/>
              <w:t> </w:t>
            </w:r>
          </w:p>
        </w:tc>
        <w:tc>
          <w:tcPr>
            <w:tcW w:w="91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300" w:type="dxa"/>
            <w:tcBorders/>
            <w:shd w:fill="CCEEFF" w:val="clear"/>
            <w:vAlign w:val="center"/>
          </w:tcPr>
          <w:p>
            <w:pPr>
              <w:pStyle w:val="TableContents"/>
              <w:spacing w:before="0" w:after="283"/>
              <w:ind w:left="0" w:right="0" w:hanging="0"/>
              <w:rPr/>
            </w:pPr>
            <w:r>
              <w:rPr/>
              <w:t> </w:t>
            </w:r>
          </w:p>
        </w:tc>
        <w:tc>
          <w:tcPr>
            <w:tcW w:w="9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028" w:type="dxa"/>
            <w:tcBorders/>
            <w:shd w:fill="CCEEFF" w:val="clear"/>
            <w:vAlign w:val="center"/>
          </w:tcPr>
          <w:p>
            <w:pPr>
              <w:pStyle w:val="TableContents"/>
              <w:spacing w:before="0" w:after="283"/>
              <w:jc w:val="right"/>
              <w:rPr/>
            </w:pPr>
            <w:r>
              <w:rPr>
                <w:rStyle w:val="Emphasis"/>
              </w:rPr>
              <w:t> </w:t>
            </w:r>
          </w:p>
        </w:tc>
        <w:tc>
          <w:tcPr>
            <w:tcW w:w="60" w:type="dxa"/>
            <w:tcBorders/>
            <w:shd w:fill="CCEEFF" w:val="clear"/>
            <w:vAlign w:val="center"/>
          </w:tcPr>
          <w:p>
            <w:pPr>
              <w:pStyle w:val="TableContents"/>
              <w:spacing w:before="0" w:after="283"/>
              <w:rPr/>
            </w:pPr>
            <w:r>
              <w:rPr/>
              <w:t> </w:t>
            </w:r>
          </w:p>
        </w:tc>
      </w:tr>
      <w:tr>
        <w:trPr/>
        <w:tc>
          <w:tcPr>
            <w:tcW w:w="488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Expired/Redeemed</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0" w:type="dxa"/>
            <w:tcBorders/>
            <w:shd w:fill="FFFFFF" w:val="clear"/>
            <w:vAlign w:val="center"/>
          </w:tcPr>
          <w:p>
            <w:pPr>
              <w:pStyle w:val="TableContents"/>
              <w:spacing w:before="0" w:after="283"/>
              <w:ind w:left="0" w:right="0" w:hanging="0"/>
              <w:rPr/>
            </w:pPr>
            <w:r>
              <w:rPr/>
              <w:t> </w:t>
            </w:r>
          </w:p>
        </w:tc>
        <w:tc>
          <w:tcPr>
            <w:tcW w:w="919"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1028"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48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Warrants outstanding and exercisable at December 31, 2022</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7,303,832</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ind w:left="0" w:right="0" w:hanging="0"/>
              <w:rPr/>
            </w:pPr>
            <w:r>
              <w:rPr/>
              <w:t> </w:t>
            </w:r>
          </w:p>
        </w:tc>
        <w:tc>
          <w:tcPr>
            <w:tcW w:w="102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Equity Plans</w:t>
      </w:r>
      <w:r>
        <w:rPr>
          <w:rFonts w:ascii="Times New Roman" w:hAnsi="Times New Roman"/>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 addition, shares remaining available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amended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shares reserved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administered by the Board’s Compensation Committee. Effective </w:t>
      </w:r>
      <w:r>
        <w:rPr>
          <w:rStyle w:val="Emphasis"/>
          <w:rFonts w:ascii="Times New Roman" w:hAnsi="Times New Roman"/>
          <w:caps w:val="false"/>
          <w:smallCaps w:val="false"/>
          <w:sz w:val="20"/>
        </w:rPr>
        <w:t>January 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increased by 1,188,657 and 1,022,002 shares, respectively, pursuant to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Under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share increase is determined based on the least of (i) 1,200,000 shares, (ii) 4% of the Company’s common stock outstanding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2,368,716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of the Company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Inducement Plan has a 10-year term and provides for the grant of equity-based awards, including non-statutory stock options, RSUs, restricted stock, stock appreciation rights, performance shares and performance units, and its terms are substantially similar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including with respect to treatment of equity awards in the event of a “merger” or “change in control” as defined under the Inducement Plan. Options issued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term up to ten years and have variable vesting provisions. New hire grants generally vest 25% per year starting upon the first anniversary of the grant. Equity-based awards issued under the Inducement Plan are only issuable to individuals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engaged as employees or non-employee directors of the Company prior to the Inducement Plan’s adoption date.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Board approved an amendment to the Inducement Plan to reserve an additional 1,000,000 shares of the Company’s common stock for issuance pursuant to the Inducement Plan.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1,053,767 shares of common stock were available for issuance under the Inducement Plan.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0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is presented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42"/>
        <w:gridCol w:w="60"/>
        <w:gridCol w:w="86"/>
        <w:gridCol w:w="1320"/>
        <w:gridCol w:w="80"/>
        <w:gridCol w:w="60"/>
        <w:gridCol w:w="513"/>
        <w:gridCol w:w="1993"/>
        <w:gridCol w:w="60"/>
        <w:gridCol w:w="60"/>
        <w:gridCol w:w="444"/>
        <w:gridCol w:w="2822"/>
        <w:gridCol w:w="65"/>
      </w:tblGrid>
      <w:tr>
        <w:trPr/>
        <w:tc>
          <w:tcPr>
            <w:tcW w:w="264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38"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 Options Outstanding</w:t>
            </w:r>
          </w:p>
        </w:tc>
        <w:tc>
          <w:tcPr>
            <w:tcW w:w="6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0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6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2"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2021</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32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5,996,813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ind w:left="0" w:right="0" w:hanging="0"/>
              <w:rPr/>
            </w:pPr>
            <w:r>
              <w:rPr/>
              <w:t> </w:t>
            </w:r>
          </w:p>
        </w:tc>
        <w:tc>
          <w:tcPr>
            <w:tcW w:w="28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7.33</w:t>
            </w:r>
          </w:p>
        </w:tc>
        <w:tc>
          <w:tcPr>
            <w:tcW w:w="65" w:type="dxa"/>
            <w:tcBorders/>
            <w:shd w:fill="CCEEFF" w:val="clear"/>
            <w:vAlign w:val="center"/>
          </w:tcPr>
          <w:p>
            <w:pPr>
              <w:pStyle w:val="TableContents"/>
              <w:spacing w:before="0" w:after="283"/>
              <w:rPr/>
            </w:pPr>
            <w:r>
              <w:rPr/>
              <w:t> </w:t>
            </w:r>
          </w:p>
        </w:tc>
      </w:tr>
      <w:tr>
        <w:trPr/>
        <w:tc>
          <w:tcPr>
            <w:tcW w:w="2642"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ind w:left="0" w:right="0" w:hanging="0"/>
              <w:rPr/>
            </w:pPr>
            <w:r>
              <w:rPr/>
              <w:t> </w:t>
            </w:r>
          </w:p>
        </w:tc>
        <w:tc>
          <w:tcPr>
            <w:tcW w:w="132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1,440,100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13" w:type="dxa"/>
            <w:tcBorders/>
            <w:shd w:fill="FFFFFF" w:val="clear"/>
            <w:vAlign w:val="center"/>
          </w:tcPr>
          <w:p>
            <w:pPr>
              <w:pStyle w:val="TableContents"/>
              <w:spacing w:before="0" w:after="283"/>
              <w:ind w:left="0" w:right="0" w:hanging="0"/>
              <w:rPr/>
            </w:pPr>
            <w:r>
              <w:rPr/>
              <w:t> </w:t>
            </w:r>
          </w:p>
        </w:tc>
        <w:tc>
          <w:tcPr>
            <w:tcW w:w="19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2" w:type="dxa"/>
            <w:tcBorders/>
            <w:shd w:fill="FFFFFF" w:val="clear"/>
            <w:vAlign w:val="center"/>
          </w:tcPr>
          <w:p>
            <w:pPr>
              <w:pStyle w:val="TableContents"/>
              <w:spacing w:before="0" w:after="283"/>
              <w:jc w:val="right"/>
              <w:rPr/>
            </w:pPr>
            <w:r>
              <w:rPr>
                <w:rStyle w:val="Emphasis"/>
              </w:rPr>
              <w:t> </w:t>
            </w:r>
          </w:p>
        </w:tc>
        <w:tc>
          <w:tcPr>
            <w:tcW w:w="65" w:type="dxa"/>
            <w:tcBorders/>
            <w:shd w:fill="FFFFFF" w:val="clear"/>
            <w:vAlign w:val="center"/>
          </w:tcPr>
          <w:p>
            <w:pPr>
              <w:pStyle w:val="TableContents"/>
              <w:spacing w:before="0" w:after="283"/>
              <w:rPr/>
            </w:pPr>
            <w:r>
              <w:rPr/>
              <w:t> </w:t>
            </w:r>
          </w:p>
        </w:tc>
      </w:tr>
      <w:tr>
        <w:trPr/>
        <w:tc>
          <w:tcPr>
            <w:tcW w:w="264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32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3" w:type="dxa"/>
            <w:tcBorders/>
            <w:shd w:fill="CCEEFF" w:val="clear"/>
            <w:vAlign w:val="center"/>
          </w:tcPr>
          <w:p>
            <w:pPr>
              <w:pStyle w:val="TableContents"/>
              <w:spacing w:before="0" w:after="283"/>
              <w:ind w:left="0" w:right="0" w:hanging="0"/>
              <w:rPr/>
            </w:pPr>
            <w:r>
              <w:rPr/>
              <w:t> </w:t>
            </w:r>
          </w:p>
        </w:tc>
        <w:tc>
          <w:tcPr>
            <w:tcW w:w="199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2" w:type="dxa"/>
            <w:tcBorders/>
            <w:shd w:fill="CCEEFF" w:val="clear"/>
            <w:vAlign w:val="center"/>
          </w:tcPr>
          <w:p>
            <w:pPr>
              <w:pStyle w:val="TableContents"/>
              <w:spacing w:before="0" w:after="283"/>
              <w:jc w:val="right"/>
              <w:rPr/>
            </w:pPr>
            <w:r>
              <w:rPr>
                <w:rStyle w:val="Emphasis"/>
              </w:rPr>
              <w:t> </w:t>
            </w:r>
          </w:p>
        </w:tc>
        <w:tc>
          <w:tcPr>
            <w:tcW w:w="65" w:type="dxa"/>
            <w:tcBorders/>
            <w:shd w:fill="CCEEFF" w:val="clear"/>
            <w:vAlign w:val="center"/>
          </w:tcPr>
          <w:p>
            <w:pPr>
              <w:pStyle w:val="TableContents"/>
              <w:spacing w:before="0" w:after="283"/>
              <w:rPr/>
            </w:pPr>
            <w:r>
              <w:rPr/>
              <w:t> </w:t>
            </w:r>
          </w:p>
        </w:tc>
      </w:tr>
      <w:tr>
        <w:trPr/>
        <w:tc>
          <w:tcPr>
            <w:tcW w:w="2642"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ind w:left="0" w:right="0" w:hanging="0"/>
              <w:rPr/>
            </w:pPr>
            <w:r>
              <w:rPr/>
              <w:t> </w:t>
            </w:r>
          </w:p>
        </w:tc>
        <w:tc>
          <w:tcPr>
            <w:tcW w:w="132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(1,472,385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513" w:type="dxa"/>
            <w:tcBorders/>
            <w:shd w:fill="FFFFFF" w:val="clear"/>
            <w:vAlign w:val="center"/>
          </w:tcPr>
          <w:p>
            <w:pPr>
              <w:pStyle w:val="TableContents"/>
              <w:spacing w:before="0" w:after="283"/>
              <w:ind w:left="0" w:right="0" w:hanging="0"/>
              <w:rPr/>
            </w:pPr>
            <w:r>
              <w:rPr/>
              <w:t> </w:t>
            </w:r>
          </w:p>
        </w:tc>
        <w:tc>
          <w:tcPr>
            <w:tcW w:w="199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2" w:type="dxa"/>
            <w:tcBorders/>
            <w:shd w:fill="FFFFFF" w:val="clear"/>
            <w:vAlign w:val="center"/>
          </w:tcPr>
          <w:p>
            <w:pPr>
              <w:pStyle w:val="TableContents"/>
              <w:spacing w:before="0" w:after="283"/>
              <w:jc w:val="right"/>
              <w:rPr/>
            </w:pPr>
            <w:r>
              <w:rPr>
                <w:rStyle w:val="Emphasis"/>
              </w:rPr>
              <w:t> </w:t>
            </w:r>
          </w:p>
        </w:tc>
        <w:tc>
          <w:tcPr>
            <w:tcW w:w="65" w:type="dxa"/>
            <w:tcBorders/>
            <w:shd w:fill="FFFFFF" w:val="clear"/>
            <w:vAlign w:val="center"/>
          </w:tcPr>
          <w:p>
            <w:pPr>
              <w:pStyle w:val="TableContents"/>
              <w:spacing w:before="0" w:after="283"/>
              <w:rPr/>
            </w:pPr>
            <w:r>
              <w:rPr/>
              <w:t> </w:t>
            </w:r>
          </w:p>
        </w:tc>
      </w:tr>
      <w:tr>
        <w:trPr/>
        <w:tc>
          <w:tcPr>
            <w:tcW w:w="264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spacing w:before="0" w:after="283"/>
              <w:rPr/>
            </w:pPr>
            <w:r>
              <w:rPr/>
              <w:t> </w:t>
            </w:r>
          </w:p>
        </w:tc>
        <w:tc>
          <w:tcPr>
            <w:tcW w:w="8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2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(713,832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51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99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14.62</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2" w:type="dxa"/>
            <w:tcBorders/>
            <w:shd w:fill="CCEEFF" w:val="clear"/>
            <w:vAlign w:val="center"/>
          </w:tcPr>
          <w:p>
            <w:pPr>
              <w:pStyle w:val="TableContents"/>
              <w:spacing w:before="0" w:after="283"/>
              <w:jc w:val="right"/>
              <w:rPr/>
            </w:pPr>
            <w:r>
              <w:rPr>
                <w:rStyle w:val="Emphasis"/>
              </w:rPr>
              <w:t> </w:t>
            </w:r>
          </w:p>
        </w:tc>
        <w:tc>
          <w:tcPr>
            <w:tcW w:w="65" w:type="dxa"/>
            <w:tcBorders/>
            <w:shd w:fill="CCEEFF" w:val="clear"/>
            <w:vAlign w:val="center"/>
          </w:tcPr>
          <w:p>
            <w:pPr>
              <w:pStyle w:val="TableContents"/>
              <w:spacing w:before="0" w:after="283"/>
              <w:rPr/>
            </w:pPr>
            <w:r>
              <w:rPr/>
              <w:t> </w:t>
            </w:r>
          </w:p>
        </w:tc>
      </w:tr>
      <w:tr>
        <w:trPr/>
        <w:tc>
          <w:tcPr>
            <w:tcW w:w="2642"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FFFFFF" w:val="clear"/>
            <w:vAlign w:val="center"/>
          </w:tcPr>
          <w:p>
            <w:pPr>
              <w:pStyle w:val="TableContents"/>
              <w:spacing w:before="0" w:after="283"/>
              <w:rPr/>
            </w:pPr>
            <w:r>
              <w:rPr/>
              <w:t> </w:t>
            </w:r>
          </w:p>
        </w:tc>
        <w:tc>
          <w:tcPr>
            <w:tcW w:w="86"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32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5,250,696</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12.67</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282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6.24</w:t>
            </w:r>
          </w:p>
        </w:tc>
        <w:tc>
          <w:tcPr>
            <w:tcW w:w="65" w:type="dxa"/>
            <w:tcBorders>
              <w:bottom w:val="double" w:sz="6" w:space="0" w:color="000000"/>
            </w:tcBorders>
            <w:shd w:fill="FFFFFF" w:val="clear"/>
            <w:tcMar>
              <w:bottom w:w="28" w:type="dxa"/>
            </w:tcMar>
            <w:vAlign w:val="center"/>
          </w:tcPr>
          <w:p>
            <w:pPr>
              <w:pStyle w:val="TableContents"/>
              <w:spacing w:before="0" w:after="283"/>
              <w:rPr/>
            </w:pPr>
            <w:r>
              <w:rPr/>
              <w:t> </w:t>
            </w:r>
          </w:p>
        </w:tc>
      </w:tr>
      <w:tr>
        <w:trPr/>
        <w:tc>
          <w:tcPr>
            <w:tcW w:w="2642"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 December 31, 2022</w:t>
            </w:r>
          </w:p>
        </w:tc>
        <w:tc>
          <w:tcPr>
            <w:tcW w:w="60" w:type="dxa"/>
            <w:tcBorders/>
            <w:shd w:fill="CCEEFF" w:val="clear"/>
            <w:vAlign w:val="center"/>
          </w:tcPr>
          <w:p>
            <w:pPr>
              <w:pStyle w:val="TableContents"/>
              <w:spacing w:before="0" w:after="283"/>
              <w:rPr/>
            </w:pPr>
            <w:r>
              <w:rPr/>
              <w:t> </w:t>
            </w:r>
          </w:p>
        </w:tc>
        <w:tc>
          <w:tcPr>
            <w:tcW w:w="86"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32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3,479,531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15.17</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28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5.06</w:t>
            </w:r>
          </w:p>
        </w:tc>
        <w:tc>
          <w:tcPr>
            <w:tcW w:w="65"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is presented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44"/>
        <w:gridCol w:w="60"/>
        <w:gridCol w:w="91"/>
        <w:gridCol w:w="1310"/>
        <w:gridCol w:w="80"/>
        <w:gridCol w:w="60"/>
        <w:gridCol w:w="514"/>
        <w:gridCol w:w="1995"/>
        <w:gridCol w:w="60"/>
        <w:gridCol w:w="60"/>
        <w:gridCol w:w="444"/>
        <w:gridCol w:w="2824"/>
        <w:gridCol w:w="63"/>
      </w:tblGrid>
      <w:tr>
        <w:trPr/>
        <w:tc>
          <w:tcPr>
            <w:tcW w:w="26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38"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6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2021</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3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4,796,716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ind w:left="0" w:right="0" w:hanging="0"/>
              <w:rPr/>
            </w:pPr>
            <w:r>
              <w:rPr/>
              <w:t> </w:t>
            </w:r>
          </w:p>
        </w:tc>
        <w:tc>
          <w:tcPr>
            <w:tcW w:w="28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7.05</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3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1,240,100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14" w:type="dxa"/>
            <w:tcBorders/>
            <w:shd w:fill="FFFFFF" w:val="clear"/>
            <w:vAlign w:val="center"/>
          </w:tcPr>
          <w:p>
            <w:pPr>
              <w:pStyle w:val="TableContents"/>
              <w:spacing w:before="0" w:after="283"/>
              <w:ind w:left="0" w:right="0" w:hanging="0"/>
              <w:rPr/>
            </w:pPr>
            <w:r>
              <w:rPr/>
              <w:t> </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4" w:type="dxa"/>
            <w:tcBorders/>
            <w:shd w:fill="FFFFFF" w:val="clear"/>
            <w:vAlign w:val="center"/>
          </w:tcPr>
          <w:p>
            <w:pPr>
              <w:pStyle w:val="TableContents"/>
              <w:spacing w:before="0" w:after="283"/>
              <w:jc w:val="right"/>
              <w:rPr/>
            </w:pPr>
            <w:r>
              <w:rPr>
                <w:rStyle w:val="Emphasis"/>
              </w:rPr>
              <w:t> </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31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4" w:type="dxa"/>
            <w:tcBorders/>
            <w:shd w:fill="CCEEFF" w:val="clear"/>
            <w:vAlign w:val="center"/>
          </w:tcPr>
          <w:p>
            <w:pPr>
              <w:pStyle w:val="TableContents"/>
              <w:spacing w:before="0" w:after="283"/>
              <w:ind w:left="0" w:right="0" w:hanging="0"/>
              <w:rPr/>
            </w:pPr>
            <w:r>
              <w:rPr/>
              <w:t> </w:t>
            </w:r>
          </w:p>
        </w:tc>
        <w:tc>
          <w:tcPr>
            <w:tcW w:w="199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4" w:type="dxa"/>
            <w:tcBorders/>
            <w:shd w:fill="CCEEFF" w:val="clear"/>
            <w:vAlign w:val="center"/>
          </w:tcPr>
          <w:p>
            <w:pPr>
              <w:pStyle w:val="TableContents"/>
              <w:spacing w:before="0" w:after="283"/>
              <w:jc w:val="right"/>
              <w:rPr/>
            </w:pPr>
            <w:r>
              <w:rPr>
                <w:rStyle w:val="Emphasis"/>
              </w:rPr>
              <w:t> </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3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(674,465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514" w:type="dxa"/>
            <w:tcBorders/>
            <w:shd w:fill="FFFFFF" w:val="clear"/>
            <w:vAlign w:val="center"/>
          </w:tcPr>
          <w:p>
            <w:pPr>
              <w:pStyle w:val="TableContents"/>
              <w:spacing w:before="0" w:after="283"/>
              <w:ind w:left="0" w:right="0" w:hanging="0"/>
              <w:rPr/>
            </w:pPr>
            <w:r>
              <w:rPr/>
              <w:t> </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4" w:type="dxa"/>
            <w:tcBorders/>
            <w:shd w:fill="FFFFFF" w:val="clear"/>
            <w:vAlign w:val="center"/>
          </w:tcPr>
          <w:p>
            <w:pPr>
              <w:pStyle w:val="TableContents"/>
              <w:spacing w:before="0" w:after="283"/>
              <w:jc w:val="right"/>
              <w:rPr/>
            </w:pPr>
            <w:r>
              <w:rPr>
                <w:rStyle w:val="Emphasis"/>
              </w:rPr>
              <w:t> </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(631,957</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514" w:type="dxa"/>
            <w:tcBorders/>
            <w:shd w:fill="CCEEFF" w:val="clear"/>
            <w:vAlign w:val="center"/>
          </w:tcPr>
          <w:p>
            <w:pPr>
              <w:pStyle w:val="TableContents"/>
              <w:spacing w:before="0" w:after="283"/>
              <w:ind w:left="0" w:right="0" w:hanging="0"/>
              <w:rPr/>
            </w:pPr>
            <w:r>
              <w:rPr/>
              <w:t> </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4" w:type="dxa"/>
            <w:tcBorders/>
            <w:shd w:fill="CCEEFF" w:val="clear"/>
            <w:vAlign w:val="center"/>
          </w:tcPr>
          <w:p>
            <w:pPr>
              <w:pStyle w:val="TableContents"/>
              <w:spacing w:before="0" w:after="283"/>
              <w:jc w:val="right"/>
              <w:rPr/>
            </w:pPr>
            <w:r>
              <w:rPr>
                <w:rStyle w:val="Emphasis"/>
              </w:rPr>
              <w:t> </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FFFFFF" w:val="clear"/>
            <w:vAlign w:val="center"/>
          </w:tcPr>
          <w:p>
            <w:pPr>
              <w:pStyle w:val="TableContents"/>
              <w:spacing w:before="0" w:after="283"/>
              <w:rPr/>
            </w:pPr>
            <w:r>
              <w:rPr/>
              <w:t> </w:t>
            </w:r>
          </w:p>
        </w:tc>
        <w:tc>
          <w:tcPr>
            <w:tcW w:w="9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3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4,730,394</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ind w:left="0" w:right="0" w:hanging="0"/>
              <w:rPr/>
            </w:pPr>
            <w:r>
              <w:rPr/>
              <w:t> </w:t>
            </w:r>
          </w:p>
        </w:tc>
        <w:tc>
          <w:tcPr>
            <w:tcW w:w="28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 December 31, 2022</w:t>
            </w:r>
          </w:p>
        </w:tc>
        <w:tc>
          <w:tcPr>
            <w:tcW w:w="60" w:type="dxa"/>
            <w:tcBorders/>
            <w:shd w:fill="CCEEFF" w:val="clear"/>
            <w:vAlign w:val="center"/>
          </w:tcPr>
          <w:p>
            <w:pPr>
              <w:pStyle w:val="TableContents"/>
              <w:spacing w:before="0" w:after="283"/>
              <w:rPr/>
            </w:pPr>
            <w:r>
              <w:rPr/>
              <w:t> </w:t>
            </w:r>
          </w:p>
        </w:tc>
        <w:tc>
          <w:tcPr>
            <w:tcW w:w="9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3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3,230,670</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ind w:left="0" w:right="0" w:hanging="0"/>
              <w:rPr/>
            </w:pPr>
            <w:r>
              <w:rPr/>
              <w:t> </w:t>
            </w:r>
          </w:p>
        </w:tc>
        <w:tc>
          <w:tcPr>
            <w:tcW w:w="28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5.07</w:t>
            </w:r>
          </w:p>
        </w:tc>
        <w:tc>
          <w:tcPr>
            <w:tcW w:w="63"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The intrinsic value of time-based options exercised during the years ended </w:t>
      </w:r>
      <w:r>
        <w:rPr>
          <w:rStyle w:val="Emphasis"/>
          <w:rFonts w:ascii="Times New Roman" w:hAnsi="Times New Roman"/>
          <w:caps w:val="false"/>
          <w:smallCaps w:val="false"/>
          <w:sz w:val="20"/>
        </w:rPr>
        <w:t xml:space="preserve"> 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was zero, $0.8 million, and $1.6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The fair value of the time-based options granted to employees and directors during the years ended </w:t>
      </w:r>
      <w:r>
        <w:rPr>
          <w:rStyle w:val="Emphasis"/>
          <w:rFonts w:ascii="Times New Roman" w:hAnsi="Times New Roman"/>
          <w:caps w:val="false"/>
          <w:smallCaps w:val="false"/>
          <w:sz w:val="20"/>
        </w:rPr>
        <w:t xml:space="preserve"> 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was $2.3 million, $15.1 million, and $6.7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Performance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Certain stock options awarded to the Company’s executives and other employees contain performance conditions related to certain financial measures and achievements of strategic/operational milestones. The options will vest and become exercisable once the specific performance condition is fulfilled.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00"/>
        <w:jc w:val="both"/>
        <w:rPr/>
      </w:pPr>
      <w:r>
        <w:rPr>
          <w:rFonts w:ascii="Times New Roman" w:hAnsi="Times New Roman"/>
          <w:caps w:val="false"/>
          <w:smallCaps w:val="false"/>
          <w:sz w:val="20"/>
        </w:rPr>
        <w:t xml:space="preserve">A summary of the performance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is presented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44"/>
        <w:gridCol w:w="60"/>
        <w:gridCol w:w="91"/>
        <w:gridCol w:w="1310"/>
        <w:gridCol w:w="80"/>
        <w:gridCol w:w="60"/>
        <w:gridCol w:w="514"/>
        <w:gridCol w:w="1995"/>
        <w:gridCol w:w="60"/>
        <w:gridCol w:w="60"/>
        <w:gridCol w:w="444"/>
        <w:gridCol w:w="2824"/>
        <w:gridCol w:w="63"/>
      </w:tblGrid>
      <w:tr>
        <w:trPr/>
        <w:tc>
          <w:tcPr>
            <w:tcW w:w="26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38"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0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6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2021</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31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1,200,097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ind w:left="0" w:right="0" w:hanging="0"/>
              <w:rPr/>
            </w:pPr>
            <w:r>
              <w:rPr/>
              <w:t> </w:t>
            </w:r>
          </w:p>
        </w:tc>
        <w:tc>
          <w:tcPr>
            <w:tcW w:w="28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8.44</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3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14" w:type="dxa"/>
            <w:tcBorders/>
            <w:shd w:fill="FFFFFF" w:val="clear"/>
            <w:vAlign w:val="center"/>
          </w:tcPr>
          <w:p>
            <w:pPr>
              <w:pStyle w:val="TableContents"/>
              <w:spacing w:before="0" w:after="283"/>
              <w:ind w:left="0" w:right="0" w:hanging="0"/>
              <w:rPr/>
            </w:pPr>
            <w:r>
              <w:rPr/>
              <w:t> </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4" w:type="dxa"/>
            <w:tcBorders/>
            <w:shd w:fill="FFFFFF" w:val="clear"/>
            <w:vAlign w:val="center"/>
          </w:tcPr>
          <w:p>
            <w:pPr>
              <w:pStyle w:val="TableContents"/>
              <w:spacing w:before="0" w:after="283"/>
              <w:jc w:val="right"/>
              <w:rPr/>
            </w:pPr>
            <w:r>
              <w:rPr>
                <w:rStyle w:val="Emphasis"/>
              </w:rPr>
              <w:t> </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131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14" w:type="dxa"/>
            <w:tcBorders/>
            <w:shd w:fill="CCEEFF" w:val="clear"/>
            <w:vAlign w:val="center"/>
          </w:tcPr>
          <w:p>
            <w:pPr>
              <w:pStyle w:val="TableContents"/>
              <w:spacing w:before="0" w:after="283"/>
              <w:ind w:left="0" w:right="0" w:hanging="0"/>
              <w:rPr/>
            </w:pPr>
            <w:r>
              <w:rPr/>
              <w:t> </w:t>
            </w:r>
          </w:p>
        </w:tc>
        <w:tc>
          <w:tcPr>
            <w:tcW w:w="199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4" w:type="dxa"/>
            <w:tcBorders/>
            <w:shd w:fill="CCEEFF" w:val="clear"/>
            <w:vAlign w:val="center"/>
          </w:tcPr>
          <w:p>
            <w:pPr>
              <w:pStyle w:val="TableContents"/>
              <w:spacing w:before="0" w:after="283"/>
              <w:rPr/>
            </w:pPr>
            <w:r>
              <w:rPr>
                <w:rStyle w:val="Emphasis"/>
              </w:rPr>
              <w:t> </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131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(797,920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514" w:type="dxa"/>
            <w:tcBorders/>
            <w:shd w:fill="FFFFFF" w:val="clear"/>
            <w:vAlign w:val="center"/>
          </w:tcPr>
          <w:p>
            <w:pPr>
              <w:pStyle w:val="TableContents"/>
              <w:spacing w:before="0" w:after="283"/>
              <w:ind w:left="0" w:right="0" w:hanging="0"/>
              <w:rPr/>
            </w:pPr>
            <w:r>
              <w:rPr/>
              <w:t> </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2824" w:type="dxa"/>
            <w:tcBorders/>
            <w:shd w:fill="FFFFFF" w:val="clear"/>
            <w:vAlign w:val="center"/>
          </w:tcPr>
          <w:p>
            <w:pPr>
              <w:pStyle w:val="TableContents"/>
              <w:spacing w:before="0" w:after="283"/>
              <w:rPr/>
            </w:pPr>
            <w:r>
              <w:rPr>
                <w:rStyle w:val="Emphasis"/>
              </w:rPr>
              <w:t> </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3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(81,875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514" w:type="dxa"/>
            <w:tcBorders/>
            <w:shd w:fill="CCEEFF" w:val="clear"/>
            <w:vAlign w:val="center"/>
          </w:tcPr>
          <w:p>
            <w:pPr>
              <w:pStyle w:val="TableContents"/>
              <w:spacing w:before="0" w:after="283"/>
              <w:ind w:left="0" w:right="0" w:hanging="0"/>
              <w:rPr/>
            </w:pPr>
            <w:r>
              <w:rPr/>
              <w:t> </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rPr/>
            </w:pPr>
            <w:r>
              <w:rPr/>
              <w:t> </w:t>
            </w:r>
          </w:p>
        </w:tc>
        <w:tc>
          <w:tcPr>
            <w:tcW w:w="2824" w:type="dxa"/>
            <w:tcBorders/>
            <w:shd w:fill="CCEEFF" w:val="clear"/>
            <w:vAlign w:val="center"/>
          </w:tcPr>
          <w:p>
            <w:pPr>
              <w:pStyle w:val="TableContents"/>
              <w:spacing w:before="0" w:after="283"/>
              <w:rPr/>
            </w:pPr>
            <w:r>
              <w:rPr>
                <w:rStyle w:val="Emphasis"/>
              </w:rPr>
              <w:t> </w:t>
            </w:r>
          </w:p>
        </w:tc>
        <w:tc>
          <w:tcPr>
            <w:tcW w:w="63" w:type="dxa"/>
            <w:tcBorders/>
            <w:shd w:fill="CCEEFF" w:val="clear"/>
            <w:vAlign w:val="center"/>
          </w:tcPr>
          <w:p>
            <w:pPr>
              <w:pStyle w:val="TableContents"/>
              <w:spacing w:before="0" w:after="283"/>
              <w:rPr/>
            </w:pPr>
            <w:r>
              <w:rPr/>
              <w:t> </w:t>
            </w:r>
          </w:p>
        </w:tc>
      </w:tr>
      <w:tr>
        <w:trPr/>
        <w:tc>
          <w:tcPr>
            <w:tcW w:w="264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FFFFFF" w:val="clear"/>
            <w:vAlign w:val="center"/>
          </w:tcPr>
          <w:p>
            <w:pPr>
              <w:pStyle w:val="TableContents"/>
              <w:spacing w:before="0" w:after="283"/>
              <w:rPr/>
            </w:pPr>
            <w:r>
              <w:rPr/>
              <w:t> </w:t>
            </w:r>
          </w:p>
        </w:tc>
        <w:tc>
          <w:tcPr>
            <w:tcW w:w="9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3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520,302</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ind w:left="0" w:right="0" w:hanging="0"/>
              <w:rPr/>
            </w:pPr>
            <w:r>
              <w:rPr/>
              <w:t> </w:t>
            </w:r>
          </w:p>
        </w:tc>
        <w:tc>
          <w:tcPr>
            <w:tcW w:w="28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7.02</w:t>
            </w:r>
          </w:p>
        </w:tc>
        <w:tc>
          <w:tcPr>
            <w:tcW w:w="63" w:type="dxa"/>
            <w:tcBorders/>
            <w:shd w:fill="FFFFFF" w:val="clear"/>
            <w:vAlign w:val="center"/>
          </w:tcPr>
          <w:p>
            <w:pPr>
              <w:pStyle w:val="TableContents"/>
              <w:spacing w:before="0" w:after="283"/>
              <w:rPr/>
            </w:pPr>
            <w:r>
              <w:rPr/>
              <w:t> </w:t>
            </w:r>
          </w:p>
        </w:tc>
      </w:tr>
      <w:tr>
        <w:trPr/>
        <w:tc>
          <w:tcPr>
            <w:tcW w:w="264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 December 31, 2022</w:t>
            </w:r>
          </w:p>
        </w:tc>
        <w:tc>
          <w:tcPr>
            <w:tcW w:w="60" w:type="dxa"/>
            <w:tcBorders/>
            <w:shd w:fill="CCEEFF" w:val="clear"/>
            <w:vAlign w:val="center"/>
          </w:tcPr>
          <w:p>
            <w:pPr>
              <w:pStyle w:val="TableContents"/>
              <w:spacing w:before="0" w:after="283"/>
              <w:rPr/>
            </w:pPr>
            <w:r>
              <w:rPr/>
              <w:t> </w:t>
            </w:r>
          </w:p>
        </w:tc>
        <w:tc>
          <w:tcPr>
            <w:tcW w:w="9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3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248,861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1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9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4" w:type="dxa"/>
            <w:tcBorders/>
            <w:shd w:fill="CCEEFF" w:val="clear"/>
            <w:vAlign w:val="center"/>
          </w:tcPr>
          <w:p>
            <w:pPr>
              <w:pStyle w:val="TableContents"/>
              <w:spacing w:before="0" w:after="283"/>
              <w:ind w:left="0" w:right="0" w:hanging="0"/>
              <w:rPr/>
            </w:pPr>
            <w:r>
              <w:rPr/>
              <w:t> </w:t>
            </w:r>
          </w:p>
        </w:tc>
        <w:tc>
          <w:tcPr>
            <w:tcW w:w="28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4.92</w:t>
            </w:r>
          </w:p>
        </w:tc>
        <w:tc>
          <w:tcPr>
            <w:tcW w:w="63"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fair value of the performance options granted to employees during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was $0.8 million, $2.5 million, and $5.5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fair value of employee stock options was estimated using the Black-Scholes option-pricing model utilizing the following assumptions:</w:t>
      </w:r>
    </w:p>
    <w:p>
      <w:pPr>
        <w:pStyle w:val="TextBody"/>
        <w:spacing w:before="0" w:after="0"/>
        <w:ind w:left="0" w:right="0" w:hanging="0"/>
        <w:rPr>
          <w:caps w:val="false"/>
          <w:smallCaps w:val="false"/>
        </w:rPr>
      </w:pPr>
      <w:r>
        <w:rPr>
          <w:caps w:val="false"/>
          <w:smallCaps w:val="false"/>
        </w:rPr>
        <w:t> </w:t>
      </w:r>
    </w:p>
    <w:tbl>
      <w:tblPr>
        <w:tblW w:w="4640" w:type="dxa"/>
        <w:jc w:val="left"/>
        <w:tblInd w:w="0" w:type="dxa"/>
        <w:tblCellMar>
          <w:top w:w="0" w:type="dxa"/>
          <w:left w:w="0" w:type="dxa"/>
          <w:bottom w:w="0" w:type="dxa"/>
          <w:right w:w="0" w:type="dxa"/>
        </w:tblCellMar>
      </w:tblPr>
      <w:tblGrid>
        <w:gridCol w:w="1865"/>
        <w:gridCol w:w="60"/>
        <w:gridCol w:w="845"/>
        <w:gridCol w:w="60"/>
        <w:gridCol w:w="845"/>
        <w:gridCol w:w="60"/>
        <w:gridCol w:w="845"/>
        <w:gridCol w:w="60"/>
      </w:tblGrid>
      <w:tr>
        <w:trPr/>
        <w:tc>
          <w:tcPr>
            <w:tcW w:w="1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55" w:type="dxa"/>
            <w:gridSpan w:val="5"/>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5.3 - 6.8</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5.3 - 6.1</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5.3 - 6.1</w:t>
            </w:r>
          </w:p>
        </w:tc>
        <w:tc>
          <w:tcPr>
            <w:tcW w:w="60"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pPr>
            <w:r>
              <w:rPr>
                <w:rStyle w:val="Emphasis"/>
                <w:rFonts w:ascii="Times New Roman" w:hAnsi="Times New Roman"/>
                <w:caps w:val="false"/>
                <w:smallCaps w:val="false"/>
                <w:sz w:val="20"/>
              </w:rPr>
              <w:t>83</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88%</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78%</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w:t>
            </w:r>
          </w:p>
        </w:tc>
        <w:tc>
          <w:tcPr>
            <w:tcW w:w="60" w:type="dxa"/>
            <w:tcBorders/>
            <w:shd w:fill="FFFFFF"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1.9 - 3.2%</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0.9 - 1.4%</w:t>
            </w:r>
          </w:p>
        </w:tc>
        <w:tc>
          <w:tcPr>
            <w:tcW w:w="60"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0.3 - 0.5%</w:t>
            </w:r>
          </w:p>
        </w:tc>
        <w:tc>
          <w:tcPr>
            <w:tcW w:w="60"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Board previously adopted and the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or (iii) such number of shares as determined by the Board.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Board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increase the number of shares of common stock available pursuant to the evergreen provision. Effective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pursuant to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was increased by 383,250 shares. During the years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issued 188,097 and 91,378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respectively.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460,999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fair value of ESPP was estimated using the Black-Scholes option-pricing model utilizing the following assumptions:</w:t>
      </w:r>
    </w:p>
    <w:p>
      <w:pPr>
        <w:pStyle w:val="TextBody"/>
        <w:spacing w:before="0" w:after="0"/>
        <w:ind w:left="0" w:right="0" w:hanging="0"/>
        <w:rPr>
          <w:caps w:val="false"/>
          <w:smallCaps w:val="false"/>
        </w:rPr>
      </w:pPr>
      <w:r>
        <w:rPr>
          <w:caps w:val="false"/>
          <w:smallCaps w:val="false"/>
        </w:rPr>
        <w:t> </w:t>
      </w:r>
    </w:p>
    <w:tbl>
      <w:tblPr>
        <w:tblW w:w="5365" w:type="dxa"/>
        <w:jc w:val="left"/>
        <w:tblInd w:w="0" w:type="dxa"/>
        <w:tblCellMar>
          <w:top w:w="0" w:type="dxa"/>
          <w:left w:w="0" w:type="dxa"/>
          <w:bottom w:w="0" w:type="dxa"/>
          <w:right w:w="0" w:type="dxa"/>
        </w:tblCellMar>
      </w:tblPr>
      <w:tblGrid>
        <w:gridCol w:w="1865"/>
        <w:gridCol w:w="60"/>
        <w:gridCol w:w="1010"/>
        <w:gridCol w:w="60"/>
        <w:gridCol w:w="1115"/>
        <w:gridCol w:w="60"/>
        <w:gridCol w:w="1010"/>
        <w:gridCol w:w="185"/>
      </w:tblGrid>
      <w:tr>
        <w:trPr/>
        <w:tc>
          <w:tcPr>
            <w:tcW w:w="1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55" w:type="dxa"/>
            <w:gridSpan w:val="5"/>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ind w:left="0" w:right="0" w:hanging="0"/>
              <w:rPr/>
            </w:pPr>
            <w:r>
              <w:rPr/>
              <w:t> </w:t>
            </w:r>
          </w:p>
        </w:tc>
        <w:tc>
          <w:tcPr>
            <w:tcW w:w="111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spacing w:before="0" w:after="283"/>
              <w:ind w:left="0" w:right="0" w:hanging="0"/>
              <w:rPr/>
            </w:pPr>
            <w:r>
              <w:rPr/>
              <w:t> </w:t>
            </w:r>
          </w:p>
        </w:tc>
        <w:tc>
          <w:tcPr>
            <w:tcW w:w="1010"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spacing w:before="0" w:after="283"/>
              <w:ind w:left="0" w:right="0" w:hanging="0"/>
              <w:rPr/>
            </w:pPr>
            <w:r>
              <w:rPr/>
              <w:t> </w:t>
            </w:r>
          </w:p>
        </w:tc>
        <w:tc>
          <w:tcPr>
            <w:tcW w:w="1115" w:type="dxa"/>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spacing w:before="0" w:after="283"/>
              <w:ind w:left="0" w:right="0" w:hanging="0"/>
              <w:rPr/>
            </w:pPr>
            <w:r>
              <w:rPr/>
              <w:t> </w:t>
            </w:r>
          </w:p>
        </w:tc>
        <w:tc>
          <w:tcPr>
            <w:tcW w:w="1010" w:type="dxa"/>
            <w:tcBorders/>
            <w:shd w:fill="CCEEFF" w:val="clear"/>
            <w:vAlign w:val="center"/>
          </w:tcPr>
          <w:p>
            <w:pPr>
              <w:pStyle w:val="TableContents"/>
              <w:spacing w:before="0" w:after="283"/>
              <w:ind w:left="0" w:right="0" w:hanging="0"/>
              <w:jc w:val="center"/>
              <w:rPr>
                <w:rFonts w:ascii="Times New Roman" w:hAnsi="Times New Roman"/>
                <w:sz w:val="20"/>
              </w:rPr>
            </w:pPr>
            <w:r>
              <w:rPr>
                <w:rFonts w:ascii="Times New Roman" w:hAnsi="Times New Roman"/>
                <w:sz w:val="20"/>
              </w:rPr>
              <w:t>0.5 - 1.0</w:t>
            </w:r>
          </w:p>
        </w:tc>
        <w:tc>
          <w:tcPr>
            <w:tcW w:w="185"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spacing w:before="0" w:after="283"/>
              <w:ind w:left="0" w:right="0" w:hanging="0"/>
              <w:rPr/>
            </w:pPr>
            <w:r>
              <w:rPr/>
              <w:t> </w:t>
            </w:r>
          </w:p>
        </w:tc>
        <w:tc>
          <w:tcPr>
            <w:tcW w:w="101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w:t>
            </w:r>
          </w:p>
        </w:tc>
        <w:tc>
          <w:tcPr>
            <w:tcW w:w="60" w:type="dxa"/>
            <w:tcBorders/>
            <w:shd w:fill="FFFFFF" w:val="clear"/>
            <w:vAlign w:val="center"/>
          </w:tcPr>
          <w:p>
            <w:pPr>
              <w:pStyle w:val="TableContents"/>
              <w:spacing w:before="0" w:after="283"/>
              <w:ind w:left="0" w:right="0" w:hanging="0"/>
              <w:rPr/>
            </w:pPr>
            <w:r>
              <w:rPr/>
              <w:t> </w:t>
            </w:r>
          </w:p>
        </w:tc>
        <w:tc>
          <w:tcPr>
            <w:tcW w:w="1115"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78%</w:t>
            </w:r>
          </w:p>
        </w:tc>
        <w:tc>
          <w:tcPr>
            <w:tcW w:w="60" w:type="dxa"/>
            <w:tcBorders/>
            <w:shd w:fill="FFFFFF" w:val="clear"/>
            <w:vAlign w:val="center"/>
          </w:tcPr>
          <w:p>
            <w:pPr>
              <w:pStyle w:val="TableContents"/>
              <w:spacing w:before="0" w:after="283"/>
              <w:ind w:left="0" w:right="0" w:hanging="0"/>
              <w:rPr/>
            </w:pPr>
            <w:r>
              <w:rPr/>
              <w:t> </w:t>
            </w:r>
          </w:p>
        </w:tc>
        <w:tc>
          <w:tcPr>
            <w:tcW w:w="1010" w:type="dxa"/>
            <w:tcBorders/>
            <w:shd w:fill="FFFF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spacing w:before="0" w:after="283"/>
              <w:ind w:left="0" w:right="0" w:hanging="0"/>
              <w:rPr/>
            </w:pPr>
            <w:r>
              <w:rPr/>
              <w:t> </w:t>
            </w:r>
          </w:p>
        </w:tc>
        <w:tc>
          <w:tcPr>
            <w:tcW w:w="101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0.6% - 3.5%</w:t>
            </w:r>
          </w:p>
        </w:tc>
        <w:tc>
          <w:tcPr>
            <w:tcW w:w="60" w:type="dxa"/>
            <w:tcBorders/>
            <w:shd w:fill="CCEEFF" w:val="clear"/>
            <w:vAlign w:val="center"/>
          </w:tcPr>
          <w:p>
            <w:pPr>
              <w:pStyle w:val="TableContents"/>
              <w:spacing w:before="0" w:after="283"/>
              <w:ind w:left="0" w:right="0" w:hanging="0"/>
              <w:rPr/>
            </w:pPr>
            <w:r>
              <w:rPr/>
              <w:t> </w:t>
            </w:r>
          </w:p>
        </w:tc>
        <w:tc>
          <w:tcPr>
            <w:tcW w:w="1115"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0.06% - 0.1%</w:t>
            </w:r>
          </w:p>
        </w:tc>
        <w:tc>
          <w:tcPr>
            <w:tcW w:w="60" w:type="dxa"/>
            <w:tcBorders/>
            <w:shd w:fill="CCEEFF" w:val="clear"/>
            <w:vAlign w:val="center"/>
          </w:tcPr>
          <w:p>
            <w:pPr>
              <w:pStyle w:val="TableContents"/>
              <w:spacing w:before="0" w:after="283"/>
              <w:ind w:left="0" w:right="0" w:hanging="0"/>
              <w:rPr/>
            </w:pPr>
            <w:r>
              <w:rPr/>
              <w:t> </w:t>
            </w:r>
          </w:p>
        </w:tc>
        <w:tc>
          <w:tcPr>
            <w:tcW w:w="1010" w:type="dxa"/>
            <w:tcBorders/>
            <w:shd w:fill="CCEEFF"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 - 1.0%</w:t>
            </w:r>
          </w:p>
        </w:tc>
        <w:tc>
          <w:tcPr>
            <w:tcW w:w="185"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spacing w:before="0" w:after="283"/>
              <w:ind w:left="0" w:right="0" w:hanging="0"/>
              <w:rPr/>
            </w:pPr>
            <w:r>
              <w:rPr/>
              <w:t> </w:t>
            </w:r>
          </w:p>
        </w:tc>
        <w:tc>
          <w:tcPr>
            <w:tcW w:w="1010"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115"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spacing w:before="0" w:after="283"/>
              <w:ind w:left="0" w:right="0" w:hanging="0"/>
              <w:rPr/>
            </w:pPr>
            <w:r>
              <w:rPr/>
              <w:t> </w:t>
            </w:r>
          </w:p>
        </w:tc>
        <w:tc>
          <w:tcPr>
            <w:tcW w:w="1010" w:type="dxa"/>
            <w:tcBorders/>
            <w:shd w:fill="FFFFFF" w:val="clear"/>
            <w:vAlign w:val="center"/>
          </w:tcPr>
          <w:p>
            <w:pPr>
              <w:pStyle w:val="TableContents"/>
              <w:spacing w:before="0" w:after="0"/>
              <w:ind w:left="0" w:right="0" w:hanging="0"/>
              <w:jc w:val="center"/>
              <w:rPr>
                <w:caps w:val="false"/>
                <w:smallCaps w:val="false"/>
              </w:rPr>
            </w:pPr>
            <w:r>
              <w:rPr>
                <w:caps w:val="false"/>
                <w:smallCaps w:val="false"/>
              </w:rPr>
              <w:t>—</w:t>
            </w:r>
          </w:p>
        </w:tc>
        <w:tc>
          <w:tcPr>
            <w:tcW w:w="18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fair value of RSU awards is determined based on the number of units granted and the closing price of the Company’s common stock as of the grant date. The estimated fair value of RSUs is recognized on a straight-line basis over the requisite service period.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4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2017, </w:t>
      </w:r>
      <w:r>
        <w:rPr>
          <w:rFonts w:ascii="Times New Roman" w:hAnsi="Times New Roman"/>
          <w:caps w:val="false"/>
          <w:smallCaps w:val="false"/>
          <w:sz w:val="20"/>
        </w:rPr>
        <w:t xml:space="preserve">the Company granted 160,974 RSUs to the Chief Executive Officer, all of which vested in </w:t>
      </w:r>
      <w:r>
        <w:rPr>
          <w:rStyle w:val="Emphasis"/>
          <w:rFonts w:ascii="Times New Roman" w:hAnsi="Times New Roman"/>
          <w:caps w:val="false"/>
          <w:smallCaps w:val="false"/>
          <w:sz w:val="20"/>
        </w:rPr>
        <w:t xml:space="preserve">June 2018. </w:t>
      </w:r>
      <w:r>
        <w:rPr>
          <w:rFonts w:ascii="Times New Roman" w:hAnsi="Times New Roman"/>
          <w:caps w:val="false"/>
          <w:smallCaps w:val="false"/>
          <w:sz w:val="20"/>
        </w:rPr>
        <w:t xml:space="preserve">These shares were partially released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resulting in a net issuance of shares. Additional paid in capital was reduced for tax payments related to shares withheld in connection with the release. The remaining shares under this grant were released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no shares were outstanding under this grant. There was no stock-based compensation expense related to these RSUs recorded in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there was no unrecognized compensation expense related to these RSUs.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2017, </w:t>
      </w:r>
      <w:r>
        <w:rPr>
          <w:rFonts w:ascii="Times New Roman" w:hAnsi="Times New Roman"/>
          <w:caps w:val="false"/>
          <w:smallCaps w:val="false"/>
          <w:sz w:val="20"/>
        </w:rPr>
        <w:t xml:space="preserve">the Company granted 68,800 RSUs to certain employees, of which 50% vested on </w:t>
      </w:r>
      <w:r>
        <w:rPr>
          <w:rStyle w:val="Emphasis"/>
          <w:rFonts w:ascii="Times New Roman" w:hAnsi="Times New Roman"/>
          <w:caps w:val="false"/>
          <w:smallCaps w:val="false"/>
          <w:sz w:val="20"/>
        </w:rPr>
        <w:t xml:space="preserve">June 1, 2019 </w:t>
      </w:r>
      <w:r>
        <w:rPr>
          <w:rFonts w:ascii="Times New Roman" w:hAnsi="Times New Roman"/>
          <w:caps w:val="false"/>
          <w:smallCaps w:val="false"/>
          <w:sz w:val="20"/>
        </w:rPr>
        <w:t xml:space="preserve">while the remaining 50% vested on </w:t>
      </w:r>
      <w:r>
        <w:rPr>
          <w:rStyle w:val="Emphasis"/>
          <w:rFonts w:ascii="Times New Roman" w:hAnsi="Times New Roman"/>
          <w:caps w:val="false"/>
          <w:smallCaps w:val="false"/>
          <w:sz w:val="20"/>
        </w:rPr>
        <w:t xml:space="preserve">June 1, 2021. </w:t>
      </w:r>
      <w:r>
        <w:rPr>
          <w:rFonts w:ascii="Times New Roman" w:hAnsi="Times New Roman"/>
          <w:caps w:val="false"/>
          <w:smallCaps w:val="false"/>
          <w:sz w:val="20"/>
        </w:rPr>
        <w:t xml:space="preserve">The stock-based compensation expense recorded in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related to these RSUs was approximately zero million, $0.1 million, and $0.3 million, respectively.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there was no unrecognized compensation expense related to these RSUs.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recorded in the consolidated statements of operations and comprehensive loss was as follows (in thousands):</w:t>
      </w:r>
    </w:p>
    <w:p>
      <w:pPr>
        <w:pStyle w:val="TextBody"/>
        <w:spacing w:before="0" w:after="0"/>
        <w:ind w:left="0" w:right="0" w:firstLine="500"/>
        <w:jc w:val="both"/>
        <w:rPr>
          <w:caps w:val="false"/>
          <w:smallCaps w:val="false"/>
        </w:rPr>
      </w:pPr>
      <w:r>
        <w:rPr>
          <w:caps w:val="false"/>
          <w:smallCaps w:val="false"/>
        </w:rPr>
        <w:t> </w:t>
      </w:r>
    </w:p>
    <w:tbl>
      <w:tblPr>
        <w:tblW w:w="5750" w:type="dxa"/>
        <w:jc w:val="left"/>
        <w:tblInd w:w="0" w:type="dxa"/>
        <w:tblCellMar>
          <w:top w:w="0" w:type="dxa"/>
          <w:left w:w="0" w:type="dxa"/>
          <w:bottom w:w="0" w:type="dxa"/>
          <w:right w:w="0" w:type="dxa"/>
        </w:tblCellMar>
      </w:tblPr>
      <w:tblGrid>
        <w:gridCol w:w="3350"/>
        <w:gridCol w:w="60"/>
        <w:gridCol w:w="125"/>
        <w:gridCol w:w="485"/>
        <w:gridCol w:w="60"/>
        <w:gridCol w:w="60"/>
        <w:gridCol w:w="125"/>
        <w:gridCol w:w="590"/>
        <w:gridCol w:w="60"/>
        <w:gridCol w:w="60"/>
        <w:gridCol w:w="125"/>
        <w:gridCol w:w="590"/>
        <w:gridCol w:w="60"/>
      </w:tblGrid>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4,013</w:t>
            </w:r>
          </w:p>
        </w:tc>
        <w:tc>
          <w:tcPr>
            <w:tcW w:w="60" w:type="dxa"/>
            <w:tcBorders/>
            <w:shd w:fill="FFFFFF"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1,187</w:t>
            </w:r>
          </w:p>
        </w:tc>
        <w:tc>
          <w:tcPr>
            <w:tcW w:w="60" w:type="dxa"/>
            <w:tcBorders/>
            <w:shd w:fill="CCEEFF" w:val="cle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2,678</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6,512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4,875</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14,601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10,075</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 of the performance conditions of the performance options are probable to be achieved. Compensation expense has only been recognized for those conditions that are assumed to be probable.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 xml:space="preserve">the Compensation Committee approved of a modification to certain vesting conditions of outstanding Performance Options. 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any compensation expense in relation to these Performance Options as the performance condition was previously deemed to be improbable. However, upon modification those specific performance conditions were deemed probable and fully vested. As such, 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full expense in relation to the amended performance conditions was recognized resulting in $4.1 million of additional stock-compensation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Board amended the outstanding option awards of Kenneth A. Clark upon his resignation from the Board. The requirement that Mr. Clark exercise his vested options within ninety days of his resignation was waived. Mr. Clark will have the ability to exercise his outstanding vested option awards at any time during their ten-year term from the date of each grant, subject to earlier termination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occur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This amendment resulted in $1.4 million of additional stock-compensation expense during the year ended </w:t>
      </w:r>
      <w:r>
        <w:rPr>
          <w:rStyle w:val="Emphasis"/>
          <w:rFonts w:ascii="Times New Roman" w:hAnsi="Times New Roman"/>
          <w:caps w:val="false"/>
          <w:smallCaps w:val="false"/>
          <w:sz w:val="20"/>
        </w:rPr>
        <w:t>December 31, 2021.</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award type was as follows (in thousands):</w:t>
      </w:r>
    </w:p>
    <w:p>
      <w:pPr>
        <w:pStyle w:val="TextBody"/>
        <w:spacing w:before="0" w:after="0"/>
        <w:ind w:left="0" w:right="0" w:hanging="0"/>
        <w:rPr>
          <w:caps w:val="false"/>
          <w:smallCaps w:val="false"/>
        </w:rPr>
      </w:pPr>
      <w:r>
        <w:rPr>
          <w:caps w:val="false"/>
          <w:smallCaps w:val="false"/>
        </w:rPr>
        <w:t> </w:t>
      </w:r>
    </w:p>
    <w:tbl>
      <w:tblPr>
        <w:tblW w:w="5750" w:type="dxa"/>
        <w:jc w:val="left"/>
        <w:tblInd w:w="0" w:type="dxa"/>
        <w:tblCellMar>
          <w:top w:w="0" w:type="dxa"/>
          <w:left w:w="0" w:type="dxa"/>
          <w:bottom w:w="0" w:type="dxa"/>
          <w:right w:w="0" w:type="dxa"/>
        </w:tblCellMar>
      </w:tblPr>
      <w:tblGrid>
        <w:gridCol w:w="3350"/>
        <w:gridCol w:w="60"/>
        <w:gridCol w:w="125"/>
        <w:gridCol w:w="485"/>
        <w:gridCol w:w="60"/>
        <w:gridCol w:w="60"/>
        <w:gridCol w:w="125"/>
        <w:gridCol w:w="590"/>
        <w:gridCol w:w="60"/>
        <w:gridCol w:w="60"/>
        <w:gridCol w:w="125"/>
        <w:gridCol w:w="590"/>
        <w:gridCol w:w="60"/>
      </w:tblGrid>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Time-based options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8,739</w:t>
            </w:r>
          </w:p>
        </w:tc>
        <w:tc>
          <w:tcPr>
            <w:tcW w:w="60" w:type="dxa"/>
            <w:tcBorders/>
            <w:shd w:fill="CCEEFF" w:val="cle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Performance options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60" w:type="dxa"/>
            <w:tcBorders/>
            <w:shd w:fill="FFFFFF"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RSU</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w:t>
            </w:r>
          </w:p>
        </w:tc>
        <w:tc>
          <w:tcPr>
            <w:tcW w:w="60" w:type="dxa"/>
            <w:tcBorders/>
            <w:shd w:fill="CCEEFF" w:val="clear"/>
            <w:vAlign w:val="center"/>
          </w:tcPr>
          <w:p>
            <w:pPr>
              <w:pStyle w:val="TableContents"/>
              <w:spacing w:before="0" w:after="283"/>
              <w:rPr/>
            </w:pPr>
            <w:r>
              <w:rPr/>
              <w:t> </w:t>
            </w:r>
          </w:p>
        </w:tc>
      </w:tr>
      <w:tr>
        <w:trPr/>
        <w:tc>
          <w:tcPr>
            <w:tcW w:w="33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ESPP</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526</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1,117</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14,601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10,075</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there was $5.6 million of unrecognized compensation cost related to unvested stock-based compensation arrangements, which is expected to be recognized over a weighted average period of 2.25 years.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Research Grants and Agreements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Sponsored Research Agreement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entered into a SRA with ODURF during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pursuant to which the Company sponsors research activities performed by ODURF’s Frank Reidy Center. ODURF is compensated by the Company for its conduct of each study in accordance with the budget and payment terms set forth in the applicable task order. In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we agreed to sponsor a task order for research in the amount of $0.8 million and in </w:t>
      </w:r>
      <w:r>
        <w:rPr>
          <w:rStyle w:val="Emphasis"/>
          <w:rFonts w:ascii="Times New Roman" w:hAnsi="Times New Roman"/>
          <w:caps w:val="false"/>
          <w:smallCaps w:val="false"/>
          <w:sz w:val="20"/>
        </w:rPr>
        <w:t xml:space="preserve">September 2019, </w:t>
      </w:r>
      <w:r>
        <w:rPr>
          <w:rFonts w:ascii="Times New Roman" w:hAnsi="Times New Roman"/>
          <w:caps w:val="false"/>
          <w:smallCaps w:val="false"/>
          <w:sz w:val="20"/>
        </w:rPr>
        <w:t xml:space="preserve">we agreed to sponsor an additional task order for research in the amount of $0.8 million each to be performed during their respective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periods.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we agreed to sponsor a task order for research in the amount of $0.3 million and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we sponsored an additional task order for $0.3 million each to be performed during their respective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periods. These sponsored researches are funded through monthly payments made upon ODURF certifying, to our reasonable satisfaction, that ODURF has met its obligations pursuant to the specified task order and statement of work. The principal investigator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transfer funds within the budget as needed with our approval so long as the obligations of ODURF under the task order and statement of work remain unchanged and unimpaired. During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 incurred costs relating to the SRA equal to $0.2 million, $0.3 million and $0.6 million, respectively.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unbilled SRAs left under the task orders.</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Controlled Launch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 xml:space="preserve">the Company received </w:t>
      </w:r>
      <w:r>
        <w:rPr>
          <w:rStyle w:val="Emphasis"/>
          <w:rFonts w:ascii="Times New Roman" w:hAnsi="Times New Roman"/>
          <w:caps w:val="false"/>
          <w:smallCaps w:val="false"/>
          <w:sz w:val="20"/>
        </w:rPr>
        <w:t>510</w:t>
      </w:r>
      <w:r>
        <w:rPr>
          <w:rFonts w:ascii="Times New Roman" w:hAnsi="Times New Roman"/>
          <w:caps w:val="false"/>
          <w:smallCaps w:val="false"/>
          <w:sz w:val="20"/>
        </w:rPr>
        <w:t xml:space="preserve">(k) clearance from the FDA for its proprietary CellFX System for dermatologic procedures requiring ablation and resurfacing of the skin. In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the Company received CE marking approval for the CellFX System, which allows for marketing of the system in the EU for treatment of general dermatologic conditions, including SH, SK, and cutaneous non-genital warts. Additionally,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the Company received Health Canada approval for the CellFX System, which allows for marketing of the system in Canada for use in dermatological procedures requiring ablation and resurfacing of the skin for the reduction, removal, and/or clearance of cellular-based benign lesions. In </w:t>
      </w:r>
      <w:r>
        <w:rPr>
          <w:rStyle w:val="Emphasis"/>
          <w:rFonts w:ascii="Times New Roman" w:hAnsi="Times New Roman"/>
          <w:caps w:val="false"/>
          <w:smallCaps w:val="false"/>
          <w:sz w:val="20"/>
        </w:rPr>
        <w:t xml:space="preserve">February 2021, </w:t>
      </w:r>
      <w:r>
        <w:rPr>
          <w:rFonts w:ascii="Times New Roman" w:hAnsi="Times New Roman"/>
          <w:caps w:val="false"/>
          <w:smallCaps w:val="false"/>
          <w:sz w:val="20"/>
        </w:rPr>
        <w:t xml:space="preserve">the Company commenced a controlled launch of the CellFX System in the United States and European Union via its CellFX Expectations Excelled Program (the “Controlled Launch”). Subsequent to receiving Health Canada approval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the Company also commenced its Controlled Launch in Canada.</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As part of the Controlled Launch, the Company selected 70 physicians and their practices to be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 to 40 or 50 patients, depending on the contract, for participation in the Controlled Launch, performing a CellFX procedure on each of the appropriately selected patients. The physician and their patients complete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could choose to enter into a purchase agreement with the Company, under which the physician could use the credits earned (or other payments earned, as applicable) towards the purchase of the already-delivered CellFX System, or the physician could return the CellFX System to the Company.</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As patient procedures and surveys were completed under the Controlled Launch program, the Company accrued the value of the credits earned, which were recorded in accrued expenses, with a corresponding charge to sales and marketing expense. During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recorded $0.1 million and $1.8 million, respectively, of net sales and marketing expense in relation to the Controlled Launch.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certain consultants completed the Controlled Launch and entered into purchase agreements with the Company, whereby they used their credits or other earned payments towards the purchase of a CellFX System. Accordingly, approximately $0.4 million of the accrued liability related to the Controlled Launch was relieved and recognized as revenue on a non-cash basis as a result of the purchase.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additional detail of revenue transactions.</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concluded the Controlled Launch program and notified all remaining program participants. In accordance with the Controlled Launch program, physicians having completed the program requirements could elect to purchase their already delivered CellFX System, applying credits earned, or return the CellFX System to the Company. The Company concluded these efforts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has discontinued sales of the CellFX System, although the Company continues to offer its disposable treatment tips to dermatologists who have chosen to retain their existing CellFX consoles.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recognizes revenue at a point in time when it satisfies performance obligations by transferring control of promised goods to its customers. The amount of revenue recognized is equal to the consideration which the Company is entitled to in exchange for the promised goods, excluding any amounts assessed by government authorities for taxes which might be collected from a customer. This consideration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non-cash services performed, as is the case with revenue recognized in connection with the Controlled Launch program. On </w:t>
      </w:r>
      <w:r>
        <w:rPr>
          <w:rStyle w:val="Emphasis"/>
          <w:rFonts w:ascii="Times New Roman" w:hAnsi="Times New Roman"/>
          <w:caps w:val="false"/>
          <w:smallCaps w:val="false"/>
          <w:sz w:val="20"/>
        </w:rPr>
        <w:t xml:space="preserve">September 20, 2022, </w:t>
      </w:r>
      <w:r>
        <w:rPr>
          <w:rFonts w:ascii="Times New Roman" w:hAnsi="Times New Roman"/>
          <w:caps w:val="false"/>
          <w:smallCaps w:val="false"/>
          <w:sz w:val="20"/>
        </w:rPr>
        <w:t>the Company announced its shift in focus to advance its core NPS technology outside of dermatology and concluded its Controlled Launch program. Total revenue recognized for the years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was $0.7 million and $1.4 million, respectively, of which approximately $0.4 million and $1.1 million, respectively, was driven by the redemption of non-cash credits earned as part of the Controlled Launch, with the balances driven by cash purchases of cycle units (“CUs”) and CellFX commercial consoles sold.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Sales contracts often involve the sale and delivery of multiple performance obligations in the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Performance Obligations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Systems consist of the CellFX console and its embedded software, handpieces, and disposable tips. The console is a physical piece of hardware used by the customer to perform patient procedures. Individually the console and software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therefore the Company combines the console and embedded software to form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distinct system performance obligation. Payment for systems is generally due prior to shipment, and the system performance obligation is satisfied upon shipment of the system to the customer.</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Handpieces are attached to the console and used in conjunction with tips to perform patient procedures. Generally, upon initial sale of a system to a customer, the Company will include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Disposable treatment 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when CUs are made available for customers to download from the Company’s CellFX CloudConnect, as customers can use purchased CUs at any time at their discretion,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any ongoing service or other forms of involvement after the sale occurs.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Shipping and handling activities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Transaction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transaction price is the consideration to which the Company expects to be entitled to in exchange for providing the promised goods to customers. Customer orders placed for cash contemplate a fixed amount of consideration. Customer orders placed by physicians participating in the Controlled Launch when they elected to purchase the CellFX System were paid for via conversion of accumulated earned credits for prior services provided by the physicians under the terms of their participation in the Controlled Launch. For these transactions, the transaction price included noncash consideration. The services rendered by the physicians in the Controlled Launch were accounted for separately from the subsequent sales of the CellFX Systems because they were distinct from the system sales. They were distinct because they provided the Company with treatment data that could also be procured, and historically had been procured by the Company, without the corresponding system sales. This data was used by the Company to enhance marketing and promotion of its products.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40"/>
        <w:rPr/>
      </w:pPr>
      <w:r>
        <w:rPr>
          <w:rFonts w:ascii="Times New Roman" w:hAnsi="Times New Roman"/>
          <w:caps w:val="false"/>
          <w:smallCaps w:val="false"/>
          <w:sz w:val="20"/>
        </w:rPr>
        <w:t xml:space="preserve">The Company evaluates the possible impact of variable consideration in determining the transaction price, in particular the possibility of future returns or credits. Sales agreements allow for a right of return only if the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conform to the agreed upon quality standards or if the product was shipped due to Company error. The Company anticipates such returns will be minimal and has made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adjustments to the transaction price for any estimated returns. The transaction price is determined at the time of the initial revenue recognition and updated each quarter for any changes in circumstances (</w:t>
      </w:r>
      <w:r>
        <w:rPr>
          <w:rFonts w:ascii="Times New Roman" w:hAnsi="Times New Roman"/>
          <w:i/>
          <w:caps w:val="false"/>
          <w:smallCaps w:val="false"/>
          <w:sz w:val="20"/>
        </w:rPr>
        <w:t>e.g</w:t>
      </w:r>
      <w:r>
        <w:rPr>
          <w:rFonts w:ascii="Times New Roman" w:hAnsi="Times New Roman"/>
          <w:caps w:val="false"/>
          <w:smallCaps w:val="false"/>
          <w:sz w:val="20"/>
        </w:rPr>
        <w:t>., changes in estimated return or credit rates).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has made an accounting policy election to exclude from the measurement of the transaction price all taxes which are imposed on and concurrent with a specific revenue-producing transaction and collected by the entity from a customer.</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to revenue recognition timing, and the Company has determined allocations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necessary. Should the customer purchase additional CUs, handpieces, or tips at a later time, those purchases will be made under separate purchase agreements, with all promised goods generally transferred at the same time, therefore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price allocation is necessary in that scenario either.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i/>
          <w:caps w:val="false"/>
          <w:smallCaps w:val="false"/>
          <w:sz w:val="20"/>
        </w:rPr>
      </w:pPr>
      <w:r>
        <w:rPr>
          <w:rFonts w:ascii="Times New Roman" w:hAnsi="Times New Roman"/>
          <w:i/>
          <w:caps w:val="false"/>
          <w:smallCaps w:val="false"/>
          <w:sz w:val="20"/>
        </w:rPr>
        <w:t>Controlled Launch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 xml:space="preserve">the Company began to recognize revenue in relation to the conversion of Controlled Launch Program participants into sales agreements (Note </w:t>
      </w:r>
      <w:r>
        <w:rPr>
          <w:rStyle w:val="Emphasis"/>
          <w:rFonts w:ascii="Times New Roman" w:hAnsi="Times New Roman"/>
          <w:caps w:val="false"/>
          <w:smallCaps w:val="false"/>
          <w:sz w:val="20"/>
        </w:rPr>
        <w:t>8</w:t>
      </w:r>
      <w:r>
        <w:rPr>
          <w:rFonts w:ascii="Times New Roman" w:hAnsi="Times New Roman"/>
          <w:caps w:val="false"/>
          <w:smallCaps w:val="false"/>
          <w:sz w:val="20"/>
        </w:rPr>
        <w:t>).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Segment Reporting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operates and manages the business as one reportable and operating segment. The Company’s Chief Executive Officer acts as the chief operating decision maker ("CODM") of the Company. The CODM reviews the results of the Company on a consolidated basis, however in making certain operating decisions and assessing performance, the CODM will additionally review the disaggregated revenue results by product and geography. All of the Company’s long-lived assets are based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Revenue by product consisted of the following (in thousands):</w:t>
      </w:r>
    </w:p>
    <w:p>
      <w:pPr>
        <w:pStyle w:val="TextBody"/>
        <w:spacing w:before="0" w:after="0"/>
        <w:ind w:left="0" w:right="0" w:hanging="0"/>
        <w:rPr>
          <w:caps w:val="false"/>
          <w:smallCaps w:val="false"/>
        </w:rPr>
      </w:pPr>
      <w:r>
        <w:rPr>
          <w:caps w:val="false"/>
          <w:smallCaps w:val="false"/>
        </w:rPr>
        <w:t> </w:t>
      </w:r>
    </w:p>
    <w:tbl>
      <w:tblPr>
        <w:tblW w:w="4519" w:type="dxa"/>
        <w:jc w:val="left"/>
        <w:tblInd w:w="0" w:type="dxa"/>
        <w:tblCellMar>
          <w:top w:w="0" w:type="dxa"/>
          <w:left w:w="0" w:type="dxa"/>
          <w:bottom w:w="0" w:type="dxa"/>
          <w:right w:w="0" w:type="dxa"/>
        </w:tblCellMar>
      </w:tblPr>
      <w:tblGrid>
        <w:gridCol w:w="2240"/>
        <w:gridCol w:w="60"/>
        <w:gridCol w:w="159"/>
        <w:gridCol w:w="427"/>
        <w:gridCol w:w="76"/>
        <w:gridCol w:w="76"/>
        <w:gridCol w:w="159"/>
        <w:gridCol w:w="619"/>
        <w:gridCol w:w="76"/>
        <w:gridCol w:w="76"/>
        <w:gridCol w:w="159"/>
        <w:gridCol w:w="332"/>
        <w:gridCol w:w="60"/>
      </w:tblGrid>
      <w:tr>
        <w:trPr/>
        <w:tc>
          <w:tcPr>
            <w:tcW w:w="2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59"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8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ind w:left="0" w:right="0" w:hanging="0"/>
              <w:rPr/>
            </w:pPr>
            <w:r>
              <w:rPr/>
              <w:t> </w:t>
            </w:r>
          </w:p>
        </w:tc>
        <w:tc>
          <w:tcPr>
            <w:tcW w:w="77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ind w:left="0" w:right="0" w:hanging="0"/>
              <w:rPr/>
            </w:pPr>
            <w:r>
              <w:rPr/>
              <w:t> </w:t>
            </w:r>
          </w:p>
        </w:tc>
        <w:tc>
          <w:tcPr>
            <w:tcW w:w="4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Systems</w:t>
            </w:r>
          </w:p>
        </w:tc>
        <w:tc>
          <w:tcPr>
            <w:tcW w:w="60"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560</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22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Cycle units</w:t>
            </w:r>
          </w:p>
        </w:tc>
        <w:tc>
          <w:tcPr>
            <w:tcW w:w="60"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140</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76" w:type="dxa"/>
            <w:tcBorders>
              <w:bottom w:val="double" w:sz="6" w:space="0" w:color="000000"/>
            </w:tcBorders>
            <w:shd w:fill="CCEEFF" w:val="clear"/>
            <w:tcMar>
              <w:bottom w:w="28" w:type="dxa"/>
            </w:tcM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76" w:type="dxa"/>
            <w:tcBorders>
              <w:bottom w:val="double" w:sz="6" w:space="0" w:color="000000"/>
            </w:tcBorders>
            <w:shd w:fill="CCEEFF" w:val="clear"/>
            <w:tcMar>
              <w:bottom w:w="28" w:type="dxa"/>
            </w:tcM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2"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Revenue by geography consisted of the following (in thousands):</w:t>
      </w:r>
    </w:p>
    <w:p>
      <w:pPr>
        <w:pStyle w:val="TextBody"/>
        <w:spacing w:before="0" w:after="0"/>
        <w:ind w:left="0" w:right="0" w:hanging="0"/>
        <w:rPr>
          <w:caps w:val="false"/>
          <w:smallCaps w:val="false"/>
        </w:rPr>
      </w:pPr>
      <w:r>
        <w:rPr>
          <w:caps w:val="false"/>
          <w:smallCaps w:val="false"/>
        </w:rPr>
        <w:t> </w:t>
      </w:r>
    </w:p>
    <w:tbl>
      <w:tblPr>
        <w:tblW w:w="4519" w:type="dxa"/>
        <w:jc w:val="left"/>
        <w:tblInd w:w="0" w:type="dxa"/>
        <w:tblCellMar>
          <w:top w:w="0" w:type="dxa"/>
          <w:left w:w="0" w:type="dxa"/>
          <w:bottom w:w="0" w:type="dxa"/>
          <w:right w:w="0" w:type="dxa"/>
        </w:tblCellMar>
      </w:tblPr>
      <w:tblGrid>
        <w:gridCol w:w="2240"/>
        <w:gridCol w:w="60"/>
        <w:gridCol w:w="159"/>
        <w:gridCol w:w="427"/>
        <w:gridCol w:w="76"/>
        <w:gridCol w:w="76"/>
        <w:gridCol w:w="159"/>
        <w:gridCol w:w="619"/>
        <w:gridCol w:w="76"/>
        <w:gridCol w:w="76"/>
        <w:gridCol w:w="159"/>
        <w:gridCol w:w="332"/>
        <w:gridCol w:w="60"/>
      </w:tblGrid>
      <w:tr>
        <w:trPr/>
        <w:tc>
          <w:tcPr>
            <w:tcW w:w="2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59"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8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ind w:left="0" w:right="0" w:hanging="0"/>
              <w:rPr/>
            </w:pPr>
            <w:r>
              <w:rPr/>
              <w:t> </w:t>
            </w:r>
          </w:p>
        </w:tc>
        <w:tc>
          <w:tcPr>
            <w:tcW w:w="77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ind w:left="0" w:right="0" w:hanging="0"/>
              <w:rPr/>
            </w:pPr>
            <w:r>
              <w:rPr/>
              <w:t> </w:t>
            </w:r>
          </w:p>
        </w:tc>
        <w:tc>
          <w:tcPr>
            <w:tcW w:w="4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517</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1,182</w:t>
            </w:r>
          </w:p>
        </w:tc>
        <w:tc>
          <w:tcPr>
            <w:tcW w:w="76"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22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76" w:type="dxa"/>
            <w:tcBorders>
              <w:bottom w:val="single" w:sz="2" w:space="0" w:color="000000"/>
            </w:tcBorders>
            <w:shd w:fill="FFFFFF" w:val="clear"/>
            <w:tcMar>
              <w:bottom w:w="28" w:type="dxa"/>
            </w:tcM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15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700</w:t>
            </w:r>
          </w:p>
        </w:tc>
        <w:tc>
          <w:tcPr>
            <w:tcW w:w="76" w:type="dxa"/>
            <w:tcBorders>
              <w:bottom w:val="double" w:sz="6" w:space="0" w:color="000000"/>
            </w:tcBorders>
            <w:shd w:fill="CCEEFF" w:val="clear"/>
            <w:tcMar>
              <w:bottom w:w="28" w:type="dxa"/>
            </w:tcM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1,418</w:t>
            </w:r>
          </w:p>
        </w:tc>
        <w:tc>
          <w:tcPr>
            <w:tcW w:w="76" w:type="dxa"/>
            <w:tcBorders>
              <w:bottom w:val="double" w:sz="6" w:space="0" w:color="000000"/>
            </w:tcBorders>
            <w:shd w:fill="CCEEFF" w:val="clear"/>
            <w:tcMar>
              <w:bottom w:w="28" w:type="dxa"/>
            </w:tcMar>
            <w:vAlign w:val="center"/>
          </w:tcPr>
          <w:p>
            <w:pPr>
              <w:pStyle w:val="TableContents"/>
              <w:spacing w:before="0" w:after="283"/>
              <w:rPr/>
            </w:pPr>
            <w:r>
              <w:rPr/>
              <w:t> </w:t>
            </w:r>
          </w:p>
        </w:tc>
        <w:tc>
          <w:tcPr>
            <w:tcW w:w="76" w:type="dxa"/>
            <w:tcBorders/>
            <w:shd w:fill="CCEEFF" w:val="clear"/>
            <w:vAlign w:val="center"/>
          </w:tcPr>
          <w:p>
            <w:pPr>
              <w:pStyle w:val="TableContents"/>
              <w:spacing w:before="0" w:after="283"/>
              <w:ind w:left="0" w:right="0" w:hanging="0"/>
              <w:rPr/>
            </w:pPr>
            <w:r>
              <w:rPr/>
              <w:t> </w:t>
            </w:r>
          </w:p>
        </w:tc>
        <w:tc>
          <w:tcPr>
            <w:tcW w:w="15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32"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Income (loss) before income taxes (in thousands):</w:t>
      </w:r>
    </w:p>
    <w:p>
      <w:pPr>
        <w:pStyle w:val="TextBody"/>
        <w:spacing w:before="0" w:after="0"/>
        <w:ind w:left="0" w:right="0" w:hanging="0"/>
        <w:rPr>
          <w:caps w:val="false"/>
          <w:smallCaps w:val="false"/>
        </w:rPr>
      </w:pPr>
      <w:r>
        <w:rPr>
          <w:caps w:val="false"/>
          <w:smallCaps w:val="false"/>
        </w:rPr>
        <w:t> </w:t>
      </w:r>
    </w:p>
    <w:tbl>
      <w:tblPr>
        <w:tblW w:w="3530" w:type="dxa"/>
        <w:jc w:val="left"/>
        <w:tblInd w:w="0" w:type="dxa"/>
        <w:tblCellMar>
          <w:top w:w="0" w:type="dxa"/>
          <w:left w:w="0" w:type="dxa"/>
          <w:bottom w:w="0" w:type="dxa"/>
          <w:right w:w="0" w:type="dxa"/>
        </w:tblCellMar>
      </w:tblPr>
      <w:tblGrid>
        <w:gridCol w:w="785"/>
        <w:gridCol w:w="60"/>
        <w:gridCol w:w="125"/>
        <w:gridCol w:w="650"/>
        <w:gridCol w:w="80"/>
        <w:gridCol w:w="60"/>
        <w:gridCol w:w="125"/>
        <w:gridCol w:w="650"/>
        <w:gridCol w:w="80"/>
        <w:gridCol w:w="60"/>
        <w:gridCol w:w="125"/>
        <w:gridCol w:w="650"/>
        <w:gridCol w:w="80"/>
      </w:tblGrid>
      <w:tr>
        <w:trPr/>
        <w:tc>
          <w:tcPr>
            <w:tcW w:w="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0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spacing w:before="0" w:after="283"/>
              <w:rPr/>
            </w:pPr>
            <w:r>
              <w:rPr/>
              <w:t> </w:t>
            </w:r>
          </w:p>
        </w:tc>
      </w:tr>
      <w:tr>
        <w:trPr/>
        <w:tc>
          <w:tcPr>
            <w:tcW w:w="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Domestic</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(63,660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(49,851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components of the provision for income taxes are as follows (in thousands):</w:t>
      </w:r>
    </w:p>
    <w:p>
      <w:pPr>
        <w:pStyle w:val="TextBody"/>
        <w:spacing w:before="0" w:after="0"/>
        <w:ind w:left="0" w:right="0" w:hanging="0"/>
        <w:rPr>
          <w:caps w:val="false"/>
          <w:smallCaps w:val="false"/>
        </w:rPr>
      </w:pPr>
      <w:r>
        <w:rPr>
          <w:caps w:val="false"/>
          <w:smallCaps w:val="false"/>
        </w:rPr>
        <w:t> </w:t>
      </w:r>
    </w:p>
    <w:tbl>
      <w:tblPr>
        <w:tblW w:w="4340" w:type="dxa"/>
        <w:jc w:val="left"/>
        <w:tblInd w:w="0" w:type="dxa"/>
        <w:tblCellMar>
          <w:top w:w="0" w:type="dxa"/>
          <w:left w:w="0" w:type="dxa"/>
          <w:bottom w:w="0" w:type="dxa"/>
          <w:right w:w="0" w:type="dxa"/>
        </w:tblCellMar>
      </w:tblPr>
      <w:tblGrid>
        <w:gridCol w:w="2660"/>
        <w:gridCol w:w="60"/>
        <w:gridCol w:w="142"/>
        <w:gridCol w:w="298"/>
        <w:gridCol w:w="60"/>
        <w:gridCol w:w="60"/>
        <w:gridCol w:w="142"/>
        <w:gridCol w:w="298"/>
        <w:gridCol w:w="60"/>
        <w:gridCol w:w="60"/>
        <w:gridCol w:w="142"/>
        <w:gridCol w:w="298"/>
        <w:gridCol w:w="60"/>
      </w:tblGrid>
      <w:tr>
        <w:trPr/>
        <w:tc>
          <w:tcPr>
            <w:tcW w:w="26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6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Current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State</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current</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Deferred</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29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deferred</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29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r>
      <w:tr>
        <w:trPr/>
        <w:tc>
          <w:tcPr>
            <w:tcW w:w="26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rPr/>
            </w:pPr>
            <w:r>
              <w:rPr/>
              <w:t> </w:t>
            </w:r>
          </w:p>
        </w:tc>
        <w:tc>
          <w:tcPr>
            <w:tcW w:w="298"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6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provision for income taxes</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State income taxes are immaterial in amount and therefore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recorded in the Consolidated Statements of Operations and Comprehensive Loss for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provision for income taxes differs from the amount estimated by applying the statutory federal income tax rate to income (loss) before taxes as follows:</w:t>
      </w:r>
    </w:p>
    <w:p>
      <w:pPr>
        <w:pStyle w:val="TextBody"/>
        <w:spacing w:before="0" w:after="0"/>
        <w:ind w:left="0" w:right="0" w:firstLine="500"/>
        <w:jc w:val="both"/>
        <w:rPr>
          <w:caps w:val="false"/>
          <w:smallCaps w:val="false"/>
        </w:rPr>
      </w:pPr>
      <w:r>
        <w:rPr>
          <w:caps w:val="false"/>
          <w:smallCaps w:val="false"/>
        </w:rPr>
        <w:t> </w:t>
      </w:r>
    </w:p>
    <w:tbl>
      <w:tblPr>
        <w:tblW w:w="5201" w:type="dxa"/>
        <w:jc w:val="left"/>
        <w:tblInd w:w="0" w:type="dxa"/>
        <w:tblCellMar>
          <w:top w:w="0" w:type="dxa"/>
          <w:left w:w="0" w:type="dxa"/>
          <w:bottom w:w="0" w:type="dxa"/>
          <w:right w:w="0" w:type="dxa"/>
        </w:tblCellMar>
      </w:tblPr>
      <w:tblGrid>
        <w:gridCol w:w="2795"/>
        <w:gridCol w:w="60"/>
        <w:gridCol w:w="65"/>
        <w:gridCol w:w="478"/>
        <w:gridCol w:w="201"/>
        <w:gridCol w:w="65"/>
        <w:gridCol w:w="65"/>
        <w:gridCol w:w="478"/>
        <w:gridCol w:w="201"/>
        <w:gridCol w:w="65"/>
        <w:gridCol w:w="65"/>
        <w:gridCol w:w="478"/>
        <w:gridCol w:w="185"/>
      </w:tblGrid>
      <w:tr>
        <w:trPr/>
        <w:tc>
          <w:tcPr>
            <w:tcW w:w="27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1"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shd w:fill="FFFF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5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5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18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Federal tax at statutory rate</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w:t>
            </w:r>
          </w:p>
        </w:tc>
        <w:tc>
          <w:tcPr>
            <w:tcW w:w="20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w:t>
            </w:r>
          </w:p>
        </w:tc>
        <w:tc>
          <w:tcPr>
            <w:tcW w:w="20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7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State tax at statutory rate</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 credits</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20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w:t>
            </w:r>
          </w:p>
        </w:tc>
        <w:tc>
          <w:tcPr>
            <w:tcW w:w="20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valuation allowance</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w:t>
            </w:r>
          </w:p>
        </w:tc>
        <w:tc>
          <w:tcPr>
            <w:tcW w:w="20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w:t>
            </w:r>
          </w:p>
        </w:tc>
        <w:tc>
          <w:tcPr>
            <w:tcW w:w="20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adjustment</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w:t>
            </w:r>
          </w:p>
        </w:tc>
        <w:tc>
          <w:tcPr>
            <w:tcW w:w="20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pPr>
            <w:r>
              <w:rPr/>
              <w:t>—</w:t>
            </w:r>
          </w:p>
        </w:tc>
        <w:tc>
          <w:tcPr>
            <w:tcW w:w="201"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tax rate</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pPr>
            <w:r>
              <w:rPr/>
              <w:t>—</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pPr>
            <w:r>
              <w:rPr/>
              <w:t>—</w:t>
            </w:r>
          </w:p>
        </w:tc>
        <w:tc>
          <w:tcPr>
            <w:tcW w:w="2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Uncertain Tax Position</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w:t>
            </w:r>
          </w:p>
        </w:tc>
        <w:tc>
          <w:tcPr>
            <w:tcW w:w="20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20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pPr>
            <w:r>
              <w:rPr/>
              <w:t>—</w:t>
            </w:r>
          </w:p>
        </w:tc>
        <w:tc>
          <w:tcPr>
            <w:tcW w:w="18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spacing w:before="0" w:after="283"/>
              <w:rPr/>
            </w:pPr>
            <w:r>
              <w:rPr/>
              <w:t> </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20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20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spacing w:before="0" w:after="283"/>
              <w:rPr/>
            </w:pPr>
            <w:r>
              <w:rPr/>
              <w:t> </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95" w:type="dxa"/>
            <w:tcBorders/>
            <w:shd w:fill="CCEE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47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20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47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20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478"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Deferred income taxes reflect the impact of carryforwards and temporary differences between the amounts of assets and liabilities for financial reporting purposes and such amounts as measured by tax laws. The carryforwards and temporary differences, which give rise to a significant portion of the Company’s deferred tax asset (liability)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2021</w:t>
      </w:r>
      <w:r>
        <w:rPr>
          <w:rFonts w:ascii="Times New Roman" w:hAnsi="Times New Roman"/>
          <w:caps w:val="false"/>
          <w:smallCaps w:val="false"/>
          <w:sz w:val="20"/>
        </w:rPr>
        <w:t>, are as follows (in thousands):</w:t>
      </w:r>
    </w:p>
    <w:p>
      <w:pPr>
        <w:pStyle w:val="TextBody"/>
        <w:spacing w:before="0" w:after="0"/>
        <w:ind w:left="0" w:right="0" w:hanging="0"/>
        <w:rPr>
          <w:caps w:val="false"/>
          <w:smallCaps w:val="false"/>
        </w:rPr>
      </w:pPr>
      <w:r>
        <w:rPr>
          <w:caps w:val="false"/>
          <w:smallCaps w:val="false"/>
        </w:rPr>
        <w:t> </w:t>
      </w:r>
    </w:p>
    <w:tbl>
      <w:tblPr>
        <w:tblW w:w="4610" w:type="dxa"/>
        <w:jc w:val="left"/>
        <w:tblInd w:w="0" w:type="dxa"/>
        <w:tblCellMar>
          <w:top w:w="0" w:type="dxa"/>
          <w:left w:w="0" w:type="dxa"/>
          <w:bottom w:w="0" w:type="dxa"/>
          <w:right w:w="0" w:type="dxa"/>
        </w:tblCellMar>
      </w:tblPr>
      <w:tblGrid>
        <w:gridCol w:w="2780"/>
        <w:gridCol w:w="60"/>
        <w:gridCol w:w="125"/>
        <w:gridCol w:w="650"/>
        <w:gridCol w:w="80"/>
        <w:gridCol w:w="60"/>
        <w:gridCol w:w="125"/>
        <w:gridCol w:w="650"/>
        <w:gridCol w:w="80"/>
      </w:tblGrid>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Deferred tax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Accruals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3,404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1,034</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operating loss carryforwards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56,447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49,246</w:t>
            </w:r>
          </w:p>
        </w:tc>
        <w:tc>
          <w:tcPr>
            <w:tcW w:w="8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credit carryforwards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7,111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6,611</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8,784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12,188</w:t>
            </w:r>
          </w:p>
        </w:tc>
        <w:tc>
          <w:tcPr>
            <w:tcW w:w="8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R&amp;D Capitalization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3,810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Lease liability under ASC 842</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2,948</w:t>
            </w:r>
          </w:p>
        </w:tc>
        <w:tc>
          <w:tcPr>
            <w:tcW w:w="80" w:type="dxa"/>
            <w:tcBorders>
              <w:bottom w:val="single" w:sz="2" w:space="0" w:color="000000"/>
            </w:tcBorders>
            <w:shd w:fill="CCEEFF" w:val="clear"/>
            <w:tcMar>
              <w:bottom w:w="28" w:type="dxa"/>
            </w:tcMar>
            <w:vAlign w:val="center"/>
          </w:tcPr>
          <w:p>
            <w:pPr>
              <w:pStyle w:val="TableContents"/>
              <w:spacing w:before="0" w:after="0"/>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3,182</w:t>
            </w:r>
          </w:p>
        </w:tc>
        <w:tc>
          <w:tcPr>
            <w:tcW w:w="80" w:type="dxa"/>
            <w:tcBorders>
              <w:bottom w:val="single" w:sz="2" w:space="0" w:color="000000"/>
            </w:tcBorders>
            <w:shd w:fill="CCEEFF" w:val="clear"/>
            <w:tcMar>
              <w:bottom w:w="28" w:type="dxa"/>
            </w:tcMar>
            <w:vAlign w:val="center"/>
          </w:tcPr>
          <w:p>
            <w:pPr>
              <w:pStyle w:val="TableContents"/>
              <w:spacing w:before="0" w:after="0"/>
              <w:rPr/>
            </w:pPr>
            <w:r>
              <w:rPr/>
              <w:t> </w:t>
            </w:r>
          </w:p>
        </w:tc>
      </w:tr>
      <w:tr>
        <w:trPr/>
        <w:tc>
          <w:tcPr>
            <w:tcW w:w="278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Gross 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82,504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72,261</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Valuation allowance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(79,779</w:t>
            </w:r>
          </w:p>
        </w:tc>
        <w:tc>
          <w:tcPr>
            <w:tcW w:w="80" w:type="dxa"/>
            <w:tcBorders>
              <w:bottom w:val="single" w:sz="2" w:space="0" w:color="000000"/>
            </w:tcBorders>
            <w:shd w:fill="CCEEFF"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(69,006</w:t>
            </w:r>
          </w:p>
        </w:tc>
        <w:tc>
          <w:tcPr>
            <w:tcW w:w="80" w:type="dxa"/>
            <w:tcBorders>
              <w:bottom w:val="single" w:sz="2" w:space="0" w:color="000000"/>
            </w:tcBorders>
            <w:shd w:fill="CCEEFF"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3,255</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Deferred tax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Intangibles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ROU asset under ASC 842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(2,593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(2,862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Fixed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bottom w:val="single" w:sz="2" w:space="0" w:color="000000"/>
            </w:tcBorders>
            <w:shd w:fill="CCEEFF"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w:t>
            </w:r>
          </w:p>
        </w:tc>
        <w:tc>
          <w:tcPr>
            <w:tcW w:w="80" w:type="dxa"/>
            <w:tcBorders>
              <w:bottom w:val="single" w:sz="2" w:space="0" w:color="000000"/>
            </w:tcBorders>
            <w:shd w:fill="CCEEFF" w:val="clear"/>
            <w:tcMar>
              <w:bottom w:w="28" w:type="dxa"/>
            </w:tcMar>
            <w:vAlign w:val="center"/>
          </w:tcPr>
          <w:p>
            <w:pPr>
              <w:pStyle w:val="TableContents"/>
              <w:spacing w:before="0" w:after="0"/>
              <w:rPr>
                <w:rFonts w:ascii="Times New Roman" w:hAnsi="Times New Roman"/>
                <w:sz w:val="20"/>
              </w:rPr>
            </w:pPr>
            <w:r>
              <w:rPr>
                <w:rFonts w:ascii="Times New Roman" w:hAnsi="Times New Roman"/>
                <w:sz w:val="20"/>
              </w:rPr>
              <w:t>)</w:t>
            </w:r>
          </w:p>
        </w:tc>
      </w:tr>
      <w:tr>
        <w:trPr/>
        <w:tc>
          <w:tcPr>
            <w:tcW w:w="278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(3,255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7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deferred tax assets/(liabilities)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00"/>
        <w:jc w:val="both"/>
        <w:rPr/>
      </w:pPr>
      <w:r>
        <w:rPr>
          <w:rFonts w:ascii="Times New Roman" w:hAnsi="Times New Roman"/>
          <w:caps w:val="false"/>
          <w:smallCaps w:val="false"/>
          <w:sz w:val="20"/>
        </w:rPr>
        <w:t>The Company’s unrecognized tax benefits as of </w:t>
      </w:r>
      <w:r>
        <w:rPr>
          <w:rStyle w:val="Emphasis"/>
          <w:rFonts w:ascii="Times New Roman" w:hAnsi="Times New Roman"/>
          <w:caps w:val="false"/>
          <w:smallCaps w:val="false"/>
          <w:sz w:val="20"/>
        </w:rPr>
        <w:t xml:space="preserve"> 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were $8.9 million, $5.1 million, and $2.5 million, respectively. If recognized, none of the unrecognized tax benefits would impact income tax expense to the extent that the Company continues to maintain a full valuation allowance against its deferred tax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 reconciliation of the beginning and ending amounts of unrecognized tax benefit is as follows (in thousands):</w:t>
      </w:r>
    </w:p>
    <w:p>
      <w:pPr>
        <w:pStyle w:val="TextBody"/>
        <w:spacing w:before="0" w:after="0"/>
        <w:ind w:left="0" w:right="0" w:firstLine="500"/>
        <w:jc w:val="both"/>
        <w:rPr>
          <w:caps w:val="false"/>
          <w:smallCaps w:val="false"/>
        </w:rPr>
      </w:pPr>
      <w:r>
        <w:rPr>
          <w:caps w:val="false"/>
          <w:smallCaps w:val="false"/>
        </w:rPr>
        <w:t> </w:t>
      </w:r>
    </w:p>
    <w:tbl>
      <w:tblPr>
        <w:tblW w:w="6020" w:type="dxa"/>
        <w:jc w:val="left"/>
        <w:tblInd w:w="0" w:type="dxa"/>
        <w:tblCellMar>
          <w:top w:w="0" w:type="dxa"/>
          <w:left w:w="0" w:type="dxa"/>
          <w:bottom w:w="0" w:type="dxa"/>
          <w:right w:w="0" w:type="dxa"/>
        </w:tblCellMar>
      </w:tblPr>
      <w:tblGrid>
        <w:gridCol w:w="3830"/>
        <w:gridCol w:w="60"/>
        <w:gridCol w:w="125"/>
        <w:gridCol w:w="485"/>
        <w:gridCol w:w="60"/>
        <w:gridCol w:w="60"/>
        <w:gridCol w:w="125"/>
        <w:gridCol w:w="485"/>
        <w:gridCol w:w="60"/>
        <w:gridCol w:w="60"/>
        <w:gridCol w:w="125"/>
        <w:gridCol w:w="485"/>
        <w:gridCol w:w="60"/>
      </w:tblGrid>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7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r>
      <w:tr>
        <w:trPr/>
        <w:tc>
          <w:tcPr>
            <w:tcW w:w="38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Unrecognized tax benefits at beginning of year</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1,470</w:t>
            </w:r>
          </w:p>
        </w:tc>
        <w:tc>
          <w:tcPr>
            <w:tcW w:w="60" w:type="dxa"/>
            <w:tcBorders/>
            <w:shd w:fill="CCEEFF" w:val="clear"/>
            <w:vAlign w:val="center"/>
          </w:tcPr>
          <w:p>
            <w:pPr>
              <w:pStyle w:val="TableContents"/>
              <w:spacing w:before="0" w:after="283"/>
              <w:rPr/>
            </w:pPr>
            <w:r>
              <w:rPr/>
              <w:t> </w:t>
            </w:r>
          </w:p>
        </w:tc>
      </w:tr>
      <w:tr>
        <w:trPr/>
        <w:tc>
          <w:tcPr>
            <w:tcW w:w="38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Increases related to current year tax positions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1,021</w:t>
            </w:r>
          </w:p>
        </w:tc>
        <w:tc>
          <w:tcPr>
            <w:tcW w:w="60" w:type="dxa"/>
            <w:tcBorders/>
            <w:shd w:fill="FFFFFF" w:val="clear"/>
            <w:vAlign w:val="center"/>
          </w:tcPr>
          <w:p>
            <w:pPr>
              <w:pStyle w:val="TableContents"/>
              <w:spacing w:before="0" w:after="283"/>
              <w:ind w:left="0" w:right="0" w:hanging="0"/>
              <w:rPr/>
            </w:pPr>
            <w:r>
              <w:rPr/>
              <w:t> </w:t>
            </w:r>
          </w:p>
        </w:tc>
      </w:tr>
      <w:tr>
        <w:trPr/>
        <w:tc>
          <w:tcPr>
            <w:tcW w:w="383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Increases related to prior year tax positions</w:t>
            </w:r>
          </w:p>
        </w:tc>
        <w:tc>
          <w:tcPr>
            <w:tcW w:w="60" w:type="dxa"/>
            <w:tcBorders/>
            <w:shd w:fill="CCEEFF" w:val="clear"/>
            <w:vAlign w:val="center"/>
          </w:tcPr>
          <w:p>
            <w:pPr>
              <w:pStyle w:val="TableContents"/>
              <w:spacing w:before="0" w:after="0"/>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1,730</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0" w:type="dxa"/>
            <w:tcBorders/>
            <w:shd w:fill="CCEEFF" w:val="clear"/>
            <w:vAlign w:val="center"/>
          </w:tcPr>
          <w:p>
            <w:pPr>
              <w:pStyle w:val="TableContents"/>
              <w:spacing w:before="0" w:after="0"/>
              <w:rPr/>
            </w:pPr>
            <w:r>
              <w:rPr/>
              <w:t> </w:t>
            </w:r>
          </w:p>
        </w:tc>
      </w:tr>
      <w:tr>
        <w:trPr/>
        <w:tc>
          <w:tcPr>
            <w:tcW w:w="383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Unrecognized tax benefits at end of year</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2,491</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Company’s policy is to recognize interest and penalties related to income taxes as components of interest expense and other expense, respectively.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accrue interest and penalties related to unrecognized tax benefits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any significant change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of this reporting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Company’s valuation allowance increased by $10.8 million in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and increased by $17.0 million in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had federal and state net operating loss (“NOL”) carryforwards of $199.9 million and $204.6 million, respectively, which begin to expire in 2034. Of the total federal NOL carryforward of $199.9 million, approximately $174.3 million is carried forward indefinitely but is limited to </w:t>
      </w:r>
      <w:r>
        <w:rPr>
          <w:rStyle w:val="Emphasis"/>
          <w:rFonts w:ascii="Times New Roman" w:hAnsi="Times New Roman"/>
          <w:caps w:val="false"/>
          <w:smallCaps w:val="false"/>
          <w:sz w:val="20"/>
        </w:rPr>
        <w:t>80%</w:t>
      </w:r>
      <w:r>
        <w:rPr>
          <w:rFonts w:ascii="Times New Roman" w:hAnsi="Times New Roman"/>
          <w:caps w:val="false"/>
          <w:smallCaps w:val="false"/>
          <w:sz w:val="20"/>
        </w:rPr>
        <w:t xml:space="preserve"> of the taxable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had approximately $5.8 million and $5.5 million of U.S. federal and California research and development (“R&amp;D”) credits, respectively. The federal R&amp;D credits begin to expire in 2035 and the California R&amp;D credits have an indefinite carryforward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is subject to taxation in the United States for Federal and for State, within various states in which the Company operates. All jurisdictions and tax years currently remain open for IRS and state taxing authorities’ examination.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under examination by the Internal Revenue Service or any state tax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Internal Revenue Code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ownership change generally occurs if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stockholders or groups of stockholders who own at least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our stock increase their ownership by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percentage points over their lowest ownership percentage within a rolling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Similar rules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apply under state tax laws.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aware of any ownership changes in this financial period ending on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Related Party Transactions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and Robert W. Duggan, majority stockholder and Executive Chairman, entered into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Loan Agreement in connection with Mr. Duggan lending the principal sum of $41.0 million to the Company (Note </w:t>
      </w:r>
      <w:r>
        <w:rPr>
          <w:rStyle w:val="Emphasis"/>
          <w:rFonts w:ascii="Times New Roman" w:hAnsi="Times New Roman"/>
          <w:caps w:val="false"/>
          <w:smallCaps w:val="false"/>
          <w:sz w:val="20"/>
        </w:rPr>
        <w:t>13</w:t>
      </w:r>
      <w:r>
        <w:rPr>
          <w:rFonts w:ascii="Times New Roman" w:hAnsi="Times New Roman"/>
          <w:caps w:val="false"/>
          <w:smallCaps w:val="false"/>
          <w:sz w:val="20"/>
        </w:rPr>
        <w:t>).</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and Mr. Duggan entered into a Securities Purchase Agreement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the $41 million aggregate principal amount under the Loan Agreement, together with all accrued and unpaid interest outstanding, owed to Mr. Duggan under the Loan Agreement by and between the Company and Mr. Duggan (Note </w:t>
      </w:r>
      <w:r>
        <w:rPr>
          <w:rStyle w:val="Emphasis"/>
          <w:rFonts w:ascii="Times New Roman" w:hAnsi="Times New Roman"/>
          <w:caps w:val="false"/>
          <w:smallCaps w:val="false"/>
          <w:sz w:val="20"/>
        </w:rPr>
        <w:t>13</w:t>
      </w:r>
      <w:r>
        <w:rPr>
          <w:rFonts w:ascii="Times New Roman" w:hAnsi="Times New Roman"/>
          <w:caps w:val="false"/>
          <w:smallCaps w:val="false"/>
          <w:sz w:val="20"/>
        </w:rPr>
        <w:t>), and (ii) additional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Company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its annual director and officer liability insurance policy due to disproportionately high premiums quoted by insurance companies. Instead,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the Company and Robert W. Duggan, the Executive Chairman, entered into a letter agreement (the “Letter Agreement”) pursuant to which Mr. Duggan has agreed with the Company to personally provide indemnity coverage for a one-year period, and he has agreed to deposit cash and/or marketable securities into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escrow, as security for these obligations, if requested by the Company. The Company will pay a fee of $1.0 million to Mr. Duggan that shall be due on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the last day of the one-year period, in consideration of the obligations set forth in the Letter Agreement.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amount owed to Mr. Duggan under the Letter Agreement was $0.6 million, recorded on the balance sheet under accrued expenses.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majority stockholder and Executive Chairman, entered into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(Note </w:t>
      </w:r>
      <w:r>
        <w:rPr>
          <w:rStyle w:val="Emphasis"/>
          <w:rFonts w:ascii="Times New Roman" w:hAnsi="Times New Roman"/>
          <w:caps w:val="false"/>
          <w:smallCaps w:val="false"/>
          <w:sz w:val="20"/>
        </w:rPr>
        <w:t>13</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Commitments and Contingencies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and Robert W. Duggan, the Executive Chairman, entered into a Loan Agreement in connection with Mr. Duggan lending the principal sum of $41.0 million to the Company. The Loan Agreement bore interest at a rate per annum equal to 5.0%, payable quarterly commencing on </w:t>
      </w:r>
      <w:r>
        <w:rPr>
          <w:rStyle w:val="Emphasis"/>
          <w:rFonts w:ascii="Times New Roman" w:hAnsi="Times New Roman"/>
          <w:caps w:val="false"/>
          <w:smallCaps w:val="false"/>
          <w:sz w:val="20"/>
        </w:rPr>
        <w:t>July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recorded $0.6 million of interest expense in relation to this Loan Agreement.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the Loan Agreement was terminated and $41.0 million principal, together with approximately $0.6 million of accrued and unpaid interest, was fully settled via issuance of the Company’s common stock at a price per share of $16.40. Refer to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for additional details of the private placement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Loan Agreement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Executive Chairman, entered into a Loan Agreement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The Loan Agreement bears interest at a rate per annum equal to 5.0%, payable quarterly commencing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with the principal sum payable 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17, 2023, </w:t>
      </w:r>
      <w:r>
        <w:rPr>
          <w:rFonts w:ascii="Times New Roman" w:hAnsi="Times New Roman"/>
          <w:caps w:val="false"/>
          <w:smallCaps w:val="false"/>
          <w:sz w:val="20"/>
        </w:rPr>
        <w:t xml:space="preserve">the Company and Mr. Duggan agreed to amend certain terms of the Loan Agreement.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interest rate, but the principal sum is now due and payable on </w:t>
      </w:r>
      <w:r>
        <w:rPr>
          <w:rStyle w:val="Emphasis"/>
          <w:rFonts w:ascii="Times New Roman" w:hAnsi="Times New Roman"/>
          <w:caps w:val="false"/>
          <w:smallCaps w:val="false"/>
          <w:sz w:val="20"/>
        </w:rPr>
        <w:t>September 30, 2024. </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recorded $0.9 million of interest expense in relation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Insurance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secured its annual director and officer liability insurance policy. The total premiums for the policy were approximately $2.6 million, of which the Company made a down payment of $0.7 million and financed the balance of $1.9 million via an Insurance Loan Agreement. The Insurance Loan Agreement had an annual interest rate of 3.69% and required monthly payments through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upon which the Insurance Loan Agreement was paid in full.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recorded $1.0 thousand of interest expense in relation to the Insurance Loan Agreement.</w:t>
      </w:r>
    </w:p>
    <w:p>
      <w:pPr>
        <w:pStyle w:val="TextBody"/>
        <w:spacing w:before="0" w:after="0"/>
        <w:ind w:left="0" w:right="0" w:firstLine="500"/>
        <w:jc w:val="both"/>
        <w:rPr>
          <w:caps w:val="false"/>
          <w:smallCaps w:val="false"/>
        </w:rPr>
      </w:pPr>
      <w:r>
        <w:rPr>
          <w:caps w:val="false"/>
          <w:smallCaps w:val="false"/>
        </w:rPr>
        <w:t> </w:t>
      </w:r>
    </w:p>
    <w:p>
      <w:pPr>
        <w:pStyle w:val="TextBody"/>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2017, </w:t>
      </w:r>
      <w:r>
        <w:rPr>
          <w:rFonts w:ascii="Times New Roman" w:hAnsi="Times New Roman"/>
          <w:caps w:val="false"/>
          <w:smallCaps w:val="false"/>
          <w:sz w:val="20"/>
        </w:rPr>
        <w:t xml:space="preserve">the Company entered into a five-year lease (the “Existing Lease”) for approximately 15,700 square feet for its corporate headquarters located in Hayward, California. The lease commenced during </w:t>
      </w:r>
      <w:r>
        <w:rPr>
          <w:rStyle w:val="Emphasis"/>
          <w:rFonts w:ascii="Times New Roman" w:hAnsi="Times New Roman"/>
          <w:caps w:val="false"/>
          <w:smallCaps w:val="false"/>
          <w:sz w:val="20"/>
        </w:rPr>
        <w:t>July 2017.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2019, </w:t>
      </w:r>
      <w:r>
        <w:rPr>
          <w:rFonts w:ascii="Times New Roman" w:hAnsi="Times New Roman"/>
          <w:caps w:val="false"/>
          <w:smallCaps w:val="false"/>
          <w:sz w:val="20"/>
        </w:rPr>
        <w:t xml:space="preserve">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respectively). Additionally, the term of the Existing Lease was extended to </w:t>
      </w:r>
      <w:r>
        <w:rPr>
          <w:rStyle w:val="Emphasis"/>
          <w:rFonts w:ascii="Times New Roman" w:hAnsi="Times New Roman"/>
          <w:caps w:val="false"/>
          <w:smallCaps w:val="false"/>
          <w:sz w:val="20"/>
        </w:rPr>
        <w:t xml:space="preserve">October 2029 </w:t>
      </w:r>
      <w:r>
        <w:rPr>
          <w:rFonts w:ascii="Times New Roman" w:hAnsi="Times New Roman"/>
          <w:caps w:val="false"/>
          <w:smallCaps w:val="false"/>
          <w:sz w:val="20"/>
        </w:rPr>
        <w:t xml:space="preserve">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the right-of-use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Upon commencement of each lease component, the Company reassessed and calculated the lease liability and right-of-use asset for the respective component. As a result, at the modification date, the Company remeasured its existing lease liability and recorded an additional right-of-use asset and lease liability of $2.0 million. The Company also recorded an additional right-of-use asset and lease liability of $3.0 million and $4.8 million at the commencement of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 xml:space="preserve">respectively. 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total right-of-use assets and lease lability was approximately $8.1 million and $10.0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During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rent expense, including common area maintenance charges, was $2.1 million, $1.9 million and $1.7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spacing w:before="0" w:after="0"/>
        <w:ind w:left="0" w:right="0" w:hanging="0"/>
        <w:rPr>
          <w:caps w:val="false"/>
          <w:smallCaps w:val="false"/>
        </w:rPr>
      </w:pPr>
      <w:r>
        <w:rPr>
          <w:caps w:val="false"/>
          <w:smallCaps w:val="false"/>
        </w:rPr>
        <w:t> </w:t>
      </w:r>
    </w:p>
    <w:tbl>
      <w:tblPr>
        <w:tblW w:w="3892" w:type="dxa"/>
        <w:jc w:val="left"/>
        <w:tblInd w:w="0" w:type="dxa"/>
        <w:tblCellMar>
          <w:top w:w="0" w:type="dxa"/>
          <w:left w:w="0" w:type="dxa"/>
          <w:bottom w:w="0" w:type="dxa"/>
          <w:right w:w="0" w:type="dxa"/>
        </w:tblCellMar>
      </w:tblPr>
      <w:tblGrid>
        <w:gridCol w:w="1550"/>
        <w:gridCol w:w="60"/>
        <w:gridCol w:w="207"/>
        <w:gridCol w:w="805"/>
        <w:gridCol w:w="99"/>
        <w:gridCol w:w="99"/>
        <w:gridCol w:w="207"/>
        <w:gridCol w:w="805"/>
        <w:gridCol w:w="60"/>
      </w:tblGrid>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2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auto" w:val="clear"/>
            <w:vAlign w:val="center"/>
          </w:tcPr>
          <w:p>
            <w:pPr>
              <w:pStyle w:val="TableContents"/>
              <w:spacing w:before="0" w:after="283"/>
              <w:ind w:left="0" w:right="0" w:hanging="0"/>
              <w:rPr/>
            </w:pPr>
            <w:r>
              <w:rPr/>
              <w:t> </w:t>
            </w:r>
          </w:p>
        </w:tc>
        <w:tc>
          <w:tcPr>
            <w:tcW w:w="10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99" w:type="dxa"/>
            <w:tcBorders>
              <w:bottom w:val="single" w:sz="2" w:space="0" w:color="000000"/>
            </w:tcBorders>
            <w:shd w:fill="auto" w:val="clear"/>
            <w:tcMar>
              <w:bottom w:w="28" w:type="dxa"/>
            </w:tcMar>
            <w:vAlign w:val="center"/>
          </w:tcPr>
          <w:p>
            <w:pPr>
              <w:pStyle w:val="TableContents"/>
              <w:spacing w:before="0" w:after="283"/>
              <w:rPr/>
            </w:pPr>
            <w:r>
              <w:rPr/>
              <w:t> </w:t>
            </w:r>
          </w:p>
        </w:tc>
        <w:tc>
          <w:tcPr>
            <w:tcW w:w="99" w:type="dxa"/>
            <w:tcBorders/>
            <w:shd w:fill="auto" w:val="clear"/>
            <w:vAlign w:val="center"/>
          </w:tcPr>
          <w:p>
            <w:pPr>
              <w:pStyle w:val="TableContents"/>
              <w:spacing w:before="0" w:after="283"/>
              <w:ind w:left="0" w:right="0" w:hanging="0"/>
              <w:rPr/>
            </w:pPr>
            <w:r>
              <w:rPr/>
              <w:t> </w:t>
            </w:r>
          </w:p>
        </w:tc>
        <w:tc>
          <w:tcPr>
            <w:tcW w:w="10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spacing w:before="0" w:after="283"/>
              <w:ind w:left="0" w:right="0" w:hanging="0"/>
              <w:rPr/>
            </w:pPr>
            <w:r>
              <w:rPr/>
              <w:t> </w:t>
            </w:r>
          </w:p>
        </w:tc>
        <w:tc>
          <w:tcPr>
            <w:tcW w:w="20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8,062</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ind w:left="0" w:right="0" w:hanging="0"/>
              <w:rPr/>
            </w:pPr>
            <w:r>
              <w:rPr/>
              <w:t> </w:t>
            </w:r>
          </w:p>
        </w:tc>
        <w:tc>
          <w:tcPr>
            <w:tcW w:w="20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8,785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5437" w:type="dxa"/>
        <w:jc w:val="left"/>
        <w:tblInd w:w="0" w:type="dxa"/>
        <w:tblCellMar>
          <w:top w:w="0" w:type="dxa"/>
          <w:left w:w="0" w:type="dxa"/>
          <w:bottom w:w="0" w:type="dxa"/>
          <w:right w:w="0" w:type="dxa"/>
        </w:tblCellMar>
      </w:tblPr>
      <w:tblGrid>
        <w:gridCol w:w="3095"/>
        <w:gridCol w:w="60"/>
        <w:gridCol w:w="179"/>
        <w:gridCol w:w="846"/>
        <w:gridCol w:w="86"/>
        <w:gridCol w:w="86"/>
        <w:gridCol w:w="179"/>
        <w:gridCol w:w="846"/>
        <w:gridCol w:w="60"/>
      </w:tblGrid>
      <w:tr>
        <w:trPr/>
        <w:tc>
          <w:tcPr>
            <w:tcW w:w="30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2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auto"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6" w:type="dxa"/>
            <w:tcBorders>
              <w:bottom w:val="single" w:sz="2" w:space="0" w:color="000000"/>
            </w:tcBorders>
            <w:shd w:fill="auto" w:val="clear"/>
            <w:tcMar>
              <w:bottom w:w="28" w:type="dxa"/>
            </w:tcMar>
            <w:vAlign w:val="center"/>
          </w:tcPr>
          <w:p>
            <w:pPr>
              <w:pStyle w:val="TableContents"/>
              <w:spacing w:before="0" w:after="283"/>
              <w:rPr/>
            </w:pPr>
            <w:r>
              <w:rPr/>
              <w:t> </w:t>
            </w:r>
          </w:p>
        </w:tc>
        <w:tc>
          <w:tcPr>
            <w:tcW w:w="86" w:type="dxa"/>
            <w:tcBorders/>
            <w:shd w:fill="auto" w:val="clear"/>
            <w:vAlign w:val="center"/>
          </w:tcPr>
          <w:p>
            <w:pPr>
              <w:pStyle w:val="TableContents"/>
              <w:spacing w:before="0" w:after="283"/>
              <w:ind w:left="0" w:right="0" w:hanging="0"/>
              <w:rPr/>
            </w:pPr>
            <w:r>
              <w:rPr/>
              <w:t> </w:t>
            </w:r>
          </w:p>
        </w:tc>
        <w:tc>
          <w:tcPr>
            <w:tcW w:w="10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60"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896</w:t>
            </w:r>
          </w:p>
        </w:tc>
        <w:tc>
          <w:tcPr>
            <w:tcW w:w="86"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774</w:t>
            </w:r>
          </w:p>
        </w:tc>
        <w:tc>
          <w:tcPr>
            <w:tcW w:w="60" w:type="dxa"/>
            <w:tcBorders/>
            <w:shd w:fill="CCEEFF" w:val="clear"/>
            <w:vAlign w:val="center"/>
          </w:tcPr>
          <w:p>
            <w:pPr>
              <w:pStyle w:val="TableContents"/>
              <w:spacing w:before="0" w:after="283"/>
              <w:rPr/>
            </w:pPr>
            <w:r>
              <w:rPr/>
              <w:t> </w:t>
            </w:r>
          </w:p>
        </w:tc>
      </w:tr>
      <w:tr>
        <w:trPr/>
        <w:tc>
          <w:tcPr>
            <w:tcW w:w="30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60" w:type="dxa"/>
            <w:tcBorders/>
            <w:shd w:fill="FFFFFF" w:val="clear"/>
            <w:vAlign w:val="center"/>
          </w:tcPr>
          <w:p>
            <w:pPr>
              <w:pStyle w:val="TableContents"/>
              <w:spacing w:before="0" w:after="283"/>
              <w:rPr/>
            </w:pPr>
            <w:r>
              <w:rPr/>
              <w:t> </w:t>
            </w:r>
          </w:p>
        </w:tc>
        <w:tc>
          <w:tcPr>
            <w:tcW w:w="1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9,144</w:t>
            </w:r>
          </w:p>
        </w:tc>
        <w:tc>
          <w:tcPr>
            <w:tcW w:w="86" w:type="dxa"/>
            <w:tcBorders>
              <w:bottom w:val="single" w:sz="2" w:space="0" w:color="000000"/>
            </w:tcBorders>
            <w:shd w:fill="FFFFFF" w:val="clear"/>
            <w:tcMar>
              <w:bottom w:w="28" w:type="dxa"/>
            </w:tcM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spacing w:before="0" w:after="283"/>
              <w:ind w:left="0" w:right="0" w:hanging="0"/>
              <w:rPr/>
            </w:pPr>
            <w:r>
              <w:rPr/>
              <w:t> </w:t>
            </w:r>
          </w:p>
        </w:tc>
        <w:tc>
          <w:tcPr>
            <w:tcW w:w="1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10,040</w:t>
            </w:r>
          </w:p>
        </w:tc>
        <w:tc>
          <w:tcPr>
            <w:tcW w:w="86" w:type="dxa"/>
            <w:tcBorders>
              <w:bottom w:val="double" w:sz="6" w:space="0" w:color="000000"/>
            </w:tcBorders>
            <w:shd w:fill="CCEEFF" w:val="clear"/>
            <w:tcMar>
              <w:bottom w:w="28" w:type="dxa"/>
            </w:tcM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10,814</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spacing w:before="0" w:after="0"/>
        <w:ind w:left="0" w:right="0" w:hanging="0"/>
        <w:rPr>
          <w:caps w:val="false"/>
          <w:smallCaps w:val="false"/>
        </w:rPr>
      </w:pPr>
      <w:r>
        <w:rPr>
          <w:caps w:val="false"/>
          <w:smallCaps w:val="false"/>
        </w:rPr>
        <w:t> </w:t>
      </w:r>
    </w:p>
    <w:tbl>
      <w:tblPr>
        <w:tblW w:w="5479" w:type="dxa"/>
        <w:jc w:val="left"/>
        <w:tblInd w:w="0" w:type="dxa"/>
        <w:tblCellMar>
          <w:top w:w="0" w:type="dxa"/>
          <w:left w:w="0" w:type="dxa"/>
          <w:bottom w:w="0" w:type="dxa"/>
          <w:right w:w="0" w:type="dxa"/>
        </w:tblCellMar>
      </w:tblPr>
      <w:tblGrid>
        <w:gridCol w:w="3200"/>
        <w:gridCol w:w="60"/>
        <w:gridCol w:w="130"/>
        <w:gridCol w:w="507"/>
        <w:gridCol w:w="62"/>
        <w:gridCol w:w="62"/>
        <w:gridCol w:w="130"/>
        <w:gridCol w:w="507"/>
        <w:gridCol w:w="62"/>
        <w:gridCol w:w="62"/>
        <w:gridCol w:w="130"/>
        <w:gridCol w:w="507"/>
        <w:gridCol w:w="60"/>
      </w:tblGrid>
      <w:tr>
        <w:trPr/>
        <w:tc>
          <w:tcPr>
            <w:tcW w:w="32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59"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2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3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2022</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63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2" w:type="dxa"/>
            <w:tcBorders>
              <w:bottom w:val="single" w:sz="2" w:space="0" w:color="000000"/>
            </w:tcBorders>
            <w:shd w:fill="FFFFFF" w:val="clear"/>
            <w:tcMar>
              <w:bottom w:w="28" w:type="dxa"/>
            </w:tcMar>
            <w:vAlign w:val="center"/>
          </w:tcPr>
          <w:p>
            <w:pPr>
              <w:pStyle w:val="TableContents"/>
              <w:spacing w:before="0" w:after="283"/>
              <w:rPr/>
            </w:pPr>
            <w:r>
              <w:rPr/>
              <w:t> </w:t>
            </w:r>
          </w:p>
        </w:tc>
        <w:tc>
          <w:tcPr>
            <w:tcW w:w="62" w:type="dxa"/>
            <w:tcBorders/>
            <w:shd w:fill="FFFFFF" w:val="clear"/>
            <w:vAlign w:val="center"/>
          </w:tcPr>
          <w:p>
            <w:pPr>
              <w:pStyle w:val="TableContents"/>
              <w:spacing w:before="0" w:after="283"/>
              <w:ind w:left="0" w:right="0" w:hanging="0"/>
              <w:rPr/>
            </w:pPr>
            <w:r>
              <w:rPr/>
              <w:t> </w:t>
            </w:r>
          </w:p>
        </w:tc>
        <w:tc>
          <w:tcPr>
            <w:tcW w:w="63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32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paid for operating lease liabilities</w:t>
            </w:r>
          </w:p>
        </w:tc>
        <w:tc>
          <w:tcPr>
            <w:tcW w:w="60" w:type="dxa"/>
            <w:tcBorders/>
            <w:shd w:fill="CCEEFF" w:val="clear"/>
            <w:vAlign w:val="center"/>
          </w:tcPr>
          <w:p>
            <w:pPr>
              <w:pStyle w:val="TableContents"/>
              <w:spacing w:before="0" w:after="283"/>
              <w:ind w:left="0" w:right="0" w:hanging="0"/>
              <w:rPr/>
            </w:pPr>
            <w:r>
              <w:rPr/>
              <w:t> </w:t>
            </w:r>
          </w:p>
        </w:tc>
        <w:tc>
          <w:tcPr>
            <w:tcW w:w="1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1,806</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1,643</w:t>
            </w:r>
          </w:p>
        </w:tc>
        <w:tc>
          <w:tcPr>
            <w:tcW w:w="62"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ind w:left="0" w:right="0" w:hanging="0"/>
              <w:rPr/>
            </w:pPr>
            <w:r>
              <w:rPr/>
              <w:t> </w:t>
            </w:r>
          </w:p>
        </w:tc>
        <w:tc>
          <w:tcPr>
            <w:tcW w:w="13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1,045</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spacing w:before="0" w:after="0"/>
        <w:ind w:left="0" w:right="0" w:hanging="0"/>
        <w:rPr>
          <w:caps w:val="false"/>
          <w:smallCaps w:val="false"/>
        </w:rPr>
      </w:pPr>
      <w:r>
        <w:rPr>
          <w:caps w:val="false"/>
          <w:smallCaps w:val="false"/>
        </w:rPr>
        <w:t> </w:t>
      </w:r>
    </w:p>
    <w:tbl>
      <w:tblPr>
        <w:tblW w:w="3035" w:type="dxa"/>
        <w:jc w:val="left"/>
        <w:tblInd w:w="0" w:type="dxa"/>
        <w:tblCellMar>
          <w:top w:w="0" w:type="dxa"/>
          <w:left w:w="0" w:type="dxa"/>
          <w:bottom w:w="0" w:type="dxa"/>
          <w:right w:w="0" w:type="dxa"/>
        </w:tblCellMar>
      </w:tblPr>
      <w:tblGrid>
        <w:gridCol w:w="2180"/>
        <w:gridCol w:w="60"/>
        <w:gridCol w:w="125"/>
        <w:gridCol w:w="590"/>
        <w:gridCol w:w="80"/>
      </w:tblGrid>
      <w:tr>
        <w:trPr/>
        <w:tc>
          <w:tcPr>
            <w:tcW w:w="21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1,845</w:t>
            </w:r>
          </w:p>
        </w:tc>
        <w:tc>
          <w:tcPr>
            <w:tcW w:w="8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1,977</w:t>
            </w:r>
          </w:p>
        </w:tc>
        <w:tc>
          <w:tcPr>
            <w:tcW w:w="8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2,046</w:t>
            </w:r>
          </w:p>
        </w:tc>
        <w:tc>
          <w:tcPr>
            <w:tcW w:w="80" w:type="dxa"/>
            <w:tcBorders/>
            <w:shd w:fill="CCEEFF" w:val="cle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2,117</w:t>
            </w:r>
          </w:p>
        </w:tc>
        <w:tc>
          <w:tcPr>
            <w:tcW w:w="8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218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13,969</w:t>
            </w:r>
          </w:p>
        </w:tc>
        <w:tc>
          <w:tcPr>
            <w:tcW w:w="80" w:type="dxa"/>
            <w:tcBorders/>
            <w:shd w:fill="FFFFFF"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(3,929</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180" w:type="dxa"/>
            <w:tcBorders/>
            <w:shd w:fill="FFFFFF" w:val="clear"/>
            <w:vAlign w:val="center"/>
          </w:tcPr>
          <w:p>
            <w:pPr>
              <w:pStyle w:val="TableContents"/>
              <w:spacing w:before="0" w:after="0"/>
              <w:ind w:left="0" w:right="0" w:firstLine="180"/>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were as follows:</w:t>
      </w:r>
    </w:p>
    <w:p>
      <w:pPr>
        <w:pStyle w:val="TextBody"/>
        <w:spacing w:before="0" w:after="0"/>
        <w:ind w:left="0" w:right="0" w:hanging="0"/>
        <w:rPr>
          <w:caps w:val="false"/>
          <w:smallCaps w:val="false"/>
        </w:rPr>
      </w:pPr>
      <w:r>
        <w:rPr>
          <w:caps w:val="false"/>
          <w:smallCaps w:val="false"/>
        </w:rPr>
        <w:t> </w:t>
      </w:r>
    </w:p>
    <w:tbl>
      <w:tblPr>
        <w:tblW w:w="3915" w:type="dxa"/>
        <w:jc w:val="left"/>
        <w:tblInd w:w="0" w:type="dxa"/>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w:t>
            </w:r>
          </w:p>
        </w:tc>
        <w:tc>
          <w:tcPr>
            <w:tcW w:w="185" w:type="dxa"/>
            <w:tcBorders/>
            <w:shd w:fill="CCEEFF" w:val="clear"/>
            <w:vAlign w:val="center"/>
          </w:tcPr>
          <w:p>
            <w:pPr>
              <w:pStyle w:val="TableContents"/>
              <w:spacing w:before="0" w:after="283"/>
              <w:rPr/>
            </w:pPr>
            <w:r>
              <w:rPr/>
              <w:t> </w:t>
            </w:r>
          </w:p>
        </w:tc>
      </w:tr>
      <w:tr>
        <w:trPr/>
        <w:tc>
          <w:tcPr>
            <w:tcW w:w="32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left"/>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0"/>
        <w:ind w:left="0" w:right="0" w:hanging="0"/>
        <w:jc w:val="left"/>
        <w:rPr/>
      </w:pPr>
      <w:r>
        <w:rPr/>
        <w:t> </w:t>
      </w:r>
    </w:p>
    <w:p>
      <w:pPr>
        <w:pStyle w:val="TextBody"/>
        <w:spacing w:before="0" w:after="0"/>
        <w:ind w:left="0" w:right="0" w:firstLine="540"/>
        <w:jc w:val="both"/>
        <w:rPr/>
      </w:pPr>
      <w:r>
        <w:rPr>
          <w:rFonts w:ascii="Times New Roman" w:hAnsi="Times New Roman"/>
          <w:caps w:val="false"/>
          <w:smallCaps w:val="false"/>
          <w:sz w:val="20"/>
        </w:rPr>
        <w:t xml:space="preserve">From time to time,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coverage for such matters, including customary employment practices liability insurance.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2022, </w:t>
      </w:r>
      <w:r>
        <w:rPr>
          <w:rFonts w:ascii="Times New Roman" w:hAnsi="Times New Roman"/>
          <w:caps w:val="false"/>
          <w:smallCaps w:val="false"/>
          <w:sz w:val="20"/>
        </w:rPr>
        <w:t xml:space="preserve">the employment of our former Chief Financial Officer, Sandra Gardiner, terminated. Ms. Gardiner’s departure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result of any disagreement with the Company on any matter relating to its operations, accounting policies or practices, although the Company determined that she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to receive any severance benefits under the terms and conditions of her then existing employment agreement. In </w:t>
      </w:r>
      <w:r>
        <w:rPr>
          <w:rStyle w:val="Emphasis"/>
          <w:rFonts w:ascii="Times New Roman" w:hAnsi="Times New Roman"/>
          <w:caps w:val="false"/>
          <w:smallCaps w:val="false"/>
          <w:sz w:val="20"/>
        </w:rPr>
        <w:t xml:space="preserve">March 2023, </w:t>
      </w:r>
      <w:r>
        <w:rPr>
          <w:rFonts w:ascii="Times New Roman" w:hAnsi="Times New Roman"/>
          <w:caps w:val="false"/>
          <w:smallCaps w:val="false"/>
          <w:sz w:val="20"/>
        </w:rPr>
        <w:t xml:space="preserve">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that is in its early stages, the Company cannot predict what the final outcome of Ms. Gardiner’s arbitration proceeding will likely be. However, at this time, we believe that the final resolution of this matter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 our consolidated position, results of operation, or cash flows.</w:t>
      </w:r>
    </w:p>
    <w:p>
      <w:pPr>
        <w:pStyle w:val="TextBody"/>
        <w:spacing w:before="0" w:after="0"/>
        <w:ind w:left="0" w:right="0" w:firstLine="500"/>
        <w:jc w:val="both"/>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Restructuring Charges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affected employees were offered separation benefits, including severance payments along with temporary healthcare coverage assistance. The Company incurred a discrete restructuring related charge of $0.7 million which was fully recorded 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and the related expenses are included within total cost and expenses on the consolidated statement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This charge represents the total amount to be incurred in connection with the activity. 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paid the entire $0.7 million.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20, 2022, </w:t>
      </w:r>
      <w:r>
        <w:rPr>
          <w:rFonts w:ascii="Times New Roman" w:hAnsi="Times New Roman"/>
          <w:caps w:val="false"/>
          <w:smallCaps w:val="false"/>
          <w:sz w:val="20"/>
        </w:rPr>
        <w:t xml:space="preserve">the Company initiated an additional reduction in force to align its workforce with its shift in strategic direction to advance its core NPS technology outside of dermatology. The reduction primarily impacted dermatological sales, marketing and other related support personnel. The affected employees were offered separation benefits, including severance payments along with temporary healthcare coverage assistance. The Company incurred a discrete restructuring related charge of $0.2 million which was fully recorded 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and the related expenses are included within total cost and expenses on the consolidated statement of operations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paid the entire $0.2 million.</w:t>
      </w:r>
    </w:p>
    <w:p>
      <w:pPr>
        <w:pStyle w:val="TextBody"/>
        <w:spacing w:before="0" w:after="0"/>
        <w:ind w:left="16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Employee Benefit Plans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pPr>
      <w:r>
        <w:rPr>
          <w:rFonts w:ascii="Times New Roman" w:hAnsi="Times New Roman"/>
          <w:caps w:val="false"/>
          <w:smallCaps w:val="false"/>
          <w:sz w:val="20"/>
        </w:rPr>
        <w:t xml:space="preserve">The Company sponsors a defined contribution plan under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discretionary contributions. The Company did not make any employer matching contributions to this plan during the years ended </w:t>
      </w:r>
      <w:r>
        <w:rPr>
          <w:rStyle w:val="Emphasis"/>
          <w:rFonts w:ascii="Times New Roman" w:hAnsi="Times New Roman"/>
          <w:caps w:val="false"/>
          <w:smallCaps w:val="false"/>
          <w:sz w:val="20"/>
        </w:rPr>
        <w:t>December 31, 2022,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Supplementary 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retrospective changes to the statements of comprehensive income for any of the quarters within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most recent fiscal years that individually or in the aggregate are material.</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bookmarkStart w:id="20" w:name="change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9. Changes in and Disagreements with Accountants on Accounting and Financial Disclosure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bookmarkStart w:id="21" w:name="controls"/>
      <w:bookmarkEnd w:id="21"/>
      <w:r>
        <w:rPr>
          <w:rFonts w:ascii="Times New Roman" w:hAnsi="Times New Roman"/>
          <w:b/>
          <w:caps w:val="false"/>
          <w:smallCaps w:val="false"/>
          <w:sz w:val="20"/>
        </w:rPr>
        <w:t>Item 9A.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our principal executive and principal financial officer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has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to allow timely decisions regarding required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Annual Report on Internal Control Over Financial Reporting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Corporate Controller, we evaluated the effectiveness of our internal control over financial reporting based on the framework in </w:t>
      </w:r>
      <w:r>
        <w:rPr>
          <w:rFonts w:ascii="Times New Roman" w:hAnsi="Times New Roman"/>
          <w:i/>
          <w:caps w:val="false"/>
          <w:smallCaps w:val="false"/>
          <w:sz w:val="20"/>
        </w:rPr>
        <w:t>Internal</w:t>
      </w:r>
      <w:r>
        <w:rPr>
          <w:rFonts w:ascii="Times New Roman" w:hAnsi="Times New Roman"/>
          <w:caps w:val="false"/>
          <w:smallCaps w:val="false"/>
          <w:sz w:val="20"/>
        </w:rPr>
        <w:t xml:space="preserve"> </w:t>
      </w:r>
      <w:r>
        <w:rPr>
          <w:rFonts w:ascii="Times New Roman" w:hAnsi="Times New Roman"/>
          <w:i/>
          <w:caps w:val="false"/>
          <w:smallCaps w:val="false"/>
          <w:sz w:val="20"/>
        </w:rPr>
        <w:t>Control - Integrated</w:t>
      </w:r>
      <w:r>
        <w:rPr>
          <w:rFonts w:ascii="Times New Roman" w:hAnsi="Times New Roman"/>
          <w:caps w:val="false"/>
          <w:smallCaps w:val="false"/>
          <w:sz w:val="20"/>
        </w:rPr>
        <w:t xml:space="preserve"> </w:t>
      </w:r>
      <w:r>
        <w:rPr>
          <w:rFonts w:ascii="Times New Roman" w:hAnsi="Times New Roman"/>
          <w:i/>
          <w:caps w:val="false"/>
          <w:smallCaps w:val="false"/>
          <w:sz w:val="20"/>
        </w:rPr>
        <w:t>Framework</w:t>
      </w:r>
      <w:r>
        <w:rPr>
          <w:rFonts w:ascii="Times New Roman" w:hAnsi="Times New Roman"/>
          <w:caps w:val="false"/>
          <w:smallCaps w:val="false"/>
          <w:sz w:val="20"/>
        </w:rPr>
        <w:t xml:space="preserve"> (2013) issued by the Committee of Sponsoring Organizations of the Treadway Commission. Based on the evaluation under that framework and applicable SEC rules, our management concluded that our internal control over financial reporting was effective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controls over financial reporting during the year ended December 31, 2022, that have materially affected, or are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2" w:name="otherinfo"/>
      <w:bookmarkEnd w:id="2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9B.</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bookmarkStart w:id="23" w:name="disclosure"/>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9C.</w:t>
      </w:r>
      <w:r>
        <w:rPr>
          <w:rFonts w:ascii="Times New Roman" w:hAnsi="Times New Roman"/>
          <w:caps w:val="false"/>
          <w:smallCaps w:val="false"/>
          <w:sz w:val="20"/>
        </w:rPr>
        <w:t xml:space="preserve"> </w:t>
      </w:r>
      <w:r>
        <w:rPr>
          <w:rFonts w:ascii="Times New Roman" w:hAnsi="Times New Roman"/>
          <w:b/>
          <w:caps w:val="false"/>
          <w:smallCaps w:val="false"/>
          <w:sz w:val="20"/>
        </w:rPr>
        <w:t>Disclosure Regarding Foreign Jurisdictions that Prevent Inspections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4" w:name="directors"/>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 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5" w:name="executivecomp"/>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11. 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6" w:name="security"/>
      <w:bookmarkEnd w:id="2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 Security Ownership of Certain Beneficial Owners and Management and Related Stockholder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7" w:name="certain"/>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 Certain Relationships and Related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bookmarkStart w:id="28" w:name="principal"/>
      <w:bookmarkEnd w:id="2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 Principal Accounting Fees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Part IV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9" w:name="exhibits"/>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Financial Statement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The following documents are filed as part of, or incorporated by reference into,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i/>
          <w:caps w:val="false"/>
          <w:smallCaps w:val="false"/>
          <w:sz w:val="20"/>
        </w:rPr>
        <w:t>Financial Statements</w:t>
      </w:r>
      <w:r>
        <w:rPr>
          <w:rFonts w:ascii="Times New Roman" w:hAnsi="Times New Roman"/>
          <w:caps w:val="false"/>
          <w:smallCaps w:val="false"/>
          <w:sz w:val="20"/>
        </w:rPr>
        <w:t>: See Item 8 of this Annual Report on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i/>
          <w:caps w:val="false"/>
          <w:smallCaps w:val="false"/>
          <w:sz w:val="20"/>
        </w:rPr>
        <w:t>Financial Statement Schedules</w:t>
      </w:r>
      <w:r>
        <w:rPr>
          <w:rFonts w:ascii="Times New Roman" w:hAnsi="Times New Roman"/>
          <w:caps w:val="false"/>
          <w:smallCaps w:val="false"/>
          <w:sz w:val="20"/>
        </w:rPr>
        <w:t>: All schedules are omitted because they are not required, are not applicable or the information is included in the consolidated financial statements or notes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The following exhibits are filed as part of, or incorporated by reference into, this Annual Report on Form 10-K:</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
        <w:gridCol w:w="60"/>
        <w:gridCol w:w="5679"/>
        <w:gridCol w:w="60"/>
        <w:gridCol w:w="564"/>
        <w:gridCol w:w="60"/>
        <w:gridCol w:w="808"/>
        <w:gridCol w:w="60"/>
        <w:gridCol w:w="762"/>
        <w:gridCol w:w="60"/>
        <w:gridCol w:w="1382"/>
      </w:tblGrid>
      <w:tr>
        <w:trPr/>
        <w:tc>
          <w:tcPr>
            <w:tcW w:w="71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9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tc>
      </w:tr>
      <w:tr>
        <w:trPr/>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shd w:fill="auto" w:val="clear"/>
            <w:vAlign w:val="center"/>
          </w:tcPr>
          <w:p>
            <w:pPr>
              <w:pStyle w:val="TableContents"/>
              <w:spacing w:before="0" w:after="283"/>
              <w:rPr/>
            </w:pPr>
            <w:r>
              <w:rPr/>
              <w:t> </w:t>
            </w:r>
          </w:p>
        </w:tc>
        <w:tc>
          <w:tcPr>
            <w:tcW w:w="567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c>
          <w:tcPr>
            <w:tcW w:w="60" w:type="dxa"/>
            <w:tcBorders/>
            <w:shd w:fill="auto" w:val="clear"/>
            <w:vAlign w:val="center"/>
          </w:tcPr>
          <w:p>
            <w:pPr>
              <w:pStyle w:val="TableContents"/>
              <w:spacing w:before="0" w:after="283"/>
              <w:rPr/>
            </w:pPr>
            <w:r>
              <w:rPr/>
              <w:t> </w:t>
            </w:r>
          </w:p>
        </w:tc>
        <w:tc>
          <w:tcPr>
            <w:tcW w:w="56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shd w:fill="auto" w:val="clear"/>
            <w:vAlign w:val="center"/>
          </w:tcPr>
          <w:p>
            <w:pPr>
              <w:pStyle w:val="TableContents"/>
              <w:spacing w:before="0" w:after="283"/>
              <w:rPr/>
            </w:pPr>
            <w:r>
              <w:rPr/>
              <w:t> </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shd w:fill="auto" w:val="clear"/>
            <w:vAlign w:val="center"/>
          </w:tcPr>
          <w:p>
            <w:pPr>
              <w:pStyle w:val="TableContents"/>
              <w:spacing w:before="0" w:after="283"/>
              <w:rPr/>
            </w:pPr>
            <w:r>
              <w:rPr/>
              <w:t> </w:t>
            </w:r>
          </w:p>
        </w:tc>
        <w:tc>
          <w:tcPr>
            <w:tcW w:w="76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Exhibit(s)</w:t>
            </w:r>
          </w:p>
        </w:tc>
        <w:tc>
          <w:tcPr>
            <w:tcW w:w="60" w:type="dxa"/>
            <w:tcBorders/>
            <w:shd w:fill="auto" w:val="clear"/>
            <w:vAlign w:val="center"/>
          </w:tcPr>
          <w:p>
            <w:pPr>
              <w:pStyle w:val="TableContents"/>
              <w:spacing w:before="0" w:after="283"/>
              <w:rPr/>
            </w:pPr>
            <w:r>
              <w:rPr/>
              <w:t> </w:t>
            </w:r>
          </w:p>
        </w:tc>
        <w:tc>
          <w:tcPr>
            <w:tcW w:w="13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3">
              <w:r>
                <w:rPr>
                  <w:rStyle w:val="InternetLink"/>
                  <w:rFonts w:ascii="Times New Roman" w:hAnsi="Times New Roman"/>
                  <w:caps w:val="false"/>
                  <w:smallCaps w:val="false"/>
                  <w:sz w:val="20"/>
                </w:rPr>
                <w:t>Plan of Conversion of Pulse Biosciences, Inc.</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4">
              <w:r>
                <w:rPr>
                  <w:rStyle w:val="InternetLink"/>
                  <w:rFonts w:ascii="Times New Roman" w:hAnsi="Times New Roman"/>
                  <w:caps w:val="false"/>
                  <w:smallCaps w:val="false"/>
                  <w:sz w:val="20"/>
                </w:rPr>
                <w:t>Articles of Conversion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5">
              <w:r>
                <w:rPr>
                  <w:rStyle w:val="InternetLink"/>
                  <w:rFonts w:ascii="Times New Roman" w:hAnsi="Times New Roman"/>
                  <w:caps w:val="false"/>
                  <w:smallCaps w:val="false"/>
                  <w:sz w:val="20"/>
                </w:rPr>
                <w:t>Certificate of Conversion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6">
              <w:r>
                <w:rPr>
                  <w:rStyle w:val="InternetLink"/>
                  <w:rFonts w:ascii="Times New Roman" w:hAnsi="Times New Roman"/>
                  <w:caps w:val="false"/>
                  <w:smallCaps w:val="false"/>
                  <w:sz w:val="20"/>
                </w:rPr>
                <w:t>Certificate of Incorporation of Pulse Biosciences, Inc.</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7">
              <w:r>
                <w:rPr>
                  <w:rStyle w:val="InternetLink"/>
                  <w:rFonts w:ascii="Times New Roman" w:hAnsi="Times New Roman"/>
                  <w:caps w:val="false"/>
                  <w:smallCaps w:val="false"/>
                  <w:sz w:val="20"/>
                </w:rPr>
                <w:t>Bylaws of Pulse Biosciences, Inc.</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8">
              <w:r>
                <w:rPr>
                  <w:rStyle w:val="InternetLink"/>
                  <w:rFonts w:ascii="Times New Roman" w:hAnsi="Times New Roman"/>
                  <w:caps w:val="false"/>
                  <w:smallCaps w:val="false"/>
                  <w:sz w:val="20"/>
                </w:rPr>
                <w:t>Specimen Common Stock Certificate</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9">
              <w:r>
                <w:rPr>
                  <w:rStyle w:val="InternetLink"/>
                  <w:rFonts w:ascii="Times New Roman" w:hAnsi="Times New Roman"/>
                  <w:caps w:val="false"/>
                  <w:smallCaps w:val="false"/>
                  <w:sz w:val="20"/>
                </w:rPr>
                <w:t>Form of Warrant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S-3/A</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333-237577</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 2020</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0">
              <w:r>
                <w:rPr>
                  <w:rStyle w:val="InternetLink"/>
                  <w:rFonts w:ascii="Times New Roman" w:hAnsi="Times New Roman"/>
                  <w:caps w:val="false"/>
                  <w:smallCaps w:val="false"/>
                  <w:sz w:val="20"/>
                </w:rPr>
                <w:t>Form of Warrant Agent Agreement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S-3/A</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333-237577</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 2020</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1">
              <w:r>
                <w:rPr>
                  <w:rStyle w:val="InternetLink"/>
                  <w:rFonts w:ascii="Times New Roman" w:hAnsi="Times New Roman"/>
                  <w:caps w:val="false"/>
                  <w:smallCaps w:val="false"/>
                  <w:sz w:val="20"/>
                </w:rPr>
                <w:t>Lease for facilities at 3955 Point Eden Way, Hayward, California, dated January 26, 2017</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20, 2017</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2">
              <w:r>
                <w:rPr>
                  <w:rStyle w:val="InternetLink"/>
                  <w:rFonts w:ascii="Times New Roman" w:hAnsi="Times New Roman"/>
                  <w:caps w:val="false"/>
                  <w:smallCaps w:val="false"/>
                  <w:sz w:val="20"/>
                </w:rPr>
                <w:t>License Agreement among Old Dominion University Research Foundation, Eastern Virginia Medical School and the Registrant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S-1/A</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 2016</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3">
              <w:r>
                <w:rPr>
                  <w:rStyle w:val="InternetLink"/>
                  <w:rFonts w:ascii="Times New Roman" w:hAnsi="Times New Roman"/>
                  <w:caps w:val="false"/>
                  <w:smallCaps w:val="false"/>
                  <w:sz w:val="20"/>
                </w:rPr>
                <w:t>Amendments No. 1 to License Agreement among Old Dominion University Research Foundation, Eastern Virginia Medical School and the Registrant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S-1/A</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7, 2016</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4">
              <w:r>
                <w:rPr>
                  <w:rStyle w:val="InternetLink"/>
                  <w:rFonts w:ascii="Times New Roman" w:hAnsi="Times New Roman"/>
                  <w:caps w:val="false"/>
                  <w:smallCaps w:val="false"/>
                  <w:sz w:val="20"/>
                </w:rPr>
                <w:t>Employment Agreement between Mitchell E. Levinson and the Registrant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10-K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10.4</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March 31, 2022</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5">
              <w:r>
                <w:rPr>
                  <w:rStyle w:val="InternetLink"/>
                  <w:rFonts w:ascii="Times New Roman" w:hAnsi="Times New Roman"/>
                  <w:caps w:val="false"/>
                  <w:smallCaps w:val="false"/>
                  <w:sz w:val="20"/>
                </w:rPr>
                <w:t>Employment Agreement between Kevin Danahy and the Registrant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10-K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10.5</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March 31, 2022</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6">
              <w:r>
                <w:rPr>
                  <w:rStyle w:val="InternetLink"/>
                  <w:rFonts w:ascii="Times New Roman" w:hAnsi="Times New Roman"/>
                  <w:caps w:val="false"/>
                  <w:smallCaps w:val="false"/>
                  <w:sz w:val="20"/>
                </w:rPr>
                <w:t>Securities Purchase Agreement, dated February 7, 2017, by and between Pulse Biosciences, Inc. and certain purchasers</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10, 2017</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7">
              <w:r>
                <w:rPr>
                  <w:rStyle w:val="InternetLink"/>
                  <w:rFonts w:ascii="Times New Roman" w:hAnsi="Times New Roman"/>
                  <w:caps w:val="false"/>
                  <w:smallCaps w:val="false"/>
                  <w:sz w:val="20"/>
                </w:rPr>
                <w:t>Securities Purchase Agreement, dated September 24, 2017, by and between Pulse Biosciences, Inc. and certain purchasers</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25, 2017</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8">
              <w:r>
                <w:rPr>
                  <w:rStyle w:val="InternetLink"/>
                  <w:rFonts w:ascii="Times New Roman" w:hAnsi="Times New Roman"/>
                  <w:caps w:val="false"/>
                  <w:smallCaps w:val="false"/>
                  <w:sz w:val="20"/>
                </w:rPr>
                <w:t>2015 Stock Incentive Plan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19">
              <w:r>
                <w:rPr>
                  <w:rStyle w:val="InternetLink"/>
                  <w:rFonts w:ascii="Times New Roman" w:hAnsi="Times New Roman"/>
                  <w:caps w:val="false"/>
                  <w:smallCaps w:val="false"/>
                  <w:sz w:val="20"/>
                </w:rPr>
                <w:t>2017 Inducement Equity Incentive Plan and forms of agreements thereunder</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28, 2017</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0">
              <w:r>
                <w:rPr>
                  <w:rStyle w:val="InternetLink"/>
                  <w:rFonts w:ascii="Times New Roman" w:hAnsi="Times New Roman"/>
                  <w:caps w:val="false"/>
                  <w:smallCaps w:val="false"/>
                  <w:sz w:val="20"/>
                </w:rPr>
                <w:t>2017 Equity Incentive Plan and forms of agreements thereunder</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12, 2021</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1">
              <w:r>
                <w:rPr>
                  <w:rStyle w:val="InternetLink"/>
                  <w:rFonts w:ascii="Times New Roman" w:hAnsi="Times New Roman"/>
                  <w:caps w:val="false"/>
                  <w:smallCaps w:val="false"/>
                  <w:sz w:val="20"/>
                </w:rPr>
                <w:t>2017 Employee Stock Purchase Plan and forms of agreements thereunder</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19, 2017</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2">
              <w:r>
                <w:rPr>
                  <w:rStyle w:val="InternetLink"/>
                  <w:rFonts w:ascii="Times New Roman" w:hAnsi="Times New Roman"/>
                  <w:caps w:val="false"/>
                  <w:smallCaps w:val="false"/>
                  <w:sz w:val="20"/>
                </w:rPr>
                <w:t>Form of Director Option Agreement, not issued under the 2015 Stock Incentive Plan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3">
              <w:r>
                <w:rPr>
                  <w:rStyle w:val="InternetLink"/>
                  <w:rFonts w:ascii="Times New Roman" w:hAnsi="Times New Roman"/>
                  <w:caps w:val="false"/>
                  <w:smallCaps w:val="false"/>
                  <w:sz w:val="20"/>
                </w:rPr>
                <w:t>Executive Employment Agreement between Darrin R. Uecker and the Registrant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4">
              <w:r>
                <w:rPr>
                  <w:rStyle w:val="InternetLink"/>
                  <w:rFonts w:ascii="Times New Roman" w:hAnsi="Times New Roman"/>
                  <w:caps w:val="false"/>
                  <w:smallCaps w:val="false"/>
                  <w:sz w:val="20"/>
                </w:rPr>
                <w:t>Amendment to Employment Agreement between Darrin R. Uecker and Pulse Biosciences, Inc. dated October 5, 2016</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11, 2016</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5">
              <w:r>
                <w:rPr>
                  <w:rStyle w:val="InternetLink"/>
                  <w:rFonts w:ascii="Times New Roman" w:hAnsi="Times New Roman"/>
                  <w:caps w:val="false"/>
                  <w:smallCaps w:val="false"/>
                  <w:sz w:val="20"/>
                </w:rPr>
                <w:t>Form of At-Will Employment, Confidential Information, Invention Assignment, and Arbitration Agreement for Employees</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333-208694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22, 2015</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10.16</w:t>
            </w:r>
            <w:r>
              <w:rPr>
                <w:rFonts w:ascii="Times New Roman" w:hAnsi="Times New Roman"/>
                <w:caps w:val="false"/>
                <w:smallCaps w:val="false"/>
                <w:sz w:val="20"/>
                <w:u w:val="single"/>
              </w:rPr>
              <w:t>+</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6">
              <w:r>
                <w:rPr>
                  <w:rStyle w:val="InternetLink"/>
                  <w:rFonts w:ascii="Times New Roman" w:hAnsi="Times New Roman"/>
                  <w:caps w:val="false"/>
                  <w:smallCaps w:val="false"/>
                  <w:sz w:val="20"/>
                </w:rPr>
                <w:t>Form of Indemnification Agreement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8-K12B</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18, 2018</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10.17</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7">
              <w:r>
                <w:rPr>
                  <w:rStyle w:val="InternetLink"/>
                  <w:rFonts w:ascii="Times New Roman" w:hAnsi="Times New Roman"/>
                  <w:caps w:val="false"/>
                  <w:smallCaps w:val="false"/>
                  <w:sz w:val="20"/>
                </w:rPr>
                <w:t>First Amendment to the lease for facilities at 3955 Point Eden Way, Hayward, California, dated May 28, 2019</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31, 2019</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10.18</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8">
              <w:r>
                <w:rPr>
                  <w:rStyle w:val="InternetLink"/>
                  <w:rFonts w:ascii="Times New Roman" w:hAnsi="Times New Roman"/>
                  <w:caps w:val="false"/>
                  <w:smallCaps w:val="false"/>
                  <w:sz w:val="20"/>
                </w:rPr>
                <w:t>At-the-Market Equity Offering Sales Agreement</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4, 2021</w:t>
            </w:r>
          </w:p>
        </w:tc>
      </w:tr>
      <w:tr>
        <w:trPr/>
        <w:tc>
          <w:tcPr>
            <w:tcW w:w="71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10.19</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0"/>
              <w:ind w:left="0" w:right="0" w:hanging="0"/>
              <w:jc w:val="both"/>
              <w:rPr/>
            </w:pPr>
            <w:hyperlink r:id="rId29">
              <w:r>
                <w:rPr>
                  <w:rStyle w:val="InternetLink"/>
                  <w:rFonts w:ascii="Times New Roman" w:hAnsi="Times New Roman"/>
                  <w:caps w:val="false"/>
                  <w:smallCaps w:val="false"/>
                  <w:sz w:val="20"/>
                </w:rPr>
                <w:t>Securities Purchase Agreement, dated June 30, 2021, by and between Pulse Biosciences, Inc. and Robert W. Duggan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 2021</w:t>
            </w:r>
          </w:p>
        </w:tc>
      </w:tr>
      <w:tr>
        <w:trPr/>
        <w:tc>
          <w:tcPr>
            <w:tcW w:w="710" w:type="dxa"/>
            <w:tcBorders/>
            <w:shd w:fill="auto" w:val="clear"/>
            <w:vAlign w:val="center"/>
          </w:tcPr>
          <w:p>
            <w:pPr>
              <w:pStyle w:val="TableContents"/>
              <w:spacing w:before="0" w:after="283"/>
              <w:jc w:val="center"/>
              <w:rPr/>
            </w:pPr>
            <w:r>
              <w:rPr/>
              <w:t>10.20</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283"/>
              <w:rPr/>
            </w:pPr>
            <w:hyperlink r:id="rId30">
              <w:r>
                <w:rPr>
                  <w:rStyle w:val="InternetLink"/>
                  <w:u w:val="single"/>
                </w:rPr>
                <w:t>Indemnification Letter, dated May 27, 2022, by and between Pulse Biosciences, Inc. and Robert W. Duggan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10-Q</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August 10, 2022</w:t>
            </w:r>
          </w:p>
        </w:tc>
      </w:tr>
      <w:tr>
        <w:trPr/>
        <w:tc>
          <w:tcPr>
            <w:tcW w:w="710" w:type="dxa"/>
            <w:tcBorders/>
            <w:shd w:fill="auto" w:val="clear"/>
            <w:vAlign w:val="center"/>
          </w:tcPr>
          <w:p>
            <w:pPr>
              <w:pStyle w:val="TableContents"/>
              <w:spacing w:before="0" w:after="283"/>
              <w:jc w:val="center"/>
              <w:rPr/>
            </w:pPr>
            <w:r>
              <w:rPr/>
              <w:t>10.21</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283"/>
              <w:rPr/>
            </w:pPr>
            <w:hyperlink r:id="rId31">
              <w:r>
                <w:rPr>
                  <w:rStyle w:val="InternetLink"/>
                </w:rPr>
                <w:t>Loan Agreement, dated as of September 20, 2022, by and between Pulse Biosciences, Inc. and Robert W. Duggan</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September 23, 2022</w:t>
            </w:r>
          </w:p>
        </w:tc>
      </w:tr>
      <w:tr>
        <w:trPr/>
        <w:tc>
          <w:tcPr>
            <w:tcW w:w="710" w:type="dxa"/>
            <w:tcBorders/>
            <w:shd w:fill="auto" w:val="clear"/>
            <w:vAlign w:val="center"/>
          </w:tcPr>
          <w:p>
            <w:pPr>
              <w:pStyle w:val="TableContents"/>
              <w:spacing w:before="0" w:after="283"/>
              <w:jc w:val="center"/>
              <w:rPr/>
            </w:pPr>
            <w:r>
              <w:rPr/>
              <w:t>10.22+</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283"/>
              <w:rPr/>
            </w:pPr>
            <w:hyperlink r:id="rId32">
              <w:r>
                <w:rPr>
                  <w:rStyle w:val="InternetLink"/>
                </w:rPr>
                <w:t>Amendment to Employment Agreement, between Darrin Uecker and Pulse Biosciences, Inc., dated September 20, 2022</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10.2</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September 23, 2022</w:t>
            </w:r>
          </w:p>
        </w:tc>
      </w:tr>
      <w:tr>
        <w:trPr/>
        <w:tc>
          <w:tcPr>
            <w:tcW w:w="710" w:type="dxa"/>
            <w:tcBorders/>
            <w:shd w:fill="auto" w:val="clear"/>
            <w:vAlign w:val="center"/>
          </w:tcPr>
          <w:p>
            <w:pPr>
              <w:pStyle w:val="TableContents"/>
              <w:spacing w:before="0" w:after="283"/>
              <w:jc w:val="center"/>
              <w:rPr/>
            </w:pPr>
            <w:r>
              <w:rPr/>
              <w:t>10.23+</w:t>
            </w:r>
          </w:p>
        </w:tc>
        <w:tc>
          <w:tcPr>
            <w:tcW w:w="60" w:type="dxa"/>
            <w:tcBorders/>
            <w:shd w:fill="auto" w:val="clear"/>
            <w:vAlign w:val="center"/>
          </w:tcPr>
          <w:p>
            <w:pPr>
              <w:pStyle w:val="TableContents"/>
              <w:spacing w:before="0" w:after="283"/>
              <w:rPr/>
            </w:pPr>
            <w:r>
              <w:rPr/>
              <w:t> </w:t>
            </w:r>
          </w:p>
        </w:tc>
        <w:tc>
          <w:tcPr>
            <w:tcW w:w="5679" w:type="dxa"/>
            <w:tcBorders/>
            <w:shd w:fill="auto" w:val="clear"/>
            <w:vAlign w:val="center"/>
          </w:tcPr>
          <w:p>
            <w:pPr>
              <w:pStyle w:val="TableContents"/>
              <w:spacing w:before="0" w:after="283"/>
              <w:rPr/>
            </w:pPr>
            <w:hyperlink r:id="rId33">
              <w:r>
                <w:rPr>
                  <w:rStyle w:val="InternetLink"/>
                </w:rPr>
                <w:t>Amendment to Employment Agreement, between Kevin Danahy and Pulse Biosciences, Inc., dated September 23, 2022</w:t>
              </w:r>
            </w:hyperlink>
          </w:p>
        </w:tc>
        <w:tc>
          <w:tcPr>
            <w:tcW w:w="60" w:type="dxa"/>
            <w:tcBorders/>
            <w:shd w:fill="auto" w:val="clear"/>
            <w:vAlign w:val="center"/>
          </w:tcPr>
          <w:p>
            <w:pPr>
              <w:pStyle w:val="TableContents"/>
              <w:spacing w:before="0" w:after="283"/>
              <w:rPr/>
            </w:pPr>
            <w:r>
              <w:rPr/>
              <w:t> </w:t>
            </w:r>
          </w:p>
        </w:tc>
        <w:tc>
          <w:tcPr>
            <w:tcW w:w="564" w:type="dxa"/>
            <w:tcBorders/>
            <w:shd w:fill="auto" w:val="clear"/>
            <w:vAlign w:val="center"/>
          </w:tcPr>
          <w:p>
            <w:pPr>
              <w:pStyle w:val="TableContents"/>
              <w:spacing w:before="0" w:after="283"/>
              <w:jc w:val="center"/>
              <w:rPr/>
            </w:pPr>
            <w:r>
              <w:rPr/>
              <w:t>8-K</w:t>
            </w:r>
          </w:p>
        </w:tc>
        <w:tc>
          <w:tcPr>
            <w:tcW w:w="60"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jc w:val="center"/>
              <w:rPr/>
            </w:pPr>
            <w:r>
              <w:rPr/>
              <w:t>001-37744</w:t>
            </w:r>
          </w:p>
        </w:tc>
        <w:tc>
          <w:tcPr>
            <w:tcW w:w="60"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jc w:val="center"/>
              <w:rPr/>
            </w:pPr>
            <w:r>
              <w:rPr/>
              <w:t>10.1</w:t>
            </w:r>
          </w:p>
        </w:tc>
        <w:tc>
          <w:tcPr>
            <w:tcW w:w="60" w:type="dxa"/>
            <w:tcBorders/>
            <w:shd w:fill="auto" w:val="clear"/>
            <w:vAlign w:val="center"/>
          </w:tcPr>
          <w:p>
            <w:pPr>
              <w:pStyle w:val="TableContents"/>
              <w:spacing w:before="0" w:after="283"/>
              <w:rPr/>
            </w:pPr>
            <w:r>
              <w:rPr/>
              <w:t> </w:t>
            </w:r>
          </w:p>
        </w:tc>
        <w:tc>
          <w:tcPr>
            <w:tcW w:w="1382" w:type="dxa"/>
            <w:tcBorders/>
            <w:shd w:fill="auto" w:val="clear"/>
            <w:vAlign w:val="center"/>
          </w:tcPr>
          <w:p>
            <w:pPr>
              <w:pStyle w:val="TableContents"/>
              <w:spacing w:before="0" w:after="283"/>
              <w:jc w:val="center"/>
              <w:rPr/>
            </w:pPr>
            <w:r>
              <w:rPr/>
              <w:t>September 28, 2022</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9115" w:type="dxa"/>
        <w:jc w:val="left"/>
        <w:tblInd w:w="0" w:type="dxa"/>
        <w:tblCellMar>
          <w:top w:w="0" w:type="dxa"/>
          <w:left w:w="0" w:type="dxa"/>
          <w:bottom w:w="0" w:type="dxa"/>
          <w:right w:w="0" w:type="dxa"/>
        </w:tblCellMar>
      </w:tblPr>
      <w:tblGrid>
        <w:gridCol w:w="485"/>
        <w:gridCol w:w="60"/>
        <w:gridCol w:w="8090"/>
        <w:gridCol w:w="60"/>
        <w:gridCol w:w="60"/>
        <w:gridCol w:w="60"/>
        <w:gridCol w:w="60"/>
        <w:gridCol w:w="60"/>
        <w:gridCol w:w="60"/>
        <w:gridCol w:w="60"/>
        <w:gridCol w:w="60"/>
      </w:tblGrid>
      <w:tr>
        <w:trPr/>
        <w:tc>
          <w:tcPr>
            <w:tcW w:w="4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ind w:left="0" w:right="0" w:hanging="0"/>
              <w:jc w:val="both"/>
              <w:rPr/>
            </w:pPr>
            <w:hyperlink w:anchor="ex_451877.htm">
              <w:r>
                <w:rPr>
                  <w:rStyle w:val="InternetLink"/>
                  <w:rFonts w:ascii="Times New Roman" w:hAnsi="Times New Roman"/>
                  <w:caps w:val="false"/>
                  <w:smallCaps w:val="false"/>
                  <w:sz w:val="20"/>
                </w:rPr>
                <w:t>List of Subsidiaries</w:t>
              </w:r>
            </w:hyperlink>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ind w:left="0" w:right="0" w:hanging="0"/>
              <w:jc w:val="both"/>
              <w:rPr/>
            </w:pPr>
            <w:hyperlink w:anchor="ex_451878.htm">
              <w:r>
                <w:rPr>
                  <w:rStyle w:val="InternetLink"/>
                  <w:rFonts w:ascii="Times New Roman" w:hAnsi="Times New Roman"/>
                  <w:caps w:val="false"/>
                  <w:smallCaps w:val="false"/>
                  <w:sz w:val="20"/>
                </w:rPr>
                <w:t>Consent of Independent Registered Public Accounting Firm</w:t>
              </w:r>
            </w:hyperlink>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ind w:left="0" w:right="0" w:hanging="0"/>
              <w:rPr/>
            </w:pPr>
            <w:hyperlink w:anchor="ex_451879.htm">
              <w:r>
                <w:rPr>
                  <w:rStyle w:val="InternetLink"/>
                  <w:rFonts w:ascii="Times New Roman" w:hAnsi="Times New Roman"/>
                  <w:caps w:val="false"/>
                  <w:smallCaps w:val="false"/>
                  <w:sz w:val="20"/>
                </w:rPr>
                <w:t>Certification of Chief Executive Officer pursuant to Section 302 of the Sarbanes-Oxley Act of 2002.</w:t>
              </w:r>
            </w:hyperlink>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711"/>
        <w:gridCol w:w="60"/>
        <w:gridCol w:w="8953"/>
        <w:gridCol w:w="60"/>
        <w:gridCol w:w="60"/>
        <w:gridCol w:w="60"/>
        <w:gridCol w:w="60"/>
        <w:gridCol w:w="60"/>
        <w:gridCol w:w="60"/>
        <w:gridCol w:w="60"/>
        <w:gridCol w:w="61"/>
      </w:tblGrid>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pPr>
            <w:hyperlink w:anchor="ex_451881.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Filed herewith</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Indicates a management contract or compensatory plan or arrangement.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r>
        <w:trPr/>
        <w:tc>
          <w:tcPr>
            <w:tcW w:w="7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Portions of this exhibit (indicated by asterisks) have been omitted pursuant to a grant of confidential treatment.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30" w:name="summary"/>
      <w:bookmarkEnd w:id="30"/>
      <w:r>
        <w:rPr>
          <w:rFonts w:ascii="Times New Roman" w:hAnsi="Times New Roman"/>
          <w:b/>
          <w:caps w:val="false"/>
          <w:smallCaps w:val="false"/>
          <w:sz w:val="20"/>
        </w:rPr>
        <w:t>Item 16. Form 10-K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31" w:name="sigs"/>
      <w:bookmarkEnd w:id="31"/>
      <w:r>
        <w:rPr>
          <w:rFonts w:ascii="Times New Roman" w:hAnsi="Times New Roman"/>
          <w:b/>
          <w:caps w:val="false"/>
          <w:smallCaps w:val="false"/>
          <w:sz w:val="20"/>
        </w:rPr>
        <w:t xml:space="preserve">Signatures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Section 13 or 15(d)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7259" w:type="dxa"/>
        <w:jc w:val="left"/>
        <w:tblInd w:w="0" w:type="dxa"/>
        <w:tblCellMar>
          <w:top w:w="0" w:type="dxa"/>
          <w:left w:w="0" w:type="dxa"/>
          <w:bottom w:w="0" w:type="dxa"/>
          <w:right w:w="0" w:type="dxa"/>
        </w:tblCellMar>
      </w:tblPr>
      <w:tblGrid>
        <w:gridCol w:w="893"/>
        <w:gridCol w:w="896"/>
        <w:gridCol w:w="320"/>
        <w:gridCol w:w="5090"/>
        <w:gridCol w:w="60"/>
      </w:tblGrid>
      <w:tr>
        <w:trPr/>
        <w:tc>
          <w:tcPr>
            <w:tcW w:w="1789" w:type="dxa"/>
            <w:gridSpan w:val="2"/>
            <w:tcBorders/>
            <w:shd w:fill="auto" w:val="clear"/>
            <w:vAlign w:val="center"/>
          </w:tcPr>
          <w:p>
            <w:pPr>
              <w:pStyle w:val="TableContents"/>
              <w:spacing w:before="0" w:after="283"/>
              <w:rPr/>
            </w:pPr>
            <w:r>
              <w:rPr/>
              <w:t> </w:t>
            </w:r>
          </w:p>
        </w:tc>
        <w:tc>
          <w:tcPr>
            <w:tcW w:w="5410"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shd w:fill="auto" w:val="clear"/>
            <w:vAlign w:val="center"/>
          </w:tcPr>
          <w:p>
            <w:pPr>
              <w:pStyle w:val="TableContents"/>
              <w:spacing w:before="0" w:after="283"/>
              <w:rPr/>
            </w:pPr>
            <w:r>
              <w:rPr/>
              <w:t> </w:t>
            </w:r>
          </w:p>
        </w:tc>
      </w:tr>
      <w:tr>
        <w:trPr/>
        <w:tc>
          <w:tcPr>
            <w:tcW w:w="1789" w:type="dxa"/>
            <w:gridSpan w:val="2"/>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1789"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March 31, 2023</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50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shd w:fill="auto" w:val="clear"/>
            <w:vAlign w:val="center"/>
          </w:tcPr>
          <w:p>
            <w:pPr>
              <w:pStyle w:val="TableContents"/>
              <w:spacing w:before="0" w:after="283"/>
              <w:rPr/>
            </w:pPr>
            <w:r>
              <w:rPr/>
              <w:t> </w:t>
            </w:r>
          </w:p>
        </w:tc>
      </w:tr>
      <w:tr>
        <w:trPr/>
        <w:tc>
          <w:tcPr>
            <w:tcW w:w="89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shd w:fill="auto" w:val="clear"/>
            <w:vAlign w:val="center"/>
          </w:tcPr>
          <w:p>
            <w:pPr>
              <w:pStyle w:val="TableContents"/>
              <w:spacing w:before="0" w:after="283"/>
              <w:rPr/>
            </w:pPr>
            <w:r>
              <w:rPr/>
              <w:t> </w:t>
            </w:r>
          </w:p>
        </w:tc>
      </w:tr>
      <w:tr>
        <w:trPr/>
        <w:tc>
          <w:tcPr>
            <w:tcW w:w="89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auto" w:val="clear"/>
            <w:vAlign w:val="center"/>
          </w:tcPr>
          <w:p>
            <w:pPr>
              <w:pStyle w:val="TableContents"/>
              <w:spacing w:before="0" w:after="283"/>
              <w:rPr/>
            </w:pPr>
            <w:r>
              <w:rPr/>
              <w:t> </w:t>
            </w:r>
          </w:p>
        </w:tc>
      </w:tr>
      <w:tr>
        <w:trPr/>
        <w:tc>
          <w:tcPr>
            <w:tcW w:w="89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283"/>
              <w:jc w:val="center"/>
              <w:rPr>
                <w:i/>
              </w:rPr>
            </w:pPr>
            <w:r>
              <w:rPr>
                <w:i/>
              </w:rPr>
              <w:t>(Principal Executive and Principal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Kevin Danahy and Timothy Mitsuoka,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pStyle w:val="TextBody"/>
        <w:spacing w:before="0" w:after="0"/>
        <w:ind w:left="0" w:right="0" w:hanging="0"/>
        <w:jc w:val="left"/>
        <w:rPr/>
      </w:pPr>
      <w:r>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by the following persons on behalf of the Registrant in the capacities and on the dates indicated. </w:t>
      </w:r>
    </w:p>
    <w:p>
      <w:pPr>
        <w:pStyle w:val="TextBody"/>
        <w:spacing w:before="0" w:after="0"/>
        <w:ind w:left="0" w:right="0" w:hanging="0"/>
        <w:rPr>
          <w:caps w:val="false"/>
          <w:smallCaps w:val="false"/>
        </w:rPr>
      </w:pPr>
      <w:r>
        <w:rPr>
          <w:caps w:val="false"/>
          <w:smallCaps w:val="false"/>
        </w:rPr>
        <w:t> </w:t>
      </w:r>
    </w:p>
    <w:tbl>
      <w:tblPr>
        <w:tblW w:w="9270" w:type="dxa"/>
        <w:jc w:val="left"/>
        <w:tblInd w:w="0" w:type="dxa"/>
        <w:tblCellMar>
          <w:top w:w="0" w:type="dxa"/>
          <w:left w:w="0" w:type="dxa"/>
          <w:bottom w:w="28" w:type="dxa"/>
          <w:right w:w="0" w:type="dxa"/>
        </w:tblCellMar>
      </w:tblPr>
      <w:tblGrid>
        <w:gridCol w:w="2525"/>
        <w:gridCol w:w="60"/>
        <w:gridCol w:w="5090"/>
        <w:gridCol w:w="60"/>
        <w:gridCol w:w="1535"/>
      </w:tblGrid>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shd w:fill="auto" w:val="clear"/>
            <w:tcMar>
              <w:bottom w:w="0" w:type="dxa"/>
            </w:tcMar>
            <w:vAlign w:val="center"/>
          </w:tcPr>
          <w:p>
            <w:pPr>
              <w:pStyle w:val="TableContents"/>
              <w:spacing w:before="0" w:after="283"/>
              <w:rPr/>
            </w:pPr>
            <w:r>
              <w:rPr/>
              <w:t> </w:t>
            </w:r>
          </w:p>
        </w:tc>
        <w:tc>
          <w:tcPr>
            <w:tcW w:w="509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shd w:fill="auto" w:val="clear"/>
            <w:tcMar>
              <w:bottom w:w="0" w:type="dxa"/>
            </w:tcMar>
            <w:vAlign w:val="center"/>
          </w:tcPr>
          <w:p>
            <w:pPr>
              <w:pStyle w:val="TableContents"/>
              <w:spacing w:before="0" w:after="283"/>
              <w:rPr/>
            </w:pPr>
            <w:r>
              <w:rPr/>
              <w:t> </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2023</w:t>
            </w:r>
          </w:p>
        </w:tc>
      </w:tr>
      <w:tr>
        <w:trPr/>
        <w:tc>
          <w:tcPr>
            <w:tcW w:w="2525" w:type="dxa"/>
            <w:tcBorders/>
            <w:shd w:fill="auto" w:val="clear"/>
            <w:tcMar>
              <w:bottom w:w="0" w:type="dxa"/>
            </w:tcMar>
            <w:vAlign w:val="center"/>
          </w:tcPr>
          <w:p>
            <w:pPr>
              <w:pStyle w:val="TableContents"/>
              <w:spacing w:before="0" w:after="283"/>
              <w:jc w:val="center"/>
              <w:rPr/>
            </w:pPr>
            <w:r>
              <w:rPr/>
              <w:t>Kevin P. Danahy</w:t>
            </w:r>
          </w:p>
        </w:tc>
        <w:tc>
          <w:tcPr>
            <w:tcW w:w="60" w:type="dxa"/>
            <w:tcBorders/>
            <w:shd w:fill="auto" w:val="clear"/>
            <w:tcMar>
              <w:bottom w:w="0" w:type="dxa"/>
            </w:tcMar>
            <w:vAlign w:val="center"/>
          </w:tcPr>
          <w:p>
            <w:pPr>
              <w:pStyle w:val="TableContents"/>
              <w:spacing w:before="0" w:after="283"/>
              <w:jc w:val="center"/>
              <w:rPr/>
            </w:pPr>
            <w:r>
              <w:rPr/>
              <w:t> </w:t>
            </w:r>
          </w:p>
        </w:tc>
        <w:tc>
          <w:tcPr>
            <w:tcW w:w="5090" w:type="dxa"/>
            <w:tcBorders/>
            <w:shd w:fill="auto" w:val="clear"/>
            <w:tcMar>
              <w:bottom w:w="0" w:type="dxa"/>
            </w:tcMar>
            <w:vAlign w:val="center"/>
          </w:tcPr>
          <w:p>
            <w:pPr>
              <w:pStyle w:val="TableContents"/>
              <w:spacing w:before="0" w:after="283"/>
              <w:jc w:val="center"/>
              <w:rPr/>
            </w:pPr>
            <w:r>
              <w:rPr/>
              <w:t>(</w:t>
            </w:r>
            <w:r>
              <w:rPr>
                <w:i/>
              </w:rPr>
              <w:t>Principal Executive and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Robert W. Duggan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Executive 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Robert W. Duggan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Darrin R. Uecker</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Chief Technology Officer and 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Darrin R. Uecker</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Mitchell E. Levinson</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Chief Strategy Officer and 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Mitchell E. Levinson</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Shelley D. Spray</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Shelley D. Spray</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Manmeet S. Soni</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Manmeet S. Soni</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Mahkam Zanganeh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Mahkam Zanganeh</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r>
        <w:trPr/>
        <w:tc>
          <w:tcPr>
            <w:tcW w:w="252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Richard A. van den Broek</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jc w:val="center"/>
              <w:rPr/>
            </w:pPr>
            <w:r>
              <w:rPr/>
              <w:t>March 31, 2023</w:t>
            </w:r>
          </w:p>
        </w:tc>
      </w:tr>
      <w:tr>
        <w:trPr/>
        <w:tc>
          <w:tcPr>
            <w:tcW w:w="2525" w:type="dxa"/>
            <w:tcBorders/>
            <w:shd w:fill="auto" w:val="clear"/>
            <w:tcMar>
              <w:bottom w:w="0" w:type="dxa"/>
            </w:tcMar>
            <w:vAlign w:val="center"/>
          </w:tcPr>
          <w:p>
            <w:pPr>
              <w:pStyle w:val="TableContents"/>
              <w:spacing w:before="0" w:after="283"/>
              <w:jc w:val="center"/>
              <w:rPr/>
            </w:pPr>
            <w:r>
              <w:rPr/>
              <w:t>Richard A. van den Broek</w:t>
            </w:r>
          </w:p>
        </w:tc>
        <w:tc>
          <w:tcPr>
            <w:tcW w:w="60" w:type="dxa"/>
            <w:tcBorders/>
            <w:shd w:fill="auto" w:val="clear"/>
            <w:tcMar>
              <w:bottom w:w="0" w:type="dxa"/>
            </w:tcMar>
            <w:vAlign w:val="center"/>
          </w:tcPr>
          <w:p>
            <w:pPr>
              <w:pStyle w:val="TableContents"/>
              <w:spacing w:before="0" w:after="283"/>
              <w:rPr/>
            </w:pPr>
            <w:r>
              <w:rPr/>
              <w:t> </w:t>
            </w:r>
          </w:p>
        </w:tc>
        <w:tc>
          <w:tcPr>
            <w:tcW w:w="50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283"/>
              <w:rPr/>
            </w:pPr>
            <w:r>
              <w:rPr/>
              <w:t> </w:t>
            </w:r>
          </w:p>
        </w:tc>
      </w:tr>
    </w:tbl>
    <w:tbl>
      <w:tblPr>
        <w:tblW w:w="6900" w:type="dxa"/>
        <w:jc w:val="left"/>
        <w:tblInd w:w="0" w:type="dxa"/>
        <w:tblCellMar>
          <w:top w:w="0" w:type="dxa"/>
          <w:left w:w="0" w:type="dxa"/>
          <w:bottom w:w="0" w:type="dxa"/>
          <w:right w:w="0" w:type="dxa"/>
        </w:tblCellMar>
      </w:tblPr>
      <w:tblGrid>
        <w:gridCol w:w="2150"/>
        <w:gridCol w:w="240"/>
        <w:gridCol w:w="2915"/>
        <w:gridCol w:w="60"/>
        <w:gridCol w:w="1535"/>
      </w:tblGrid>
      <w:tr>
        <w:trPr/>
        <w:tc>
          <w:tcPr>
            <w:tcW w:w="215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r>
      <w:tr>
        <w:trPr/>
        <w:tc>
          <w:tcPr>
            <w:tcW w:w="21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Timothy H. Mitsuoka</w:t>
            </w:r>
          </w:p>
        </w:tc>
        <w:tc>
          <w:tcPr>
            <w:tcW w:w="24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ind w:left="140" w:right="0" w:hanging="0"/>
              <w:jc w:val="center"/>
              <w:rPr>
                <w:rFonts w:ascii="Times New Roman" w:hAnsi="Times New Roman"/>
                <w:caps w:val="false"/>
                <w:smallCaps w:val="false"/>
                <w:sz w:val="20"/>
              </w:rPr>
            </w:pPr>
            <w:r>
              <w:rPr>
                <w:rFonts w:ascii="Times New Roman" w:hAnsi="Times New Roman"/>
                <w:caps w:val="false"/>
                <w:smallCaps w:val="false"/>
                <w:sz w:val="20"/>
              </w:rPr>
              <w:t>Corporate Controller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pPr>
            <w:r>
              <w:rPr/>
              <w:t>March 31, 2023</w:t>
            </w:r>
          </w:p>
        </w:tc>
      </w:tr>
      <w:tr>
        <w:trPr/>
        <w:tc>
          <w:tcPr>
            <w:tcW w:w="2150" w:type="dxa"/>
            <w:tcBorders/>
            <w:shd w:fill="auto" w:val="clear"/>
            <w:vAlign w:val="center"/>
          </w:tcPr>
          <w:p>
            <w:pPr>
              <w:pStyle w:val="TableContents"/>
              <w:spacing w:before="0" w:after="283"/>
              <w:jc w:val="center"/>
              <w:rPr/>
            </w:pPr>
            <w:r>
              <w:rPr/>
              <w:t>Timothy H. Mitsuoka</w:t>
            </w:r>
          </w:p>
        </w:tc>
        <w:tc>
          <w:tcPr>
            <w:tcW w:w="240" w:type="dxa"/>
            <w:tcBorders/>
            <w:shd w:fill="auto" w:val="clear"/>
            <w:vAlign w:val="center"/>
          </w:tcPr>
          <w:p>
            <w:pPr>
              <w:pStyle w:val="TableContents"/>
              <w:spacing w:before="0" w:after="283"/>
              <w:ind w:left="0" w:right="0" w:firstLine="180"/>
              <w:rPr/>
            </w:pPr>
            <w:r>
              <w:rPr/>
              <w:t> </w:t>
            </w:r>
          </w:p>
        </w:tc>
        <w:tc>
          <w:tcPr>
            <w:tcW w:w="2915" w:type="dxa"/>
            <w:tcBorders/>
            <w:shd w:fill="auto" w:val="clear"/>
            <w:vAlign w:val="center"/>
          </w:tcPr>
          <w:p>
            <w:pPr>
              <w:pStyle w:val="TableContents"/>
              <w:spacing w:before="0" w:after="283"/>
              <w:jc w:val="center"/>
              <w:rPr>
                <w:i/>
              </w:rPr>
            </w:pPr>
            <w:r>
              <w:rPr>
                <w:i/>
              </w:rPr>
              <w:t>(Principal Accounting Officer)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rFonts w:ascii="Times New Roman" w:hAnsi="Times New Roman"/>
          <w:sz w:val="20"/>
        </w:rPr>
      </w:pPr>
      <w:r>
        <w:rPr>
          <w:rFonts w:ascii="Times New Roman" w:hAnsi="Times New Roman"/>
          <w:sz w:val="20"/>
        </w:rPr>
        <w:t xml:space="preserve">66 </w:t>
      </w:r>
      <w:r>
        <w:br w:type="page"/>
      </w:r>
    </w:p>
    <w:p>
      <w:pPr>
        <w:pStyle w:val="TextBody"/>
        <w:spacing w:before="0" w:after="0"/>
        <w:ind w:left="0" w:right="0" w:hanging="0"/>
        <w:jc w:val="right"/>
        <w:rPr>
          <w:rFonts w:ascii="Times New Roman" w:hAnsi="Times New Roman"/>
          <w:caps w:val="false"/>
          <w:smallCaps w:val="false"/>
          <w:sz w:val="20"/>
        </w:rPr>
      </w:pPr>
      <w:bookmarkStart w:id="32" w:name="ex_451877.htm"/>
      <w:bookmarkStart w:id="33" w:name="ksex_451877"/>
      <w:bookmarkEnd w:id="32"/>
      <w:bookmarkEnd w:id="33"/>
      <w:r>
        <w:rPr>
          <w:rFonts w:ascii="Times New Roman" w:hAnsi="Times New Roman"/>
          <w:caps w:val="false"/>
          <w:smallCaps w:val="false"/>
          <w:sz w:val="20"/>
        </w:rPr>
        <w:t>Exhibit 21.1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List of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7935" w:type="dxa"/>
        <w:jc w:val="left"/>
        <w:tblInd w:w="0" w:type="dxa"/>
        <w:tblCellMar>
          <w:top w:w="0" w:type="dxa"/>
          <w:left w:w="0" w:type="dxa"/>
          <w:bottom w:w="28" w:type="dxa"/>
          <w:right w:w="0" w:type="dxa"/>
        </w:tblCellMar>
      </w:tblPr>
      <w:tblGrid>
        <w:gridCol w:w="3860"/>
        <w:gridCol w:w="60"/>
        <w:gridCol w:w="2345"/>
        <w:gridCol w:w="60"/>
        <w:gridCol w:w="1610"/>
      </w:tblGrid>
      <w:tr>
        <w:trPr/>
        <w:tc>
          <w:tcPr>
            <w:tcW w:w="386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Subsidiary</w:t>
            </w:r>
          </w:p>
        </w:tc>
        <w:tc>
          <w:tcPr>
            <w:tcW w:w="60" w:type="dxa"/>
            <w:tcBorders/>
            <w:shd w:fill="auto" w:val="clear"/>
            <w:tcMar>
              <w:bottom w:w="0" w:type="dxa"/>
            </w:tcMar>
            <w:vAlign w:val="center"/>
          </w:tcPr>
          <w:p>
            <w:pPr>
              <w:pStyle w:val="TableContents"/>
              <w:spacing w:before="0" w:after="283"/>
              <w:rPr/>
            </w:pPr>
            <w:r>
              <w:rPr/>
              <w:t> </w:t>
            </w:r>
          </w:p>
        </w:tc>
        <w:tc>
          <w:tcPr>
            <w:tcW w:w="234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Jurisdiction of Incorporation</w:t>
            </w:r>
          </w:p>
        </w:tc>
        <w:tc>
          <w:tcPr>
            <w:tcW w:w="60" w:type="dxa"/>
            <w:tcBorders/>
            <w:shd w:fill="auto" w:val="clear"/>
            <w:tcMar>
              <w:bottom w:w="0" w:type="dxa"/>
            </w:tcMar>
            <w:vAlign w:val="center"/>
          </w:tcPr>
          <w:p>
            <w:pPr>
              <w:pStyle w:val="TableContents"/>
              <w:spacing w:before="0" w:after="283"/>
              <w:rPr/>
            </w:pPr>
            <w:r>
              <w:rPr/>
              <w:t> </w:t>
            </w:r>
          </w:p>
        </w:tc>
        <w:tc>
          <w:tcPr>
            <w:tcW w:w="16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Ownership Position</w:t>
            </w:r>
          </w:p>
        </w:tc>
      </w:tr>
      <w:tr>
        <w:trPr/>
        <w:tc>
          <w:tcPr>
            <w:tcW w:w="38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NanoBlate Corp., a Delaware Corporation</w:t>
            </w:r>
          </w:p>
        </w:tc>
        <w:tc>
          <w:tcPr>
            <w:tcW w:w="60" w:type="dxa"/>
            <w:tcBorders/>
            <w:shd w:fill="CCEEFF" w:val="clear"/>
            <w:tcMar>
              <w:bottom w:w="0" w:type="dxa"/>
            </w:tcMar>
            <w:vAlign w:val="center"/>
          </w:tcPr>
          <w:p>
            <w:pPr>
              <w:pStyle w:val="TableContents"/>
              <w:spacing w:before="0" w:after="283"/>
              <w:rPr/>
            </w:pPr>
            <w:r>
              <w:rPr/>
              <w:t> </w:t>
            </w:r>
          </w:p>
        </w:tc>
        <w:tc>
          <w:tcPr>
            <w:tcW w:w="23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shd w:fill="CCEEFF" w:val="clear"/>
            <w:tcMar>
              <w:bottom w:w="0" w:type="dxa"/>
            </w:tcMar>
            <w:vAlign w:val="center"/>
          </w:tcPr>
          <w:p>
            <w:pPr>
              <w:pStyle w:val="TableContents"/>
              <w:spacing w:before="0" w:after="283"/>
              <w:rPr/>
            </w:pPr>
            <w:r>
              <w:rPr/>
              <w:t> </w:t>
            </w:r>
          </w:p>
        </w:tc>
        <w:tc>
          <w:tcPr>
            <w:tcW w:w="16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BioElectroMed Corp., a California Corporation</w:t>
            </w:r>
          </w:p>
        </w:tc>
        <w:tc>
          <w:tcPr>
            <w:tcW w:w="60" w:type="dxa"/>
            <w:tcBorders/>
            <w:shd w:fill="FFFFFF" w:val="clear"/>
            <w:tcMar>
              <w:bottom w:w="0" w:type="dxa"/>
            </w:tcMar>
            <w:vAlign w:val="center"/>
          </w:tcPr>
          <w:p>
            <w:pPr>
              <w:pStyle w:val="TableContents"/>
              <w:spacing w:before="0" w:after="283"/>
              <w:rPr/>
            </w:pPr>
            <w:r>
              <w:rPr/>
              <w:t> </w:t>
            </w:r>
          </w:p>
        </w:tc>
        <w:tc>
          <w:tcPr>
            <w:tcW w:w="234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FFFFFF" w:val="clear"/>
            <w:tcMar>
              <w:bottom w:w="0" w:type="dxa"/>
            </w:tcMar>
            <w:vAlign w:val="center"/>
          </w:tcPr>
          <w:p>
            <w:pPr>
              <w:pStyle w:val="TableContents"/>
              <w:spacing w:before="0" w:after="283"/>
              <w:rPr/>
            </w:pPr>
            <w:r>
              <w:rPr/>
              <w:t> </w:t>
            </w:r>
          </w:p>
        </w:tc>
        <w:tc>
          <w:tcPr>
            <w:tcW w:w="16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Pulse Biosciences BV</w:t>
            </w:r>
          </w:p>
        </w:tc>
        <w:tc>
          <w:tcPr>
            <w:tcW w:w="60" w:type="dxa"/>
            <w:tcBorders/>
            <w:shd w:fill="CCEEFF" w:val="clear"/>
            <w:tcMar>
              <w:bottom w:w="0" w:type="dxa"/>
            </w:tcMar>
            <w:vAlign w:val="center"/>
          </w:tcPr>
          <w:p>
            <w:pPr>
              <w:pStyle w:val="TableContents"/>
              <w:spacing w:before="0" w:after="283"/>
              <w:rPr/>
            </w:pPr>
            <w:r>
              <w:rPr/>
              <w:t> </w:t>
            </w:r>
          </w:p>
        </w:tc>
        <w:tc>
          <w:tcPr>
            <w:tcW w:w="23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Netherlands</w:t>
            </w:r>
          </w:p>
        </w:tc>
        <w:tc>
          <w:tcPr>
            <w:tcW w:w="60" w:type="dxa"/>
            <w:tcBorders/>
            <w:shd w:fill="CCEEFF" w:val="clear"/>
            <w:tcMar>
              <w:bottom w:w="0" w:type="dxa"/>
            </w:tcMar>
            <w:vAlign w:val="center"/>
          </w:tcPr>
          <w:p>
            <w:pPr>
              <w:pStyle w:val="TableContents"/>
              <w:spacing w:before="0" w:after="283"/>
              <w:rPr/>
            </w:pPr>
            <w:r>
              <w:rPr/>
              <w:t> </w:t>
            </w:r>
          </w:p>
        </w:tc>
        <w:tc>
          <w:tcPr>
            <w:tcW w:w="16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60"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2783162 Ontario Inc.</w:t>
            </w:r>
          </w:p>
        </w:tc>
        <w:tc>
          <w:tcPr>
            <w:tcW w:w="60" w:type="dxa"/>
            <w:tcBorders/>
            <w:shd w:fill="FFFFFF" w:val="clear"/>
            <w:tcMar>
              <w:bottom w:w="0" w:type="dxa"/>
            </w:tcMar>
            <w:vAlign w:val="center"/>
          </w:tcPr>
          <w:p>
            <w:pPr>
              <w:pStyle w:val="TableContents"/>
              <w:spacing w:before="0" w:after="283"/>
              <w:rPr/>
            </w:pPr>
            <w:r>
              <w:rPr/>
              <w:t> </w:t>
            </w:r>
          </w:p>
        </w:tc>
        <w:tc>
          <w:tcPr>
            <w:tcW w:w="234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Ontario</w:t>
            </w:r>
          </w:p>
        </w:tc>
        <w:tc>
          <w:tcPr>
            <w:tcW w:w="60" w:type="dxa"/>
            <w:tcBorders/>
            <w:shd w:fill="FFFFFF" w:val="clear"/>
            <w:tcMar>
              <w:bottom w:w="0" w:type="dxa"/>
            </w:tcMar>
            <w:vAlign w:val="center"/>
          </w:tcPr>
          <w:p>
            <w:pPr>
              <w:pStyle w:val="TableContents"/>
              <w:spacing w:before="0" w:after="283"/>
              <w:rPr/>
            </w:pPr>
            <w:r>
              <w:rPr/>
              <w:t> </w:t>
            </w:r>
          </w:p>
        </w:tc>
        <w:tc>
          <w:tcPr>
            <w:tcW w:w="16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bl>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firstLine="720"/>
        <w:jc w:val="right"/>
        <w:rPr>
          <w:rFonts w:ascii="Times New Roman" w:hAnsi="Times New Roman"/>
          <w:b/>
          <w:caps w:val="false"/>
          <w:smallCaps w:val="false"/>
          <w:sz w:val="20"/>
        </w:rPr>
      </w:pPr>
      <w:bookmarkStart w:id="34" w:name="ex_451878.htm"/>
      <w:bookmarkStart w:id="35" w:name="ksex_451878"/>
      <w:bookmarkEnd w:id="34"/>
      <w:bookmarkEnd w:id="35"/>
      <w:r>
        <w:rPr>
          <w:rFonts w:ascii="Times New Roman" w:hAnsi="Times New Roman"/>
          <w:b/>
          <w:caps w:val="false"/>
          <w:smallCaps w:val="false"/>
          <w:sz w:val="20"/>
        </w:rPr>
        <w:t>Exhibit 23.1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CONSENT OF</w:t>
      </w:r>
      <w:r>
        <w:rPr>
          <w:rFonts w:ascii="Times New Roman" w:hAnsi="Times New Roman"/>
          <w:caps w:val="false"/>
          <w:smallCaps w:val="false"/>
          <w:sz w:val="20"/>
        </w:rPr>
        <w:t> </w:t>
      </w:r>
      <w:r>
        <w:rPr>
          <w:rFonts w:ascii="Times New Roman" w:hAnsi="Times New Roman"/>
          <w:b/>
          <w:caps w:val="false"/>
          <w:smallCaps w:val="false"/>
          <w:sz w:val="20"/>
        </w:rPr>
        <w:t xml:space="preserve">INDEPENDENT REGISTERED PUBLIC ACCOUNTING FIRM </w:t>
      </w:r>
    </w:p>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consent to the incorporation by reference in Registration Statement Nos. 333-259330, 333-246346, 333-237577, 333-227974, 333-224800, 333-219104, and 333-219096 on Form S-3 and Registration Statement Nos. 333-264957, 333-256992, 333-254451, 333-237225, 333-229320, 333-222582, 333-221788, 333-218164, and 333-216897 on Form S-8 of our report dated March 31, </w:t>
      </w:r>
      <w:bookmarkStart w:id="36" w:name="led322707F20221161670339958632"/>
      <w:bookmarkEnd w:id="36"/>
      <w:r>
        <w:rPr>
          <w:rFonts w:ascii="Times New Roman" w:hAnsi="Times New Roman"/>
          <w:caps w:val="false"/>
          <w:smallCaps w:val="false"/>
          <w:sz w:val="20"/>
        </w:rPr>
        <w:t xml:space="preserve">2023, relating to the financial statements of Pulse Biosciences, Inc. appearing in this Annual Report on Form 10-K for the year ended </w:t>
      </w:r>
      <w:bookmarkStart w:id="37" w:name="led322707F20221161670339915995"/>
      <w:bookmarkEnd w:id="37"/>
      <w:r>
        <w:rPr>
          <w:rFonts w:ascii="Times New Roman" w:hAnsi="Times New Roman"/>
          <w:caps w:val="false"/>
          <w:smallCaps w:val="false"/>
          <w:sz w:val="20"/>
        </w:rPr>
        <w:t>December 31, 2022.</w:t>
      </w:r>
    </w:p>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Deloitte &amp; Touche LLP</w:t>
      </w:r>
      <w:r>
        <w:rPr>
          <w:rFonts w:ascii="Times New Roman" w:hAnsi="Times New Roman"/>
          <w:caps w:val="false"/>
          <w:smallCaps w:val="false"/>
          <w:sz w:val="20"/>
        </w:rPr>
        <w:t xml:space="preserve">  </w:t>
      </w:r>
    </w:p>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spacing w:before="0" w:after="0"/>
        <w:ind w:left="0" w:right="0" w:hanging="0"/>
        <w:rPr>
          <w:rFonts w:ascii="Times New Roman" w:hAnsi="Times New Roman"/>
          <w:caps w:val="false"/>
          <w:smallCaps w:val="false"/>
          <w:sz w:val="20"/>
        </w:rPr>
      </w:pPr>
      <w:bookmarkStart w:id="38" w:name="led322707F20221161670339904554"/>
      <w:bookmarkEnd w:id="38"/>
      <w:r>
        <w:rPr>
          <w:rFonts w:ascii="Times New Roman" w:hAnsi="Times New Roman"/>
          <w:caps w:val="false"/>
          <w:smallCaps w:val="false"/>
          <w:sz w:val="20"/>
        </w:rPr>
        <w:t>March 31, 2023</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39" w:name="ex_451879.htm"/>
      <w:bookmarkStart w:id="40" w:name="ksex_451879"/>
      <w:bookmarkEnd w:id="39"/>
      <w:bookmarkEnd w:id="40"/>
      <w:r>
        <w:rPr>
          <w:rFonts w:ascii="Times New Roman" w:hAnsi="Times New Roman"/>
          <w:b/>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Kevin P. Danahy, certify that:</w:t>
      </w:r>
    </w:p>
    <w:p>
      <w:pPr>
        <w:pStyle w:val="TextBody"/>
        <w:spacing w:before="0" w:after="0"/>
        <w:ind w:left="0" w:right="0" w:hanging="0"/>
        <w:rPr>
          <w:caps w:val="false"/>
          <w:smallCaps w:val="false"/>
        </w:rPr>
      </w:pPr>
      <w:r>
        <w:rPr>
          <w:caps w:val="false"/>
          <w:smallCaps w:val="false"/>
        </w:rPr>
        <w:t> </w:t>
      </w:r>
    </w:p>
    <w:tbl>
      <w:tblPr>
        <w:tblW w:w="6385" w:type="dxa"/>
        <w:jc w:val="left"/>
        <w:tblInd w:w="0" w:type="dxa"/>
        <w:tblCellMar>
          <w:top w:w="0" w:type="dxa"/>
          <w:left w:w="0" w:type="dxa"/>
          <w:bottom w:w="0" w:type="dxa"/>
          <w:right w:w="0" w:type="dxa"/>
        </w:tblCellMar>
      </w:tblPr>
      <w:tblGrid>
        <w:gridCol w:w="170"/>
        <w:gridCol w:w="6215"/>
      </w:tblGrid>
      <w:tr>
        <w:trPr/>
        <w:tc>
          <w:tcPr>
            <w:tcW w:w="17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Pulse Biosciences,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6"/>
        <w:gridCol w:w="10009"/>
      </w:tblGrid>
      <w:tr>
        <w:trPr/>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2"/>
        <w:gridCol w:w="9993"/>
      </w:tblGrid>
      <w:tr>
        <w:trPr/>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3"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6390" w:type="dxa"/>
        <w:jc w:val="left"/>
        <w:tblInd w:w="0" w:type="dxa"/>
        <w:tblCellMar>
          <w:top w:w="0" w:type="dxa"/>
          <w:left w:w="0" w:type="dxa"/>
          <w:bottom w:w="0" w:type="dxa"/>
          <w:right w:w="0" w:type="dxa"/>
        </w:tblCellMar>
      </w:tblPr>
      <w:tblGrid>
        <w:gridCol w:w="1790"/>
        <w:gridCol w:w="320"/>
        <w:gridCol w:w="4280"/>
      </w:tblGrid>
      <w:tr>
        <w:trPr/>
        <w:tc>
          <w:tcPr>
            <w:tcW w:w="17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Date: </w:t>
            </w:r>
            <w:bookmarkStart w:id="41" w:name="led322707F20221161670340081582"/>
            <w:bookmarkEnd w:id="41"/>
            <w:r>
              <w:rPr>
                <w:rFonts w:ascii="Times New Roman" w:hAnsi="Times New Roman"/>
                <w:caps w:val="false"/>
                <w:smallCaps w:val="false"/>
                <w:sz w:val="20"/>
              </w:rPr>
              <w:t>March 31, 2023</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42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Kevin P. Danahy</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32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P. Danahy</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32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 </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32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r>
    </w:tbl>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42" w:name="ex_451881.htm"/>
      <w:bookmarkStart w:id="43" w:name="ksex_451881"/>
      <w:bookmarkEnd w:id="42"/>
      <w:bookmarkEnd w:id="43"/>
      <w:r>
        <w:rPr>
          <w:rFonts w:ascii="Times New Roman" w:hAnsi="Times New Roman"/>
          <w:b/>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connection with the Annual Report of Pulse Biosciences, Inc. (the “Company”) on Form 10-K for the fiscal year ended </w:t>
      </w:r>
      <w:bookmarkStart w:id="44" w:name="led322707F20221161670340204790"/>
      <w:bookmarkEnd w:id="44"/>
      <w:r>
        <w:rPr>
          <w:rFonts w:ascii="Times New Roman" w:hAnsi="Times New Roman"/>
          <w:caps w:val="false"/>
          <w:smallCaps w:val="false"/>
          <w:sz w:val="20"/>
        </w:rPr>
        <w:t>December 31, 2022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consolidated financial condition and results of operations of the Company and its subsidiaries.</w:t>
      </w:r>
    </w:p>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caps w:val="false"/>
          <w:smallCaps w:val="false"/>
        </w:rPr>
      </w:pPr>
      <w:r>
        <w:rPr>
          <w:caps w:val="false"/>
          <w:smallCaps w:val="false"/>
        </w:rPr>
        <w:t> </w:t>
      </w:r>
    </w:p>
    <w:tbl>
      <w:tblPr>
        <w:tblW w:w="6190" w:type="dxa"/>
        <w:jc w:val="left"/>
        <w:tblInd w:w="0" w:type="dxa"/>
        <w:tblCellMar>
          <w:top w:w="0" w:type="dxa"/>
          <w:left w:w="0" w:type="dxa"/>
          <w:bottom w:w="0" w:type="dxa"/>
          <w:right w:w="0" w:type="dxa"/>
        </w:tblCellMar>
      </w:tblPr>
      <w:tblGrid>
        <w:gridCol w:w="1790"/>
        <w:gridCol w:w="60"/>
        <w:gridCol w:w="4280"/>
        <w:gridCol w:w="60"/>
      </w:tblGrid>
      <w:tr>
        <w:trPr/>
        <w:tc>
          <w:tcPr>
            <w:tcW w:w="17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Date: </w:t>
            </w:r>
            <w:bookmarkStart w:id="45" w:name="led322707F20221161670340189134"/>
            <w:bookmarkEnd w:id="45"/>
            <w:r>
              <w:rPr>
                <w:rFonts w:ascii="Times New Roman" w:hAnsi="Times New Roman"/>
                <w:caps w:val="false"/>
                <w:smallCaps w:val="false"/>
                <w:sz w:val="20"/>
              </w:rPr>
              <w:t>March 31, 2023</w:t>
            </w:r>
          </w:p>
        </w:tc>
        <w:tc>
          <w:tcPr>
            <w:tcW w:w="60" w:type="dxa"/>
            <w:tcBorders/>
            <w:shd w:fill="auto" w:val="clear"/>
            <w:vAlign w:val="center"/>
          </w:tcPr>
          <w:p>
            <w:pPr>
              <w:pStyle w:val="TableContents"/>
              <w:spacing w:before="0" w:after="283"/>
              <w:rPr/>
            </w:pPr>
            <w:r>
              <w:rPr/>
              <w:t> </w:t>
            </w:r>
          </w:p>
        </w:tc>
        <w:tc>
          <w:tcPr>
            <w:tcW w:w="42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283"/>
              <w:rPr/>
            </w:pPr>
            <w:r>
              <w:rPr/>
              <w:t>Kevin P. Danahy</w:t>
            </w:r>
          </w:p>
        </w:tc>
        <w:tc>
          <w:tcPr>
            <w:tcW w:w="6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auto" w:val="clear"/>
            <w:vAlign w:val="center"/>
          </w:tcPr>
          <w:p>
            <w:pPr>
              <w:pStyle w:val="TableContents"/>
              <w:spacing w:before="0" w:after="283"/>
              <w:rPr/>
            </w:pPr>
            <w:r>
              <w:rPr/>
              <w:t> </w:t>
            </w:r>
          </w:p>
        </w:tc>
      </w:tr>
      <w:tr>
        <w:trPr/>
        <w:tc>
          <w:tcPr>
            <w:tcW w:w="1790" w:type="dxa"/>
            <w:tcBorders/>
            <w:shd w:fill="auto" w:val="clear"/>
            <w:vAlign w:val="center"/>
          </w:tcPr>
          <w:p>
            <w:pPr>
              <w:pStyle w:val="TableContents"/>
              <w:spacing w:before="0" w:after="0"/>
              <w:ind w:left="0" w:right="0" w:hanging="0"/>
              <w:rPr>
                <w:rFonts w:cs="Times New Roman"/>
                <w:caps w:val="false"/>
                <w:smallCaps w:val="false"/>
                <w:szCs w:val="20"/>
              </w:rPr>
            </w:pPr>
            <w:r>
              <w:rPr>
                <w:rFonts w:cs="Times New Roman"/>
                <w:caps w:val="false"/>
                <w:smallCaps w:val="false"/>
                <w:szCs w:val="20"/>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 except to the extent the Company specifically incorporates these certifications by reference therein.</w:t>
      </w:r>
    </w:p>
    <w:p>
      <w:pPr>
        <w:pStyle w:val="TextBody"/>
        <w:spacing w:before="0" w:after="0"/>
        <w:ind w:left="0" w:right="0" w:hanging="0"/>
        <w:rPr>
          <w:rFonts w:cs="Times New Roman"/>
          <w:caps w:val="false"/>
          <w:smallCaps w:val="false"/>
          <w:szCs w:val="20"/>
        </w:rPr>
      </w:pPr>
      <w:r>
        <w:rPr>
          <w:rFonts w:cs="Times New Roman"/>
          <w:caps w:val="false"/>
          <w:smallCaps w:val="false"/>
          <w:szCs w:val="20"/>
        </w:rPr>
        <w:t>﻿</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25101/000162510118000036/plse-20180618xex2_1.htm" TargetMode="External"/><Relationship Id="rId4" Type="http://schemas.openxmlformats.org/officeDocument/2006/relationships/hyperlink" Target="http://www.sec.gov/Archives/edgar/data/1625101/000162510118000036/plse-20180618xex3_1.htm" TargetMode="External"/><Relationship Id="rId5" Type="http://schemas.openxmlformats.org/officeDocument/2006/relationships/hyperlink" Target="http://www.sec.gov/Archives/edgar/data/1625101/000162510118000036/plse-20180618xex3_2.htm" TargetMode="External"/><Relationship Id="rId6" Type="http://schemas.openxmlformats.org/officeDocument/2006/relationships/hyperlink" Target="http://www.sec.gov/Archives/edgar/data/1625101/000162510118000036/plse-20180618xex3_3.htm" TargetMode="External"/><Relationship Id="rId7" Type="http://schemas.openxmlformats.org/officeDocument/2006/relationships/hyperlink" Target="http://www.sec.gov/Archives/edgar/data/1625101/000162510118000036/plse-20180618xex3_4.htm" TargetMode="External"/><Relationship Id="rId8" Type="http://schemas.openxmlformats.org/officeDocument/2006/relationships/hyperlink" Target="http://www.sec.gov/Archives/edgar/data/1625101/000162510118000036/plse-20180618xex4_1.htm" TargetMode="External"/><Relationship Id="rId9" Type="http://schemas.openxmlformats.org/officeDocument/2006/relationships/hyperlink" Target="http://www.sec.gov/Archives/edgar/data/1625101/000114036120010389/nt10010624x8_ex4-3.htm" TargetMode="External"/><Relationship Id="rId10" Type="http://schemas.openxmlformats.org/officeDocument/2006/relationships/hyperlink" Target="http://www.sec.gov/Archives/edgar/data/1625101/000114036120010389/nt10010624x8_ex4-4.htm" TargetMode="External"/><Relationship Id="rId11" Type="http://schemas.openxmlformats.org/officeDocument/2006/relationships/hyperlink" Target="http://www.sec.gov/Archives/edgar/data/1625101/000162510117000011/plse-20161231xex10_1.htm" TargetMode="External"/><Relationship Id="rId12" Type="http://schemas.openxmlformats.org/officeDocument/2006/relationships/hyperlink" Target="http://www.sec.gov/Archives/edgar/data/1625101/000119312516575202/d11949dex1012.htm" TargetMode="External"/><Relationship Id="rId13" Type="http://schemas.openxmlformats.org/officeDocument/2006/relationships/hyperlink" Target="http://www.sec.gov/Archives/edgar/data/1625101/000119312516495268/d11949dex1013.htm" TargetMode="External"/><Relationship Id="rId14" Type="http://schemas.openxmlformats.org/officeDocument/2006/relationships/hyperlink" Target="http://www.sec.gov/Archives/edgar/data/1625101/000162510122000016/plse-20211231xex10_4.htm" TargetMode="External"/><Relationship Id="rId15" Type="http://schemas.openxmlformats.org/officeDocument/2006/relationships/hyperlink" Target="http://www.sec.gov/Archives/edgar/data/1625101/000162510122000016/plse-20211231xex10_5.htm" TargetMode="External"/><Relationship Id="rId16" Type="http://schemas.openxmlformats.org/officeDocument/2006/relationships/hyperlink" Target="http://www.sec.gov/Archives/edgar/data/1625101/000156276217000015/plse-20170210xex10_1.htm" TargetMode="External"/><Relationship Id="rId17" Type="http://schemas.openxmlformats.org/officeDocument/2006/relationships/hyperlink" Target="http://www.sec.gov/Archives/edgar/data/1625101/000156276217000015/plse-20170210xex10_1.htm" TargetMode="External"/><Relationship Id="rId18" Type="http://schemas.openxmlformats.org/officeDocument/2006/relationships/hyperlink" Target="http://www.sec.gov/Archives/edgar/data/1625101/000119312515410608/d11949dex102.htm" TargetMode="External"/><Relationship Id="rId19" Type="http://schemas.openxmlformats.org/officeDocument/2006/relationships/hyperlink" Target="http://www.sec.gov/Archives/edgar/data/1625101/000162510117000044/plse-20171128xex10_1.htm" TargetMode="External"/><Relationship Id="rId20" Type="http://schemas.openxmlformats.org/officeDocument/2006/relationships/hyperlink" Target="http://www.sec.gov/Archives/edgar/data/1625101/000162510121000014/plse-20201231xex10_10.htm" TargetMode="External"/><Relationship Id="rId21" Type="http://schemas.openxmlformats.org/officeDocument/2006/relationships/hyperlink" Target="http://www.sec.gov/Archives/edgar/data/1625101/000156276217000071/plse-20170519xex10_2.htm" TargetMode="External"/><Relationship Id="rId22" Type="http://schemas.openxmlformats.org/officeDocument/2006/relationships/hyperlink" Target="http://www.sec.gov/Archives/edgar/data/1625101/000119312515410608/d11949dex103.htm" TargetMode="External"/><Relationship Id="rId23" Type="http://schemas.openxmlformats.org/officeDocument/2006/relationships/hyperlink" Target="http://www.sec.gov/Archives/edgar/data/1625101/000119312515410608/d11949dex109.htm" TargetMode="External"/><Relationship Id="rId24" Type="http://schemas.openxmlformats.org/officeDocument/2006/relationships/hyperlink" Target="http://www.sec.gov/Archives/edgar/data/1625101/000156276216000431/plse-20161011xex10_1.htm" TargetMode="External"/><Relationship Id="rId25" Type="http://schemas.openxmlformats.org/officeDocument/2006/relationships/hyperlink" Target="http://www.sec.gov/Archives/edgar/data/1625101/000119312515410608/d11949dex1010.htm" TargetMode="External"/><Relationship Id="rId26" Type="http://schemas.openxmlformats.org/officeDocument/2006/relationships/hyperlink" Target="http://www.sec.gov/Archives/edgar/data/1625101/000162510118000036/plse-20180618xex10_1.htm" TargetMode="External"/><Relationship Id="rId27" Type="http://schemas.openxmlformats.org/officeDocument/2006/relationships/hyperlink" Target="http://www.sec.gov/Archives/edgar/data/1625101/000162510119000025/plse-20190531xex10_19.htm" TargetMode="External"/><Relationship Id="rId28" Type="http://schemas.openxmlformats.org/officeDocument/2006/relationships/hyperlink" Target="http://www.sec.gov/Archives/edgar/data/1625101/000119312521028155/d117634dex11.htm" TargetMode="External"/><Relationship Id="rId29" Type="http://schemas.openxmlformats.org/officeDocument/2006/relationships/hyperlink" Target="http://www.sec.gov/Archives/edgar/data/1625101/000162510121000037/plse-20210630xex10_1.htm" TargetMode="External"/><Relationship Id="rId30" Type="http://schemas.openxmlformats.org/officeDocument/2006/relationships/hyperlink" Target="http://www.sec.gov/Archives/edgar/data/1625101/000162510122000061/plse-20220630xex10_1.htm" TargetMode="External"/><Relationship Id="rId31" Type="http://schemas.openxmlformats.org/officeDocument/2006/relationships/hyperlink" Target="http://www.sec.gov/Archives/edgar/data/1625101/000138713122009977/ex10-1.htm" TargetMode="External"/><Relationship Id="rId32" Type="http://schemas.openxmlformats.org/officeDocument/2006/relationships/hyperlink" Target="http://www.sec.gov/Archives/edgar/data/1625101/000138713122009977/ex10-2.htm" TargetMode="External"/><Relationship Id="rId33" Type="http://schemas.openxmlformats.org/officeDocument/2006/relationships/hyperlink" Target="http://www.sec.gov/Archives/edgar/data/1625101/000138713122010041/ex10-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47503</Words>
  <CharactersWithSpaces>311148</CharactersWithSpaces>
  <Paragraphs>7384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