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LAVIOLETTE PAUL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PULSE BIOSCIENCES,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601 BRICKELL KEY DRIVE, SUITE 1080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PULSE BIOSCIENCES,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PLSE</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32" w:lineRule="exact"/>
        <w:rPr>
          <w:sz w:val="24"/>
          <w:szCs w:val="24"/>
          <w:color w:val="auto"/>
        </w:rPr>
      </w:pPr>
    </w:p>
    <w:p>
      <w:pPr>
        <w:sectPr>
          <w:pgSz w:w="11900" w:h="16838" w:orient="portrait"/>
          <w:cols w:equalWidth="0" w:num="3">
            <w:col w:w="3220" w:space="700"/>
            <w:col w:w="3300" w:space="51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1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33131</w:t>
            </w:r>
          </w:p>
        </w:tc>
      </w:tr>
      <w:tr>
        <w:trPr>
          <w:trHeight w:val="155"/>
        </w:trPr>
        <w:tc>
          <w:tcPr>
            <w:tcW w:w="4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Arial" w:cs="Arial" w:eastAsia="Arial" w:hAnsi="Arial"/>
                <w:sz w:val="13"/>
                <w:szCs w:val="13"/>
                <w:color w:val="auto"/>
              </w:rPr>
              <w:t>(City)</w:t>
            </w:r>
          </w:p>
        </w:tc>
        <w:tc>
          <w:tcPr>
            <w:tcW w:w="1160" w:type="dxa"/>
            <w:vAlign w:val="bottom"/>
          </w:tcPr>
          <w:p>
            <w:pPr>
              <w:ind w:left="3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05/11/2026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15,000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19.69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15,000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were acquired through the Company's at-the-market equity offering program established pursuant to that certain Equity Distribution Agreement, dated February 19, 2026, by and between the Company and TD Securities (USA) LLC, as sales agent. The shares were purchased during an open trading window under the Company's Insider Trading Policy and in accordance with applicable securities laws.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reported herein were acquired in a negotiated through the Company's at-the-market equity offering program at the prevailing market bid price or better at the time of sale.</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Kenneth B. Stratton,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64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91249" TargetMode="External"/><Relationship Id="rId14" Type="http://schemas.openxmlformats.org/officeDocument/2006/relationships/hyperlink" Target="http://www.sec.gov/cgi-bin/browse-edgar?action=getcompany&amp;CIK=0001625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2026-05-11T17:54:34Z</dcterms:created>
  <dcterms:modified xsi:type="dcterms:W3CDTF">2026-05-11T17:54:34Z</dcterms:modified>
</cp:coreProperties>
</file>