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198120</wp:posOffset>
            </wp:positionH>
            <wp:positionV relativeFrom="page">
              <wp:posOffset>198755</wp:posOffset>
            </wp:positionV>
            <wp:extent cx="715264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640" cy="7620"/>
                    </a:xfrm>
                    <a:prstGeom prst="rect">
                      <a:avLst/>
                    </a:prstGeom>
                    <a:noFill/>
                  </pic:spPr>
                </pic:pic>
              </a:graphicData>
            </a:graphic>
          </wp:anchor>
        </w:drawing>
        <w:drawing>
          <wp:anchor simplePos="0" relativeHeight="251657728" behindDoc="1" locked="0" layoutInCell="0" allowOverlap="1">
            <wp:simplePos x="0" y="0"/>
            <wp:positionH relativeFrom="page">
              <wp:posOffset>198120</wp:posOffset>
            </wp:positionH>
            <wp:positionV relativeFrom="page">
              <wp:posOffset>213360</wp:posOffset>
            </wp:positionV>
            <wp:extent cx="715264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640" cy="7620"/>
                    </a:xfrm>
                    <a:prstGeom prst="rect">
                      <a:avLst/>
                    </a:prstGeom>
                    <a:noFill/>
                  </pic:spPr>
                </pic:pic>
              </a:graphicData>
            </a:graphic>
          </wp:anchor>
        </w:drawing>
        <w:t>UNITED STATES</w:t>
      </w:r>
    </w:p>
    <w:p>
      <w:pPr>
        <w:jc w:val="center"/>
        <w:ind w:right="20"/>
        <w:spacing w:after="0" w:line="223" w:lineRule="auto"/>
        <w:rPr>
          <w:sz w:val="20"/>
          <w:szCs w:val="20"/>
          <w:color w:val="auto"/>
        </w:rPr>
      </w:pPr>
      <w:r>
        <w:rPr>
          <w:rFonts w:ascii="Arial" w:cs="Arial" w:eastAsia="Arial" w:hAnsi="Arial"/>
          <w:sz w:val="20"/>
          <w:szCs w:val="20"/>
          <w:b w:val="1"/>
          <w:bCs w:val="1"/>
          <w:color w:val="auto"/>
        </w:rPr>
        <w:t>SECURITIES AND EXCHANGE COMMISSION</w:t>
      </w:r>
    </w:p>
    <w:p>
      <w:pPr>
        <w:jc w:val="center"/>
        <w:ind w:right="20"/>
        <w:spacing w:after="0" w:line="231" w:lineRule="auto"/>
        <w:rPr>
          <w:sz w:val="20"/>
          <w:szCs w:val="20"/>
          <w:color w:val="auto"/>
        </w:rPr>
      </w:pPr>
      <w:r>
        <w:rPr>
          <w:rFonts w:ascii="Arial" w:cs="Arial" w:eastAsia="Arial" w:hAnsi="Arial"/>
          <w:sz w:val="15"/>
          <w:szCs w:val="15"/>
          <w:b w:val="1"/>
          <w:bCs w:val="1"/>
          <w:color w:val="auto"/>
        </w:rPr>
        <w:t>Washington, D.C. 20549</w:t>
      </w:r>
    </w:p>
    <w:p>
      <w:pPr>
        <w:ind w:left="4280"/>
        <w:spacing w:after="0"/>
        <w:rPr>
          <w:sz w:val="20"/>
          <w:szCs w:val="20"/>
          <w:color w:val="auto"/>
        </w:rPr>
      </w:pPr>
      <w:r>
        <w:rPr>
          <w:rFonts w:ascii="Arial" w:cs="Arial" w:eastAsia="Arial" w:hAnsi="Arial"/>
          <w:sz w:val="12"/>
          <w:szCs w:val="12"/>
          <w:b w:val="1"/>
          <w:bCs w:val="1"/>
          <w:color w:val="auto"/>
        </w:rPr>
        <w:t>____________________________________________</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10-K</w:t>
      </w:r>
    </w:p>
    <w:p>
      <w:pPr>
        <w:spacing w:after="0" w:line="10" w:lineRule="exact"/>
        <w:rPr>
          <w:sz w:val="24"/>
          <w:szCs w:val="24"/>
          <w:color w:val="auto"/>
        </w:rPr>
      </w:pPr>
    </w:p>
    <w:p>
      <w:pPr>
        <w:ind w:left="4280"/>
        <w:spacing w:after="0"/>
        <w:rPr>
          <w:sz w:val="20"/>
          <w:szCs w:val="20"/>
          <w:color w:val="auto"/>
        </w:rPr>
      </w:pPr>
      <w:r>
        <w:rPr>
          <w:rFonts w:ascii="Arial" w:cs="Arial" w:eastAsia="Arial" w:hAnsi="Arial"/>
          <w:sz w:val="12"/>
          <w:szCs w:val="12"/>
          <w:b w:val="1"/>
          <w:bCs w:val="1"/>
          <w:color w:val="auto"/>
        </w:rPr>
        <w:t>____________________________________________</w:t>
      </w:r>
    </w:p>
    <w:p>
      <w:pPr>
        <w:spacing w:after="0" w:line="44"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(Mark One)</w:t>
      </w:r>
    </w:p>
    <w:p>
      <w:pPr>
        <w:spacing w:after="0" w:line="158" w:lineRule="exact"/>
        <w:rPr>
          <w:sz w:val="24"/>
          <w:szCs w:val="24"/>
          <w:color w:val="auto"/>
        </w:rPr>
      </w:pPr>
    </w:p>
    <w:p>
      <w:pPr>
        <w:ind w:left="520" w:hanging="516"/>
        <w:spacing w:after="0"/>
        <w:tabs>
          <w:tab w:leader="none" w:pos="520"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ANNUAL REPORT PURSUANT TO SECTION 13 OR 15(d) OF THE SECURITIES EXCHANGE ACT OF 1934</w:t>
      </w:r>
    </w:p>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For the fiscal year ended December 31, 2020</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or</w:t>
      </w:r>
    </w:p>
    <w:p>
      <w:pPr>
        <w:spacing w:after="0" w:line="149" w:lineRule="exact"/>
        <w:rPr>
          <w:sz w:val="24"/>
          <w:szCs w:val="24"/>
          <w:color w:val="auto"/>
        </w:rPr>
      </w:pPr>
    </w:p>
    <w:p>
      <w:pPr>
        <w:ind w:left="520" w:hanging="516"/>
        <w:spacing w:after="0"/>
        <w:tabs>
          <w:tab w:leader="none" w:pos="52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66675" cy="67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75" cy="67945"/>
                    </a:xfrm>
                    <a:prstGeom prst="rect">
                      <a:avLst/>
                    </a:prstGeom>
                    <a:noFill/>
                  </pic:spPr>
                </pic:pic>
              </a:graphicData>
            </a:graphic>
          </wp:anchor>
        </w:drawing>
      </w:r>
    </w:p>
    <w:p>
      <w:pPr>
        <w:ind w:left="4320"/>
        <w:spacing w:after="0"/>
        <w:tabs>
          <w:tab w:leader="none" w:pos="678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Commission File Number 001-34899</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2"/>
          <w:szCs w:val="12"/>
          <w:b w:val="1"/>
          <w:bCs w:val="1"/>
          <w:color w:val="auto"/>
        </w:rPr>
        <w:t>____________________________________________</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Pulse Biosciences, Inc.</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(Exact name of registrant as specified in its charter)</w:t>
      </w:r>
    </w:p>
    <w:p>
      <w:pPr>
        <w:ind w:left="4280"/>
        <w:spacing w:after="0"/>
        <w:rPr>
          <w:sz w:val="20"/>
          <w:szCs w:val="20"/>
          <w:color w:val="auto"/>
        </w:rPr>
      </w:pPr>
      <w:r>
        <w:rPr>
          <w:rFonts w:ascii="Arial" w:cs="Arial" w:eastAsia="Arial" w:hAnsi="Arial"/>
          <w:sz w:val="12"/>
          <w:szCs w:val="12"/>
          <w:b w:val="1"/>
          <w:bCs w:val="1"/>
          <w:color w:val="auto"/>
        </w:rPr>
        <w:t>____________________________________________</w:t>
      </w:r>
    </w:p>
    <w:p>
      <w:pPr>
        <w:sectPr>
          <w:pgSz w:w="11900" w:h="16838" w:orient="portrait"/>
          <w:cols w:equalWidth="0" w:num="1">
            <w:col w:w="11260"/>
          </w:cols>
          <w:pgMar w:left="320" w:top="366" w:right="319" w:bottom="1440" w:gutter="0" w:footer="0" w:header="0"/>
        </w:sectPr>
      </w:pPr>
    </w:p>
    <w:p>
      <w:pPr>
        <w:spacing w:after="0" w:line="72" w:lineRule="exact"/>
        <w:rPr>
          <w:sz w:val="24"/>
          <w:szCs w:val="24"/>
          <w:color w:val="auto"/>
        </w:rPr>
      </w:pPr>
    </w:p>
    <w:p>
      <w:pPr>
        <w:ind w:left="25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46-5696597</w:t>
      </w:r>
    </w:p>
    <w:p>
      <w:pPr>
        <w:spacing w:after="0" w:line="32" w:lineRule="exact"/>
        <w:rPr>
          <w:sz w:val="24"/>
          <w:szCs w:val="24"/>
          <w:color w:val="auto"/>
        </w:rPr>
      </w:pPr>
    </w:p>
    <w:p>
      <w:pPr>
        <w:sectPr>
          <w:pgSz w:w="11900" w:h="16838" w:orient="portrait"/>
          <w:cols w:equalWidth="0" w:num="2">
            <w:col w:w="7360" w:space="720"/>
            <w:col w:w="3180"/>
          </w:cols>
          <w:pgMar w:left="320" w:top="366" w:right="319" w:bottom="1440" w:gutter="0" w:footer="0" w:header="0"/>
          <w:type w:val="continuous"/>
        </w:sectPr>
      </w:pPr>
    </w:p>
    <w:p>
      <w:pPr>
        <w:ind w:left="2040"/>
        <w:spacing w:after="0"/>
        <w:rPr>
          <w:sz w:val="20"/>
          <w:szCs w:val="20"/>
          <w:color w:val="auto"/>
        </w:rPr>
      </w:pPr>
      <w:r>
        <w:rPr>
          <w:rFonts w:ascii="Arial" w:cs="Arial" w:eastAsia="Arial" w:hAnsi="Arial"/>
          <w:sz w:val="11"/>
          <w:szCs w:val="11"/>
          <w:b w:val="1"/>
          <w:bCs w:val="1"/>
          <w:color w:val="auto"/>
        </w:rPr>
        <w:t>(State or other jurisdiction of</w:t>
      </w:r>
    </w:p>
    <w:p>
      <w:pPr>
        <w:ind w:left="2000"/>
        <w:spacing w:after="0"/>
        <w:rPr>
          <w:sz w:val="20"/>
          <w:szCs w:val="20"/>
          <w:color w:val="auto"/>
        </w:rPr>
      </w:pPr>
      <w:r>
        <w:rPr>
          <w:rFonts w:ascii="Arial" w:cs="Arial" w:eastAsia="Arial" w:hAnsi="Arial"/>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1"/>
          <w:szCs w:val="11"/>
          <w:b w:val="1"/>
          <w:bCs w:val="1"/>
          <w:color w:val="auto"/>
        </w:rPr>
        <w:t>(I.R.S. Employer</w:t>
      </w:r>
    </w:p>
    <w:p>
      <w:pPr>
        <w:spacing w:after="0"/>
        <w:rPr>
          <w:sz w:val="20"/>
          <w:szCs w:val="20"/>
          <w:color w:val="auto"/>
        </w:rPr>
      </w:pPr>
      <w:r>
        <w:rPr>
          <w:rFonts w:ascii="Arial" w:cs="Arial" w:eastAsia="Arial" w:hAnsi="Arial"/>
          <w:sz w:val="11"/>
          <w:szCs w:val="11"/>
          <w:b w:val="1"/>
          <w:bCs w:val="1"/>
          <w:color w:val="auto"/>
        </w:rPr>
        <w:t>Identification No.)</w:t>
      </w:r>
    </w:p>
    <w:p>
      <w:pPr>
        <w:spacing w:after="0" w:line="72" w:lineRule="exact"/>
        <w:rPr>
          <w:sz w:val="24"/>
          <w:szCs w:val="24"/>
          <w:color w:val="auto"/>
        </w:rPr>
      </w:pPr>
    </w:p>
    <w:p>
      <w:pPr>
        <w:sectPr>
          <w:pgSz w:w="11900" w:h="16838" w:orient="portrait"/>
          <w:cols w:equalWidth="0" w:num="2">
            <w:col w:w="7240" w:space="720"/>
            <w:col w:w="3300"/>
          </w:cols>
          <w:pgMar w:left="320" w:top="366" w:right="319" w:bottom="1440" w:gutter="0" w:footer="0" w:header="0"/>
          <w:type w:val="continuous"/>
        </w:sectPr>
      </w:pPr>
    </w:p>
    <w:p>
      <w:pPr>
        <w:jc w:val="center"/>
        <w:ind w:right="1920"/>
        <w:spacing w:after="0"/>
        <w:rPr>
          <w:sz w:val="20"/>
          <w:szCs w:val="20"/>
          <w:color w:val="auto"/>
        </w:rPr>
      </w:pPr>
      <w:r>
        <w:rPr>
          <w:rFonts w:ascii="Arial" w:cs="Arial" w:eastAsia="Arial" w:hAnsi="Arial"/>
          <w:sz w:val="14"/>
          <w:szCs w:val="14"/>
          <w:b w:val="1"/>
          <w:bCs w:val="1"/>
          <w:color w:val="auto"/>
        </w:rPr>
        <w:t>3957 Point Eden Way</w:t>
      </w:r>
    </w:p>
    <w:p>
      <w:pPr>
        <w:spacing w:after="0" w:line="16" w:lineRule="exact"/>
        <w:rPr>
          <w:sz w:val="24"/>
          <w:szCs w:val="24"/>
          <w:color w:val="auto"/>
        </w:rPr>
      </w:pPr>
    </w:p>
    <w:p>
      <w:pPr>
        <w:jc w:val="center"/>
        <w:ind w:right="1920"/>
        <w:spacing w:after="0"/>
        <w:rPr>
          <w:sz w:val="20"/>
          <w:szCs w:val="20"/>
          <w:color w:val="auto"/>
        </w:rPr>
      </w:pPr>
      <w:r>
        <w:rPr>
          <w:rFonts w:ascii="Arial" w:cs="Arial" w:eastAsia="Arial" w:hAnsi="Arial"/>
          <w:sz w:val="15"/>
          <w:szCs w:val="15"/>
          <w:b w:val="1"/>
          <w:bCs w:val="1"/>
          <w:color w:val="auto"/>
        </w:rPr>
        <w:t>Hayward, CA</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94545</w:t>
      </w:r>
    </w:p>
    <w:p>
      <w:pPr>
        <w:spacing w:after="0" w:line="48" w:lineRule="exact"/>
        <w:rPr>
          <w:sz w:val="24"/>
          <w:szCs w:val="24"/>
          <w:color w:val="auto"/>
        </w:rPr>
      </w:pPr>
    </w:p>
    <w:p>
      <w:pPr>
        <w:sectPr>
          <w:pgSz w:w="11900" w:h="16838" w:orient="portrait"/>
          <w:cols w:equalWidth="0" w:num="2">
            <w:col w:w="7540" w:space="720"/>
            <w:col w:w="3000"/>
          </w:cols>
          <w:pgMar w:left="320" w:top="366" w:right="319" w:bottom="1440" w:gutter="0" w:footer="0" w:header="0"/>
          <w:type w:val="continuous"/>
        </w:sectPr>
      </w:pPr>
    </w:p>
    <w:p>
      <w:pPr>
        <w:ind w:left="1800"/>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61" w:lineRule="exact"/>
        <w:rPr>
          <w:sz w:val="24"/>
          <w:szCs w:val="24"/>
          <w:color w:val="auto"/>
        </w:rPr>
      </w:pPr>
    </w:p>
    <w:p>
      <w:pPr>
        <w:sectPr>
          <w:pgSz w:w="11900" w:h="16838" w:orient="portrait"/>
          <w:cols w:equalWidth="0" w:num="2">
            <w:col w:w="7440" w:space="720"/>
            <w:col w:w="3100"/>
          </w:cols>
          <w:pgMar w:left="320" w:top="366" w:right="319" w:bottom="1440" w:gutter="0" w:footer="0" w:header="0"/>
          <w:type w:val="continuous"/>
        </w:sectPr>
      </w:pPr>
    </w:p>
    <w:p>
      <w:pPr>
        <w:ind w:left="3860"/>
        <w:spacing w:after="0"/>
        <w:rPr>
          <w:sz w:val="20"/>
          <w:szCs w:val="20"/>
          <w:color w:val="auto"/>
        </w:rPr>
      </w:pPr>
      <w:r>
        <w:rPr>
          <w:rFonts w:ascii="Arial" w:cs="Arial" w:eastAsia="Arial" w:hAnsi="Arial"/>
          <w:sz w:val="10"/>
          <w:szCs w:val="10"/>
          <w:b w:val="1"/>
          <w:bCs w:val="1"/>
          <w:color w:val="auto"/>
        </w:rPr>
        <w:t>Registrant’s telephone number, including area code: (510) 906-4600</w:t>
      </w:r>
    </w:p>
    <w:p>
      <w:pPr>
        <w:spacing w:after="0" w:line="116" w:lineRule="exact"/>
        <w:rPr>
          <w:sz w:val="24"/>
          <w:szCs w:val="24"/>
          <w:color w:val="auto"/>
        </w:rPr>
      </w:pPr>
    </w:p>
    <w:p>
      <w:pPr>
        <w:ind w:left="4100"/>
        <w:spacing w:after="0"/>
        <w:rPr>
          <w:sz w:val="20"/>
          <w:szCs w:val="20"/>
          <w:color w:val="auto"/>
        </w:rPr>
      </w:pPr>
      <w:r>
        <w:rPr>
          <w:rFonts w:ascii="Arial" w:cs="Arial" w:eastAsia="Arial" w:hAnsi="Arial"/>
          <w:sz w:val="11"/>
          <w:szCs w:val="11"/>
          <w:b w:val="1"/>
          <w:bCs w:val="1"/>
          <w:color w:val="auto"/>
        </w:rPr>
        <w:t>Securities registered pursuant to Section 12(b) of the Act:</w:t>
      </w:r>
    </w:p>
    <w:p>
      <w:pPr>
        <w:sectPr>
          <w:pgSz w:w="11900" w:h="16838" w:orient="portrait"/>
          <w:cols w:equalWidth="0" w:num="1">
            <w:col w:w="11260"/>
          </w:cols>
          <w:pgMar w:left="320" w:top="366" w:right="319" w:bottom="1440" w:gutter="0" w:footer="0" w:header="0"/>
          <w:type w:val="continuous"/>
        </w:sectPr>
      </w:pPr>
    </w:p>
    <w:p>
      <w:pPr>
        <w:spacing w:after="0" w:line="162" w:lineRule="exact"/>
        <w:rPr>
          <w:sz w:val="24"/>
          <w:szCs w:val="24"/>
          <w:color w:val="auto"/>
        </w:rPr>
      </w:pPr>
    </w:p>
    <w:p>
      <w:pPr>
        <w:jc w:val="center"/>
        <w:ind w:right="660"/>
        <w:spacing w:after="0"/>
        <w:rPr>
          <w:sz w:val="20"/>
          <w:szCs w:val="20"/>
          <w:color w:val="auto"/>
        </w:rPr>
      </w:pPr>
      <w:r>
        <w:rPr>
          <w:rFonts w:ascii="Arial" w:cs="Arial" w:eastAsia="Arial" w:hAnsi="Arial"/>
          <w:sz w:val="12"/>
          <w:szCs w:val="12"/>
          <w:b w:val="1"/>
          <w:bCs w:val="1"/>
          <w:color w:val="auto"/>
        </w:rPr>
        <w:t>Title of Each Class</w:t>
      </w:r>
    </w:p>
    <w:p>
      <w:pPr>
        <w:spacing w:after="0" w:line="14" w:lineRule="exact"/>
        <w:rPr>
          <w:sz w:val="24"/>
          <w:szCs w:val="24"/>
          <w:color w:val="auto"/>
        </w:rPr>
      </w:pPr>
    </w:p>
    <w:p>
      <w:pPr>
        <w:jc w:val="center"/>
        <w:ind w:right="660"/>
        <w:spacing w:after="0"/>
        <w:rPr>
          <w:sz w:val="20"/>
          <w:szCs w:val="20"/>
          <w:color w:val="auto"/>
        </w:rPr>
      </w:pPr>
      <w:r>
        <w:rPr>
          <w:rFonts w:ascii="Arial" w:cs="Arial" w:eastAsia="Arial" w:hAnsi="Arial"/>
          <w:sz w:val="11"/>
          <w:szCs w:val="11"/>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1360"/>
        <w:spacing w:after="0"/>
        <w:rPr>
          <w:sz w:val="20"/>
          <w:szCs w:val="20"/>
          <w:color w:val="auto"/>
        </w:rPr>
      </w:pPr>
      <w:r>
        <w:rPr>
          <w:rFonts w:ascii="Arial" w:cs="Arial" w:eastAsia="Arial" w:hAnsi="Arial"/>
          <w:sz w:val="11"/>
          <w:szCs w:val="11"/>
          <w:b w:val="1"/>
          <w:bCs w:val="1"/>
          <w:color w:val="auto"/>
        </w:rPr>
        <w:t>Trading Symbol(s)</w:t>
      </w:r>
    </w:p>
    <w:p>
      <w:pPr>
        <w:spacing w:after="0" w:line="26" w:lineRule="exact"/>
        <w:rPr>
          <w:sz w:val="24"/>
          <w:szCs w:val="24"/>
          <w:color w:val="auto"/>
        </w:rPr>
      </w:pPr>
    </w:p>
    <w:p>
      <w:pPr>
        <w:jc w:val="center"/>
        <w:ind w:right="1360"/>
        <w:spacing w:after="0"/>
        <w:rPr>
          <w:sz w:val="20"/>
          <w:szCs w:val="20"/>
          <w:color w:val="auto"/>
        </w:rPr>
      </w:pPr>
      <w:r>
        <w:rPr>
          <w:rFonts w:ascii="Arial" w:cs="Arial" w:eastAsia="Arial" w:hAnsi="Arial"/>
          <w:sz w:val="12"/>
          <w:szCs w:val="12"/>
          <w:b w:val="1"/>
          <w:bCs w:val="1"/>
          <w:color w:val="auto"/>
        </w:rPr>
        <w:t>PLSE</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680"/>
        <w:spacing w:after="0"/>
        <w:rPr>
          <w:sz w:val="20"/>
          <w:szCs w:val="20"/>
          <w:color w:val="auto"/>
        </w:rPr>
      </w:pPr>
      <w:r>
        <w:rPr>
          <w:rFonts w:ascii="Arial" w:cs="Arial" w:eastAsia="Arial" w:hAnsi="Arial"/>
          <w:sz w:val="10"/>
          <w:szCs w:val="10"/>
          <w:b w:val="1"/>
          <w:bCs w:val="1"/>
          <w:color w:val="auto"/>
        </w:rPr>
        <w:t>Name of Each Exchange on Which Registered</w:t>
      </w:r>
    </w:p>
    <w:p>
      <w:pPr>
        <w:spacing w:after="0" w:line="37" w:lineRule="exact"/>
        <w:rPr>
          <w:sz w:val="24"/>
          <w:szCs w:val="24"/>
          <w:color w:val="auto"/>
        </w:rPr>
      </w:pPr>
    </w:p>
    <w:p>
      <w:pPr>
        <w:jc w:val="center"/>
        <w:ind w:right="680"/>
        <w:spacing w:after="0"/>
        <w:rPr>
          <w:sz w:val="20"/>
          <w:szCs w:val="20"/>
          <w:color w:val="auto"/>
        </w:rPr>
      </w:pPr>
      <w:r>
        <w:rPr>
          <w:rFonts w:ascii="Arial" w:cs="Arial" w:eastAsia="Arial" w:hAnsi="Arial"/>
          <w:sz w:val="12"/>
          <w:szCs w:val="12"/>
          <w:b w:val="1"/>
          <w:bCs w:val="1"/>
          <w:color w:val="auto"/>
        </w:rPr>
        <w:t>The Nasdaq Stock Market LLC</w:t>
      </w:r>
    </w:p>
    <w:p>
      <w:pPr>
        <w:spacing w:after="0" w:line="200" w:lineRule="exact"/>
        <w:rPr>
          <w:sz w:val="24"/>
          <w:szCs w:val="24"/>
          <w:color w:val="auto"/>
        </w:rPr>
      </w:pPr>
    </w:p>
    <w:p>
      <w:pPr>
        <w:sectPr>
          <w:pgSz w:w="11900" w:h="16838" w:orient="portrait"/>
          <w:cols w:equalWidth="0" w:num="3">
            <w:col w:w="4400" w:space="720"/>
            <w:col w:w="2340" w:space="720"/>
            <w:col w:w="3080"/>
          </w:cols>
          <w:pgMar w:left="320" w:top="366" w:right="319" w:bottom="1440" w:gutter="0" w:footer="0" w:header="0"/>
          <w:type w:val="continuous"/>
        </w:sectPr>
      </w:pPr>
    </w:p>
    <w:p>
      <w:pPr>
        <w:spacing w:after="0" w:line="40"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Securities registered pursuant to Section 12(g) of the Act: None</w:t>
      </w:r>
    </w:p>
    <w:p>
      <w:pPr>
        <w:sectPr>
          <w:pgSz w:w="11900" w:h="16838" w:orient="portrait"/>
          <w:cols w:equalWidth="0" w:num="1">
            <w:col w:w="11260"/>
          </w:cols>
          <w:pgMar w:left="320" w:top="366" w:right="319" w:bottom="1440" w:gutter="0" w:footer="0" w:header="0"/>
          <w:type w:val="continuous"/>
        </w:sectPr>
      </w:pPr>
    </w:p>
    <w:p>
      <w:pPr>
        <w:spacing w:after="0" w:line="85"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2"/>
          <w:szCs w:val="12"/>
          <w:color w:val="auto"/>
        </w:rPr>
        <w:t>No x</w:t>
      </w:r>
    </w:p>
    <w:p>
      <w:pPr>
        <w:spacing w:after="0" w:line="47" w:lineRule="exact"/>
        <w:rPr>
          <w:sz w:val="24"/>
          <w:szCs w:val="24"/>
          <w:color w:val="auto"/>
        </w:rPr>
      </w:pPr>
    </w:p>
    <w:p>
      <w:pPr>
        <w:sectPr>
          <w:pgSz w:w="11900" w:h="16838" w:orient="portrait"/>
          <w:cols w:equalWidth="0" w:num="3">
            <w:col w:w="5760" w:space="160"/>
            <w:col w:w="320" w:space="80"/>
            <w:col w:w="4940"/>
          </w:cols>
          <w:pgMar w:left="320" w:top="366" w:right="319" w:bottom="1440" w:gutter="0" w:footer="0" w:header="0"/>
          <w:type w:val="continuous"/>
        </w:sectPr>
      </w:pPr>
    </w:p>
    <w:p>
      <w:pPr>
        <w:spacing w:after="0" w:line="23"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95"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1"/>
          <w:szCs w:val="11"/>
          <w:color w:val="auto"/>
        </w:rPr>
        <w:t>No x</w:t>
      </w:r>
    </w:p>
    <w:p>
      <w:pPr>
        <w:spacing w:after="0" w:line="81" w:lineRule="exact"/>
        <w:rPr>
          <w:sz w:val="24"/>
          <w:szCs w:val="24"/>
          <w:color w:val="auto"/>
        </w:rPr>
      </w:pPr>
    </w:p>
    <w:p>
      <w:pPr>
        <w:sectPr>
          <w:pgSz w:w="11900" w:h="16838" w:orient="portrait"/>
          <w:cols w:equalWidth="0" w:num="3">
            <w:col w:w="5480" w:space="140"/>
            <w:col w:w="320" w:space="100"/>
            <w:col w:w="5220"/>
          </w:cols>
          <w:pgMar w:left="320" w:top="366" w:right="319" w:bottom="1440" w:gutter="0" w:footer="0" w:header="0"/>
          <w:type w:val="continuous"/>
        </w:sectPr>
      </w:pPr>
    </w:p>
    <w:p>
      <w:pPr>
        <w:jc w:val="both"/>
        <w:spacing w:after="0" w:line="148"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2"/>
          <w:szCs w:val="12"/>
          <w:color w:val="auto"/>
        </w:rPr>
        <w:t>☐</w:t>
      </w:r>
    </w:p>
    <w:p>
      <w:pPr>
        <w:spacing w:after="0" w:line="27" w:lineRule="exact"/>
        <w:rPr>
          <w:sz w:val="24"/>
          <w:szCs w:val="24"/>
          <w:color w:val="auto"/>
        </w:rPr>
      </w:pPr>
    </w:p>
    <w:p>
      <w:pPr>
        <w:jc w:val="both"/>
        <w:spacing w:after="0" w:line="148"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2"/>
          <w:szCs w:val="12"/>
          <w:color w:val="auto"/>
        </w:rPr>
        <w:t>☐</w:t>
      </w:r>
    </w:p>
    <w:p>
      <w:pPr>
        <w:spacing w:after="0" w:line="39" w:lineRule="exact"/>
        <w:rPr>
          <w:sz w:val="24"/>
          <w:szCs w:val="24"/>
          <w:color w:val="auto"/>
        </w:rPr>
      </w:pPr>
    </w:p>
    <w:p>
      <w:pPr>
        <w:jc w:val="both"/>
        <w:ind w:right="20"/>
        <w:spacing w:after="0" w:line="251"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440" w:type="dxa"/>
            <w:vAlign w:val="bottom"/>
          </w:tcPr>
          <w:p>
            <w:pPr>
              <w:ind w:left="920"/>
              <w:spacing w:after="0" w:line="121" w:lineRule="exact"/>
              <w:rPr>
                <w:sz w:val="20"/>
                <w:szCs w:val="20"/>
                <w:color w:val="auto"/>
              </w:rPr>
            </w:pPr>
            <w:r>
              <w:rPr>
                <w:rFonts w:ascii="MS PGothic" w:cs="MS PGothic" w:eastAsia="MS PGothic" w:hAnsi="MS PGothic"/>
                <w:sz w:val="12"/>
                <w:szCs w:val="12"/>
                <w:color w:val="auto"/>
              </w:rPr>
              <w:t>☐</w:t>
            </w:r>
          </w:p>
        </w:tc>
        <w:tc>
          <w:tcPr>
            <w:tcW w:w="4660" w:type="dxa"/>
            <w:vAlign w:val="bottom"/>
          </w:tcPr>
          <w:p>
            <w:pPr>
              <w:ind w:left="2400"/>
              <w:spacing w:after="0"/>
              <w:rPr>
                <w:sz w:val="20"/>
                <w:szCs w:val="20"/>
                <w:color w:val="auto"/>
              </w:rPr>
            </w:pPr>
            <w:r>
              <w:rPr>
                <w:rFonts w:ascii="Arial" w:cs="Arial" w:eastAsia="Arial" w:hAnsi="Arial"/>
                <w:sz w:val="12"/>
                <w:szCs w:val="12"/>
                <w:color w:val="auto"/>
              </w:rPr>
              <w:t>Accelerated filer</w:t>
            </w:r>
          </w:p>
        </w:tc>
        <w:tc>
          <w:tcPr>
            <w:tcW w:w="1020" w:type="dxa"/>
            <w:vAlign w:val="bottom"/>
          </w:tcPr>
          <w:p>
            <w:pPr>
              <w:ind w:left="90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27"/>
        </w:trPr>
        <w:tc>
          <w:tcPr>
            <w:tcW w:w="2000" w:type="dxa"/>
            <w:vAlign w:val="bottom"/>
          </w:tcPr>
          <w:p>
            <w:pPr>
              <w:spacing w:after="0" w:line="127" w:lineRule="exact"/>
              <w:rPr>
                <w:sz w:val="20"/>
                <w:szCs w:val="20"/>
                <w:color w:val="auto"/>
              </w:rPr>
            </w:pPr>
            <w:r>
              <w:rPr>
                <w:rFonts w:ascii="Arial" w:cs="Arial" w:eastAsia="Arial" w:hAnsi="Arial"/>
                <w:sz w:val="12"/>
                <w:szCs w:val="12"/>
                <w:color w:val="auto"/>
              </w:rPr>
              <w:t>Non-accelerated filer</w:t>
            </w:r>
          </w:p>
        </w:tc>
        <w:tc>
          <w:tcPr>
            <w:tcW w:w="3440" w:type="dxa"/>
            <w:vAlign w:val="bottom"/>
          </w:tcPr>
          <w:p>
            <w:pPr>
              <w:ind w:left="920"/>
              <w:spacing w:after="0" w:line="127" w:lineRule="exact"/>
              <w:rPr>
                <w:sz w:val="20"/>
                <w:szCs w:val="20"/>
                <w:color w:val="auto"/>
              </w:rPr>
            </w:pPr>
            <w:r>
              <w:rPr>
                <w:rFonts w:ascii="Arial" w:cs="Arial" w:eastAsia="Arial" w:hAnsi="Arial"/>
                <w:sz w:val="12"/>
                <w:szCs w:val="12"/>
                <w:color w:val="auto"/>
              </w:rPr>
              <w:t>x</w:t>
            </w:r>
          </w:p>
        </w:tc>
        <w:tc>
          <w:tcPr>
            <w:tcW w:w="4660" w:type="dxa"/>
            <w:vAlign w:val="bottom"/>
          </w:tcPr>
          <w:p>
            <w:pPr>
              <w:ind w:left="2400"/>
              <w:spacing w:after="0" w:line="127" w:lineRule="exact"/>
              <w:rPr>
                <w:sz w:val="20"/>
                <w:szCs w:val="20"/>
                <w:color w:val="auto"/>
              </w:rPr>
            </w:pPr>
            <w:r>
              <w:rPr>
                <w:rFonts w:ascii="Arial" w:cs="Arial" w:eastAsia="Arial" w:hAnsi="Arial"/>
                <w:sz w:val="12"/>
                <w:szCs w:val="12"/>
                <w:color w:val="auto"/>
              </w:rPr>
              <w:t>Smaller reporting company</w:t>
            </w:r>
          </w:p>
        </w:tc>
        <w:tc>
          <w:tcPr>
            <w:tcW w:w="1020" w:type="dxa"/>
            <w:vAlign w:val="bottom"/>
          </w:tcPr>
          <w:p>
            <w:pPr>
              <w:ind w:left="900"/>
              <w:spacing w:after="0" w:line="127" w:lineRule="exact"/>
              <w:rPr>
                <w:sz w:val="20"/>
                <w:szCs w:val="20"/>
                <w:color w:val="auto"/>
              </w:rPr>
            </w:pPr>
            <w:r>
              <w:rPr>
                <w:rFonts w:ascii="Arial" w:cs="Arial" w:eastAsia="Arial" w:hAnsi="Arial"/>
                <w:sz w:val="12"/>
                <w:szCs w:val="12"/>
                <w:color w:val="auto"/>
              </w:rPr>
              <w:t>x</w:t>
            </w:r>
          </w:p>
        </w:tc>
      </w:tr>
      <w:tr>
        <w:trPr>
          <w:trHeight w:val="155"/>
        </w:trPr>
        <w:tc>
          <w:tcPr>
            <w:tcW w:w="20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4660" w:type="dxa"/>
            <w:vAlign w:val="bottom"/>
          </w:tcPr>
          <w:p>
            <w:pPr>
              <w:ind w:left="2400"/>
              <w:spacing w:after="0"/>
              <w:rPr>
                <w:sz w:val="20"/>
                <w:szCs w:val="20"/>
                <w:color w:val="auto"/>
              </w:rPr>
            </w:pPr>
            <w:r>
              <w:rPr>
                <w:rFonts w:ascii="Arial" w:cs="Arial" w:eastAsia="Arial" w:hAnsi="Arial"/>
                <w:sz w:val="12"/>
                <w:szCs w:val="12"/>
                <w:color w:val="auto"/>
              </w:rPr>
              <w:t>Emerging growth company</w:t>
            </w:r>
          </w:p>
        </w:tc>
        <w:tc>
          <w:tcPr>
            <w:tcW w:w="1020" w:type="dxa"/>
            <w:vAlign w:val="bottom"/>
          </w:tcPr>
          <w:p>
            <w:pPr>
              <w:ind w:left="900"/>
              <w:spacing w:after="0"/>
              <w:rPr>
                <w:sz w:val="20"/>
                <w:szCs w:val="20"/>
                <w:color w:val="auto"/>
              </w:rPr>
            </w:pPr>
            <w:r>
              <w:rPr>
                <w:rFonts w:ascii="Arial" w:cs="Arial" w:eastAsia="Arial" w:hAnsi="Arial"/>
                <w:sz w:val="12"/>
                <w:szCs w:val="12"/>
                <w:color w:val="auto"/>
              </w:rPr>
              <w:t>x</w:t>
            </w:r>
          </w:p>
        </w:tc>
      </w:tr>
    </w:tbl>
    <w:p>
      <w:pPr>
        <w:spacing w:after="0" w:line="52" w:lineRule="exact"/>
        <w:rPr>
          <w:sz w:val="24"/>
          <w:szCs w:val="24"/>
          <w:color w:val="auto"/>
        </w:rPr>
      </w:pPr>
    </w:p>
    <w:p>
      <w:pPr>
        <w:jc w:val="both"/>
        <w:ind w:right="180"/>
        <w:spacing w:after="0" w:line="148"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7" w:lineRule="exact"/>
        <w:rPr>
          <w:sz w:val="24"/>
          <w:szCs w:val="24"/>
          <w:color w:val="auto"/>
        </w:rPr>
      </w:pPr>
    </w:p>
    <w:p>
      <w:pPr>
        <w:ind w:right="20"/>
        <w:spacing w:after="0" w:line="148"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6" w:lineRule="exact"/>
        <w:rPr>
          <w:sz w:val="24"/>
          <w:szCs w:val="24"/>
          <w:color w:val="auto"/>
        </w:rPr>
      </w:pPr>
    </w:p>
    <w:p>
      <w:pPr>
        <w:spacing w:after="0" w:line="138" w:lineRule="exact"/>
        <w:tabs>
          <w:tab w:leader="none" w:pos="5700" w:val="left"/>
          <w:tab w:leader="none" w:pos="61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tab/>
        <w:t xml:space="preserve">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No x</w:t>
      </w:r>
    </w:p>
    <w:p>
      <w:pPr>
        <w:spacing w:after="0" w:line="92" w:lineRule="exact"/>
        <w:rPr>
          <w:sz w:val="24"/>
          <w:szCs w:val="24"/>
          <w:color w:val="auto"/>
        </w:rPr>
      </w:pPr>
    </w:p>
    <w:p>
      <w:pPr>
        <w:jc w:val="both"/>
        <w:spacing w:after="0" w:line="237" w:lineRule="auto"/>
        <w:rPr>
          <w:sz w:val="20"/>
          <w:szCs w:val="20"/>
          <w:color w:val="auto"/>
        </w:rPr>
      </w:pPr>
      <w:r>
        <w:rPr>
          <w:rFonts w:ascii="Arial" w:cs="Arial" w:eastAsia="Arial" w:hAnsi="Arial"/>
          <w:sz w:val="12"/>
          <w:szCs w:val="12"/>
          <w:color w:val="auto"/>
        </w:rPr>
        <w:t>Aggregate market value of registrant’s common stock held by non-affiliates of the registrant on June 30, 2020, the last business day of the registrant’s most recently completed second fiscal quarter, based upon the closing price of the registrant’s common stock on such date as reported by Nasdaq Capital Market, was approximately $135,220,301. Shares of voting stock held by each officer and director have been excluded in that such persons may be deemed to be affiliates. This assumption regarding affiliate status is not necessarily a conclusive determination for other purposes.</w:t>
      </w:r>
    </w:p>
    <w:p>
      <w:pPr>
        <w:spacing w:after="0" w:line="40" w:lineRule="exact"/>
        <w:rPr>
          <w:sz w:val="24"/>
          <w:szCs w:val="24"/>
          <w:color w:val="auto"/>
        </w:rPr>
      </w:pPr>
    </w:p>
    <w:p>
      <w:pPr>
        <w:spacing w:after="0"/>
        <w:rPr>
          <w:sz w:val="20"/>
          <w:szCs w:val="20"/>
          <w:color w:val="auto"/>
        </w:rPr>
      </w:pPr>
      <w:r>
        <w:rPr>
          <w:rFonts w:ascii="Arial" w:cs="Arial" w:eastAsia="Arial" w:hAnsi="Arial"/>
          <w:sz w:val="12"/>
          <w:szCs w:val="12"/>
          <w:color w:val="auto"/>
        </w:rPr>
        <w:t>Number of shares outstanding of the registrant’s common stock as of February 28, 2021: 26,086,931</w:t>
      </w:r>
    </w:p>
    <w:p>
      <w:pPr>
        <w:ind w:left="4200"/>
        <w:spacing w:after="0" w:line="220" w:lineRule="auto"/>
        <w:rPr>
          <w:sz w:val="20"/>
          <w:szCs w:val="20"/>
          <w:color w:val="auto"/>
        </w:rPr>
      </w:pPr>
      <w:r>
        <w:rPr>
          <w:rFonts w:ascii="Arial" w:cs="Arial" w:eastAsia="Arial" w:hAnsi="Arial"/>
          <w:sz w:val="12"/>
          <w:szCs w:val="12"/>
          <w:b w:val="1"/>
          <w:bCs w:val="1"/>
          <w:color w:val="auto"/>
        </w:rPr>
        <w:t>DOCUMENTS INCORPORATED BY REFERENCE:</w:t>
      </w:r>
    </w:p>
    <w:p>
      <w:pPr>
        <w:jc w:val="both"/>
        <w:spacing w:after="0" w:line="236" w:lineRule="auto"/>
        <w:rPr>
          <w:sz w:val="20"/>
          <w:szCs w:val="20"/>
          <w:color w:val="auto"/>
        </w:rPr>
      </w:pPr>
      <w:r>
        <w:rPr>
          <w:rFonts w:ascii="Arial" w:cs="Arial" w:eastAsia="Arial" w:hAnsi="Arial"/>
          <w:sz w:val="12"/>
          <w:szCs w:val="12"/>
          <w:color w:val="auto"/>
        </w:rPr>
        <w:t>Portions of the registrant’s definitive Proxy Statement relating to its 2021 Annual Meeting of Stockholders are incorporated by reference into Part III of this Form 10-K where indicated. The Proxy Statement will be filed with the U.S. Securities and Exchange Commission within 120 days after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5264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366" w:right="319" w:bottom="1440" w:gutter="0" w:footer="0" w:header="0"/>
          <w:type w:val="continuous"/>
        </w:sectPr>
      </w:pPr>
    </w:p>
    <w:bookmarkStart w:id="1" w:name="page2"/>
    <w:bookmarkEnd w:id="1"/>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80" w:type="dxa"/>
            <w:vAlign w:val="bottom"/>
          </w:tcPr>
          <w:p>
            <w:pPr>
              <w:ind w:left="3840"/>
              <w:spacing w:after="0"/>
              <w:rPr>
                <w:sz w:val="20"/>
                <w:szCs w:val="20"/>
                <w:color w:val="auto"/>
              </w:rPr>
            </w:pPr>
            <w:r>
              <w:rPr>
                <w:rFonts w:ascii="Arial" w:cs="Arial" w:eastAsia="Arial" w:hAnsi="Arial"/>
                <w:sz w:val="15"/>
                <w:szCs w:val="15"/>
                <w:b w:val="1"/>
                <w:bCs w:val="1"/>
                <w:color w:val="auto"/>
              </w:rPr>
              <w:t>TABLE OF CONTENTS</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b w:val="1"/>
                <w:bCs w:val="1"/>
                <w:color w:val="auto"/>
                <w:w w:val="90"/>
              </w:rPr>
              <w:t>Page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4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5"/>
                <w:szCs w:val="15"/>
                <w:color w:val="auto"/>
              </w:rPr>
              <w:t>PART I</w:t>
            </w:r>
          </w:p>
        </w:tc>
        <w:tc>
          <w:tcPr>
            <w:tcW w:w="96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ind w:left="120"/>
              <w:spacing w:after="0" w:line="161" w:lineRule="exact"/>
              <w:rPr>
                <w:sz w:val="20"/>
                <w:szCs w:val="20"/>
                <w:color w:val="auto"/>
              </w:rPr>
            </w:pPr>
            <w:r>
              <w:rPr>
                <w:rFonts w:ascii="Arial" w:cs="Arial" w:eastAsia="Arial" w:hAnsi="Arial"/>
                <w:sz w:val="15"/>
                <w:szCs w:val="15"/>
                <w:color w:val="auto"/>
              </w:rPr>
              <w:t>Item 1.</w:t>
            </w:r>
          </w:p>
        </w:tc>
        <w:tc>
          <w:tcPr>
            <w:tcW w:w="9680" w:type="dxa"/>
            <w:vAlign w:val="bottom"/>
          </w:tcPr>
          <w:p>
            <w:pPr>
              <w:ind w:left="260"/>
              <w:spacing w:after="0" w:line="161" w:lineRule="exact"/>
              <w:rPr>
                <w:rFonts w:ascii="Arial" w:cs="Arial" w:eastAsia="Arial" w:hAnsi="Arial"/>
                <w:sz w:val="15"/>
                <w:szCs w:val="15"/>
                <w:u w:val="single" w:color="auto"/>
                <w:color w:val="0563C1"/>
              </w:rPr>
            </w:pPr>
            <w:hyperlink w:anchor="page3">
              <w:r>
                <w:rPr>
                  <w:rFonts w:ascii="Arial" w:cs="Arial" w:eastAsia="Arial" w:hAnsi="Arial"/>
                  <w:sz w:val="15"/>
                  <w:szCs w:val="15"/>
                  <w:u w:val="single" w:color="auto"/>
                  <w:color w:val="0563C1"/>
                </w:rPr>
                <w:t>Business</w:t>
              </w:r>
            </w:hyperlink>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shd w:val="clear" w:color="auto" w:fill="CCEEFF"/>
          </w:tcPr>
          <w:p>
            <w:pPr>
              <w:ind w:left="120"/>
              <w:spacing w:after="0" w:line="161" w:lineRule="exact"/>
              <w:rPr>
                <w:sz w:val="20"/>
                <w:szCs w:val="20"/>
                <w:color w:val="auto"/>
              </w:rPr>
            </w:pPr>
            <w:r>
              <w:rPr>
                <w:rFonts w:ascii="Arial" w:cs="Arial" w:eastAsia="Arial" w:hAnsi="Arial"/>
                <w:sz w:val="15"/>
                <w:szCs w:val="15"/>
                <w:color w:val="auto"/>
              </w:rPr>
              <w:t>Item 1A.</w:t>
            </w:r>
          </w:p>
        </w:tc>
        <w:tc>
          <w:tcPr>
            <w:tcW w:w="9680" w:type="dxa"/>
            <w:vAlign w:val="bottom"/>
            <w:shd w:val="clear" w:color="auto" w:fill="CCEEFF"/>
          </w:tcPr>
          <w:p>
            <w:pPr>
              <w:ind w:left="260"/>
              <w:spacing w:after="0" w:line="161" w:lineRule="exact"/>
              <w:rPr>
                <w:rFonts w:ascii="Arial" w:cs="Arial" w:eastAsia="Arial" w:hAnsi="Arial"/>
                <w:sz w:val="15"/>
                <w:szCs w:val="15"/>
                <w:u w:val="single" w:color="auto"/>
                <w:color w:val="0563C1"/>
              </w:rPr>
            </w:pPr>
            <w:hyperlink w:anchor="page17">
              <w:r>
                <w:rPr>
                  <w:rFonts w:ascii="Arial" w:cs="Arial" w:eastAsia="Arial" w:hAnsi="Arial"/>
                  <w:sz w:val="15"/>
                  <w:szCs w:val="15"/>
                  <w:u w:val="single" w:color="auto"/>
                  <w:color w:val="0563C1"/>
                </w:rPr>
                <w:t>Risk Factors</w:t>
              </w:r>
            </w:hyperlink>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ind w:left="120"/>
              <w:spacing w:after="0" w:line="161" w:lineRule="exact"/>
              <w:rPr>
                <w:sz w:val="20"/>
                <w:szCs w:val="20"/>
                <w:color w:val="auto"/>
              </w:rPr>
            </w:pPr>
            <w:r>
              <w:rPr>
                <w:rFonts w:ascii="Arial" w:cs="Arial" w:eastAsia="Arial" w:hAnsi="Arial"/>
                <w:sz w:val="15"/>
                <w:szCs w:val="15"/>
                <w:color w:val="auto"/>
              </w:rPr>
              <w:t>Item 1B.</w:t>
            </w:r>
          </w:p>
        </w:tc>
        <w:tc>
          <w:tcPr>
            <w:tcW w:w="9680" w:type="dxa"/>
            <w:vAlign w:val="bottom"/>
          </w:tcPr>
          <w:p>
            <w:pPr>
              <w:ind w:left="260"/>
              <w:spacing w:after="0" w:line="161" w:lineRule="exact"/>
              <w:rPr>
                <w:rFonts w:ascii="Arial" w:cs="Arial" w:eastAsia="Arial" w:hAnsi="Arial"/>
                <w:sz w:val="15"/>
                <w:szCs w:val="15"/>
                <w:u w:val="single" w:color="auto"/>
                <w:color w:val="0563C1"/>
              </w:rPr>
            </w:pPr>
            <w:hyperlink w:anchor="page46">
              <w:r>
                <w:rPr>
                  <w:rFonts w:ascii="Arial" w:cs="Arial" w:eastAsia="Arial" w:hAnsi="Arial"/>
                  <w:sz w:val="15"/>
                  <w:szCs w:val="15"/>
                  <w:u w:val="single" w:color="auto"/>
                  <w:color w:val="0563C1"/>
                </w:rPr>
                <w:t>Unresolved Staff Comments</w:t>
              </w:r>
            </w:hyperlink>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shd w:val="clear" w:color="auto" w:fill="CCEEFF"/>
          </w:tcPr>
          <w:p>
            <w:pPr>
              <w:ind w:left="120"/>
              <w:spacing w:after="0" w:line="161" w:lineRule="exact"/>
              <w:rPr>
                <w:sz w:val="20"/>
                <w:szCs w:val="20"/>
                <w:color w:val="auto"/>
              </w:rPr>
            </w:pPr>
            <w:r>
              <w:rPr>
                <w:rFonts w:ascii="Arial" w:cs="Arial" w:eastAsia="Arial" w:hAnsi="Arial"/>
                <w:sz w:val="15"/>
                <w:szCs w:val="15"/>
                <w:color w:val="auto"/>
              </w:rPr>
              <w:t>Item 2.</w:t>
            </w:r>
          </w:p>
        </w:tc>
        <w:tc>
          <w:tcPr>
            <w:tcW w:w="9680" w:type="dxa"/>
            <w:vAlign w:val="bottom"/>
            <w:shd w:val="clear" w:color="auto" w:fill="CCEEFF"/>
          </w:tcPr>
          <w:p>
            <w:pPr>
              <w:ind w:left="260"/>
              <w:spacing w:after="0" w:line="161" w:lineRule="exact"/>
              <w:rPr>
                <w:rFonts w:ascii="Arial" w:cs="Arial" w:eastAsia="Arial" w:hAnsi="Arial"/>
                <w:sz w:val="15"/>
                <w:szCs w:val="15"/>
                <w:u w:val="single" w:color="auto"/>
                <w:color w:val="0563C1"/>
              </w:rPr>
            </w:pPr>
            <w:hyperlink w:anchor="page46">
              <w:r>
                <w:rPr>
                  <w:rFonts w:ascii="Arial" w:cs="Arial" w:eastAsia="Arial" w:hAnsi="Arial"/>
                  <w:sz w:val="15"/>
                  <w:szCs w:val="15"/>
                  <w:u w:val="single" w:color="auto"/>
                  <w:color w:val="0563C1"/>
                </w:rPr>
                <w:t>Properties</w:t>
              </w:r>
            </w:hyperlink>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ind w:left="120"/>
              <w:spacing w:after="0" w:line="161" w:lineRule="exact"/>
              <w:rPr>
                <w:sz w:val="20"/>
                <w:szCs w:val="20"/>
                <w:color w:val="auto"/>
              </w:rPr>
            </w:pPr>
            <w:r>
              <w:rPr>
                <w:rFonts w:ascii="Arial" w:cs="Arial" w:eastAsia="Arial" w:hAnsi="Arial"/>
                <w:sz w:val="15"/>
                <w:szCs w:val="15"/>
                <w:color w:val="auto"/>
              </w:rPr>
              <w:t>Item 3.</w:t>
            </w:r>
          </w:p>
        </w:tc>
        <w:tc>
          <w:tcPr>
            <w:tcW w:w="9680" w:type="dxa"/>
            <w:vAlign w:val="bottom"/>
          </w:tcPr>
          <w:p>
            <w:pPr>
              <w:ind w:left="260"/>
              <w:spacing w:after="0" w:line="161" w:lineRule="exact"/>
              <w:rPr>
                <w:rFonts w:ascii="Arial" w:cs="Arial" w:eastAsia="Arial" w:hAnsi="Arial"/>
                <w:sz w:val="15"/>
                <w:szCs w:val="15"/>
                <w:u w:val="single" w:color="auto"/>
                <w:color w:val="0563C1"/>
              </w:rPr>
            </w:pPr>
            <w:hyperlink w:anchor="page46">
              <w:r>
                <w:rPr>
                  <w:rFonts w:ascii="Arial" w:cs="Arial" w:eastAsia="Arial" w:hAnsi="Arial"/>
                  <w:sz w:val="15"/>
                  <w:szCs w:val="15"/>
                  <w:u w:val="single" w:color="auto"/>
                  <w:color w:val="0563C1"/>
                </w:rPr>
                <w:t>Legal Proceedings</w:t>
              </w:r>
            </w:hyperlink>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shd w:val="clear" w:color="auto" w:fill="CCEEFF"/>
          </w:tcPr>
          <w:p>
            <w:pPr>
              <w:ind w:left="120"/>
              <w:spacing w:after="0" w:line="161" w:lineRule="exact"/>
              <w:rPr>
                <w:sz w:val="20"/>
                <w:szCs w:val="20"/>
                <w:color w:val="auto"/>
              </w:rPr>
            </w:pPr>
            <w:r>
              <w:rPr>
                <w:rFonts w:ascii="Arial" w:cs="Arial" w:eastAsia="Arial" w:hAnsi="Arial"/>
                <w:sz w:val="15"/>
                <w:szCs w:val="15"/>
                <w:color w:val="auto"/>
              </w:rPr>
              <w:t>Item 4.</w:t>
            </w:r>
          </w:p>
        </w:tc>
        <w:tc>
          <w:tcPr>
            <w:tcW w:w="9680" w:type="dxa"/>
            <w:vAlign w:val="bottom"/>
            <w:shd w:val="clear" w:color="auto" w:fill="CCEEFF"/>
          </w:tcPr>
          <w:p>
            <w:pPr>
              <w:ind w:left="260"/>
              <w:spacing w:after="0" w:line="161" w:lineRule="exact"/>
              <w:rPr>
                <w:rFonts w:ascii="Arial" w:cs="Arial" w:eastAsia="Arial" w:hAnsi="Arial"/>
                <w:sz w:val="15"/>
                <w:szCs w:val="15"/>
                <w:u w:val="single" w:color="auto"/>
                <w:color w:val="0563C1"/>
              </w:rPr>
            </w:pPr>
            <w:hyperlink w:anchor="page46">
              <w:r>
                <w:rPr>
                  <w:rFonts w:ascii="Arial" w:cs="Arial" w:eastAsia="Arial" w:hAnsi="Arial"/>
                  <w:sz w:val="15"/>
                  <w:szCs w:val="15"/>
                  <w:u w:val="single" w:color="auto"/>
                  <w:color w:val="0563C1"/>
                </w:rPr>
                <w:t>Mine Safety Disclosures</w:t>
              </w:r>
            </w:hyperlink>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4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94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PART II</w:t>
            </w:r>
          </w:p>
        </w:tc>
        <w:tc>
          <w:tcPr>
            <w:tcW w:w="96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ind w:left="120"/>
              <w:spacing w:after="0" w:line="161" w:lineRule="exact"/>
              <w:rPr>
                <w:sz w:val="20"/>
                <w:szCs w:val="20"/>
                <w:color w:val="auto"/>
              </w:rPr>
            </w:pPr>
            <w:r>
              <w:rPr>
                <w:rFonts w:ascii="Arial" w:cs="Arial" w:eastAsia="Arial" w:hAnsi="Arial"/>
                <w:sz w:val="15"/>
                <w:szCs w:val="15"/>
                <w:color w:val="auto"/>
              </w:rPr>
              <w:t>Item 5.</w:t>
            </w:r>
          </w:p>
        </w:tc>
        <w:tc>
          <w:tcPr>
            <w:tcW w:w="9680" w:type="dxa"/>
            <w:vAlign w:val="bottom"/>
          </w:tcPr>
          <w:p>
            <w:pPr>
              <w:ind w:left="260"/>
              <w:spacing w:after="0" w:line="161" w:lineRule="exact"/>
              <w:rPr>
                <w:rFonts w:ascii="Arial" w:cs="Arial" w:eastAsia="Arial" w:hAnsi="Arial"/>
                <w:sz w:val="15"/>
                <w:szCs w:val="15"/>
                <w:u w:val="single" w:color="auto"/>
                <w:color w:val="0563C1"/>
              </w:rPr>
            </w:pPr>
            <w:hyperlink w:anchor="page47">
              <w:r>
                <w:rPr>
                  <w:rFonts w:ascii="Arial" w:cs="Arial" w:eastAsia="Arial" w:hAnsi="Arial"/>
                  <w:sz w:val="15"/>
                  <w:szCs w:val="15"/>
                  <w:u w:val="single" w:color="auto"/>
                  <w:color w:val="0563C1"/>
                </w:rPr>
                <w:t>Market for Registrant’s Common Equity, Related Stockholder Matters and Issuer Purchases of Equity Securities</w:t>
              </w:r>
            </w:hyperlink>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shd w:val="clear" w:color="auto" w:fill="CCEEFF"/>
          </w:tcPr>
          <w:p>
            <w:pPr>
              <w:ind w:left="120"/>
              <w:spacing w:after="0" w:line="161" w:lineRule="exact"/>
              <w:rPr>
                <w:sz w:val="20"/>
                <w:szCs w:val="20"/>
                <w:color w:val="auto"/>
              </w:rPr>
            </w:pPr>
            <w:r>
              <w:rPr>
                <w:rFonts w:ascii="Arial" w:cs="Arial" w:eastAsia="Arial" w:hAnsi="Arial"/>
                <w:sz w:val="15"/>
                <w:szCs w:val="15"/>
                <w:color w:val="auto"/>
              </w:rPr>
              <w:t>Item 6.</w:t>
            </w:r>
          </w:p>
        </w:tc>
        <w:tc>
          <w:tcPr>
            <w:tcW w:w="9680" w:type="dxa"/>
            <w:vAlign w:val="bottom"/>
            <w:shd w:val="clear" w:color="auto" w:fill="CCEEFF"/>
          </w:tcPr>
          <w:p>
            <w:pPr>
              <w:ind w:left="260"/>
              <w:spacing w:after="0" w:line="161" w:lineRule="exact"/>
              <w:rPr>
                <w:rFonts w:ascii="Arial" w:cs="Arial" w:eastAsia="Arial" w:hAnsi="Arial"/>
                <w:sz w:val="15"/>
                <w:szCs w:val="15"/>
                <w:u w:val="single" w:color="auto"/>
                <w:color w:val="0563C1"/>
              </w:rPr>
            </w:pPr>
            <w:hyperlink w:anchor="page49">
              <w:r>
                <w:rPr>
                  <w:rFonts w:ascii="Arial" w:cs="Arial" w:eastAsia="Arial" w:hAnsi="Arial"/>
                  <w:sz w:val="15"/>
                  <w:szCs w:val="15"/>
                  <w:u w:val="single" w:color="auto"/>
                  <w:color w:val="0563C1"/>
                </w:rPr>
                <w:t>Selected Financial Data</w:t>
              </w:r>
            </w:hyperlink>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ind w:left="120"/>
              <w:spacing w:after="0" w:line="161" w:lineRule="exact"/>
              <w:rPr>
                <w:sz w:val="20"/>
                <w:szCs w:val="20"/>
                <w:color w:val="auto"/>
              </w:rPr>
            </w:pPr>
            <w:r>
              <w:rPr>
                <w:rFonts w:ascii="Arial" w:cs="Arial" w:eastAsia="Arial" w:hAnsi="Arial"/>
                <w:sz w:val="15"/>
                <w:szCs w:val="15"/>
                <w:color w:val="auto"/>
              </w:rPr>
              <w:t>Item 7.</w:t>
            </w:r>
          </w:p>
        </w:tc>
        <w:tc>
          <w:tcPr>
            <w:tcW w:w="9680" w:type="dxa"/>
            <w:vAlign w:val="bottom"/>
          </w:tcPr>
          <w:p>
            <w:pPr>
              <w:ind w:left="260"/>
              <w:spacing w:after="0" w:line="161" w:lineRule="exact"/>
              <w:rPr>
                <w:rFonts w:ascii="Arial" w:cs="Arial" w:eastAsia="Arial" w:hAnsi="Arial"/>
                <w:sz w:val="15"/>
                <w:szCs w:val="15"/>
                <w:u w:val="single" w:color="auto"/>
                <w:color w:val="0563C1"/>
              </w:rPr>
            </w:pPr>
            <w:hyperlink w:anchor="page49">
              <w:r>
                <w:rPr>
                  <w:rFonts w:ascii="Arial" w:cs="Arial" w:eastAsia="Arial" w:hAnsi="Arial"/>
                  <w:sz w:val="15"/>
                  <w:szCs w:val="15"/>
                  <w:u w:val="single" w:color="auto"/>
                  <w:color w:val="0563C1"/>
                </w:rPr>
                <w:t>Management’s Discussion and Analysis of Financial Condition and Results of Operations</w:t>
              </w:r>
            </w:hyperlink>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shd w:val="clear" w:color="auto" w:fill="CCEEFF"/>
          </w:tcPr>
          <w:p>
            <w:pPr>
              <w:ind w:left="120"/>
              <w:spacing w:after="0" w:line="161" w:lineRule="exact"/>
              <w:rPr>
                <w:sz w:val="20"/>
                <w:szCs w:val="20"/>
                <w:color w:val="auto"/>
              </w:rPr>
            </w:pPr>
            <w:r>
              <w:rPr>
                <w:rFonts w:ascii="Arial" w:cs="Arial" w:eastAsia="Arial" w:hAnsi="Arial"/>
                <w:sz w:val="15"/>
                <w:szCs w:val="15"/>
                <w:color w:val="auto"/>
              </w:rPr>
              <w:t>Item 7A.</w:t>
            </w:r>
          </w:p>
        </w:tc>
        <w:tc>
          <w:tcPr>
            <w:tcW w:w="9680" w:type="dxa"/>
            <w:vAlign w:val="bottom"/>
            <w:shd w:val="clear" w:color="auto" w:fill="CCEEFF"/>
          </w:tcPr>
          <w:p>
            <w:pPr>
              <w:ind w:left="260"/>
              <w:spacing w:after="0" w:line="161" w:lineRule="exact"/>
              <w:rPr>
                <w:rFonts w:ascii="Arial" w:cs="Arial" w:eastAsia="Arial" w:hAnsi="Arial"/>
                <w:sz w:val="15"/>
                <w:szCs w:val="15"/>
                <w:u w:val="single" w:color="auto"/>
                <w:color w:val="0563C1"/>
              </w:rPr>
            </w:pPr>
            <w:hyperlink w:anchor="page56">
              <w:r>
                <w:rPr>
                  <w:rFonts w:ascii="Arial" w:cs="Arial" w:eastAsia="Arial" w:hAnsi="Arial"/>
                  <w:sz w:val="15"/>
                  <w:szCs w:val="15"/>
                  <w:u w:val="single" w:color="auto"/>
                  <w:color w:val="0563C1"/>
                </w:rPr>
                <w:t>Quantitative and Qualitative Disclosures about Market Risk</w:t>
              </w:r>
            </w:hyperlink>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ind w:left="120"/>
              <w:spacing w:after="0" w:line="161" w:lineRule="exact"/>
              <w:rPr>
                <w:sz w:val="20"/>
                <w:szCs w:val="20"/>
                <w:color w:val="auto"/>
              </w:rPr>
            </w:pPr>
            <w:r>
              <w:rPr>
                <w:rFonts w:ascii="Arial" w:cs="Arial" w:eastAsia="Arial" w:hAnsi="Arial"/>
                <w:sz w:val="15"/>
                <w:szCs w:val="15"/>
                <w:color w:val="auto"/>
              </w:rPr>
              <w:t>Item 8.</w:t>
            </w:r>
          </w:p>
        </w:tc>
        <w:tc>
          <w:tcPr>
            <w:tcW w:w="9680" w:type="dxa"/>
            <w:vAlign w:val="bottom"/>
          </w:tcPr>
          <w:p>
            <w:pPr>
              <w:ind w:left="260"/>
              <w:spacing w:after="0" w:line="161" w:lineRule="exact"/>
              <w:rPr>
                <w:rFonts w:ascii="Arial" w:cs="Arial" w:eastAsia="Arial" w:hAnsi="Arial"/>
                <w:sz w:val="15"/>
                <w:szCs w:val="15"/>
                <w:u w:val="single" w:color="auto"/>
                <w:color w:val="0563C1"/>
              </w:rPr>
            </w:pPr>
            <w:hyperlink w:anchor="page57">
              <w:r>
                <w:rPr>
                  <w:rFonts w:ascii="Arial" w:cs="Arial" w:eastAsia="Arial" w:hAnsi="Arial"/>
                  <w:sz w:val="15"/>
                  <w:szCs w:val="15"/>
                  <w:u w:val="single" w:color="auto"/>
                  <w:color w:val="0563C1"/>
                </w:rPr>
                <w:t>Financial Statements and Supplementary Data</w:t>
              </w:r>
            </w:hyperlink>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shd w:val="clear" w:color="auto" w:fill="CCEEFF"/>
          </w:tcPr>
          <w:p>
            <w:pPr>
              <w:ind w:left="120"/>
              <w:spacing w:after="0" w:line="161" w:lineRule="exact"/>
              <w:rPr>
                <w:sz w:val="20"/>
                <w:szCs w:val="20"/>
                <w:color w:val="auto"/>
              </w:rPr>
            </w:pPr>
            <w:r>
              <w:rPr>
                <w:rFonts w:ascii="Arial" w:cs="Arial" w:eastAsia="Arial" w:hAnsi="Arial"/>
                <w:sz w:val="15"/>
                <w:szCs w:val="15"/>
                <w:color w:val="auto"/>
              </w:rPr>
              <w:t>Item 9.</w:t>
            </w:r>
          </w:p>
        </w:tc>
        <w:tc>
          <w:tcPr>
            <w:tcW w:w="9680" w:type="dxa"/>
            <w:vAlign w:val="bottom"/>
            <w:shd w:val="clear" w:color="auto" w:fill="CCEEFF"/>
          </w:tcPr>
          <w:p>
            <w:pPr>
              <w:ind w:left="260"/>
              <w:spacing w:after="0" w:line="161" w:lineRule="exact"/>
              <w:rPr>
                <w:rFonts w:ascii="Arial" w:cs="Arial" w:eastAsia="Arial" w:hAnsi="Arial"/>
                <w:sz w:val="15"/>
                <w:szCs w:val="15"/>
                <w:u w:val="single" w:color="auto"/>
                <w:color w:val="0563C1"/>
              </w:rPr>
            </w:pPr>
            <w:hyperlink w:anchor="page79">
              <w:r>
                <w:rPr>
                  <w:rFonts w:ascii="Arial" w:cs="Arial" w:eastAsia="Arial" w:hAnsi="Arial"/>
                  <w:sz w:val="15"/>
                  <w:szCs w:val="15"/>
                  <w:u w:val="single" w:color="auto"/>
                  <w:color w:val="0563C1"/>
                </w:rPr>
                <w:t>Changes in and Disagreements with Accountants on Accounting and Financial Disclosure</w:t>
              </w:r>
            </w:hyperlink>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ind w:left="120"/>
              <w:spacing w:after="0" w:line="161" w:lineRule="exact"/>
              <w:rPr>
                <w:sz w:val="20"/>
                <w:szCs w:val="20"/>
                <w:color w:val="auto"/>
              </w:rPr>
            </w:pPr>
            <w:r>
              <w:rPr>
                <w:rFonts w:ascii="Arial" w:cs="Arial" w:eastAsia="Arial" w:hAnsi="Arial"/>
                <w:sz w:val="15"/>
                <w:szCs w:val="15"/>
                <w:color w:val="auto"/>
              </w:rPr>
              <w:t>Item 9A.</w:t>
            </w:r>
          </w:p>
        </w:tc>
        <w:tc>
          <w:tcPr>
            <w:tcW w:w="9680" w:type="dxa"/>
            <w:vAlign w:val="bottom"/>
          </w:tcPr>
          <w:p>
            <w:pPr>
              <w:ind w:left="260"/>
              <w:spacing w:after="0" w:line="161" w:lineRule="exact"/>
              <w:rPr>
                <w:rFonts w:ascii="Arial" w:cs="Arial" w:eastAsia="Arial" w:hAnsi="Arial"/>
                <w:sz w:val="15"/>
                <w:szCs w:val="15"/>
                <w:u w:val="single" w:color="auto"/>
                <w:color w:val="0563C1"/>
              </w:rPr>
            </w:pPr>
            <w:hyperlink w:anchor="page79">
              <w:r>
                <w:rPr>
                  <w:rFonts w:ascii="Arial" w:cs="Arial" w:eastAsia="Arial" w:hAnsi="Arial"/>
                  <w:sz w:val="15"/>
                  <w:szCs w:val="15"/>
                  <w:u w:val="single" w:color="auto"/>
                  <w:color w:val="0563C1"/>
                </w:rPr>
                <w:t>Controls and Procedures</w:t>
              </w:r>
            </w:hyperlink>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shd w:val="clear" w:color="auto" w:fill="CCEEFF"/>
          </w:tcPr>
          <w:p>
            <w:pPr>
              <w:ind w:left="120"/>
              <w:spacing w:after="0" w:line="161" w:lineRule="exact"/>
              <w:rPr>
                <w:sz w:val="20"/>
                <w:szCs w:val="20"/>
                <w:color w:val="auto"/>
              </w:rPr>
            </w:pPr>
            <w:r>
              <w:rPr>
                <w:rFonts w:ascii="Arial" w:cs="Arial" w:eastAsia="Arial" w:hAnsi="Arial"/>
                <w:sz w:val="15"/>
                <w:szCs w:val="15"/>
                <w:color w:val="auto"/>
              </w:rPr>
              <w:t>Item 9B.</w:t>
            </w:r>
          </w:p>
        </w:tc>
        <w:tc>
          <w:tcPr>
            <w:tcW w:w="9680" w:type="dxa"/>
            <w:vAlign w:val="bottom"/>
            <w:shd w:val="clear" w:color="auto" w:fill="CCEEFF"/>
          </w:tcPr>
          <w:p>
            <w:pPr>
              <w:ind w:left="260"/>
              <w:spacing w:after="0" w:line="161" w:lineRule="exact"/>
              <w:rPr>
                <w:rFonts w:ascii="Arial" w:cs="Arial" w:eastAsia="Arial" w:hAnsi="Arial"/>
                <w:sz w:val="15"/>
                <w:szCs w:val="15"/>
                <w:u w:val="single" w:color="auto"/>
                <w:color w:val="0563C1"/>
              </w:rPr>
            </w:pPr>
            <w:hyperlink w:anchor="page79">
              <w:r>
                <w:rPr>
                  <w:rFonts w:ascii="Arial" w:cs="Arial" w:eastAsia="Arial" w:hAnsi="Arial"/>
                  <w:sz w:val="15"/>
                  <w:szCs w:val="15"/>
                  <w:u w:val="single" w:color="auto"/>
                  <w:color w:val="0563C1"/>
                </w:rPr>
                <w:t>Other Information</w:t>
              </w:r>
            </w:hyperlink>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4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94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PART III</w:t>
            </w:r>
          </w:p>
        </w:tc>
        <w:tc>
          <w:tcPr>
            <w:tcW w:w="96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ind w:left="120"/>
              <w:spacing w:after="0" w:line="161" w:lineRule="exact"/>
              <w:rPr>
                <w:sz w:val="20"/>
                <w:szCs w:val="20"/>
                <w:color w:val="auto"/>
              </w:rPr>
            </w:pPr>
            <w:r>
              <w:rPr>
                <w:rFonts w:ascii="Arial" w:cs="Arial" w:eastAsia="Arial" w:hAnsi="Arial"/>
                <w:sz w:val="15"/>
                <w:szCs w:val="15"/>
                <w:color w:val="auto"/>
              </w:rPr>
              <w:t>Item 10.</w:t>
            </w:r>
          </w:p>
        </w:tc>
        <w:tc>
          <w:tcPr>
            <w:tcW w:w="9680" w:type="dxa"/>
            <w:vAlign w:val="bottom"/>
          </w:tcPr>
          <w:p>
            <w:pPr>
              <w:ind w:left="260"/>
              <w:spacing w:after="0" w:line="161" w:lineRule="exact"/>
              <w:rPr>
                <w:rFonts w:ascii="Arial" w:cs="Arial" w:eastAsia="Arial" w:hAnsi="Arial"/>
                <w:sz w:val="15"/>
                <w:szCs w:val="15"/>
                <w:u w:val="single" w:color="auto"/>
                <w:color w:val="0563C1"/>
              </w:rPr>
            </w:pPr>
            <w:hyperlink w:anchor="page80">
              <w:r>
                <w:rPr>
                  <w:rFonts w:ascii="Arial" w:cs="Arial" w:eastAsia="Arial" w:hAnsi="Arial"/>
                  <w:sz w:val="15"/>
                  <w:szCs w:val="15"/>
                  <w:u w:val="single" w:color="auto"/>
                  <w:color w:val="0563C1"/>
                </w:rPr>
                <w:t>Directors, Executive Officers and Corporate Governance</w:t>
              </w:r>
            </w:hyperlink>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shd w:val="clear" w:color="auto" w:fill="CCEEFF"/>
          </w:tcPr>
          <w:p>
            <w:pPr>
              <w:ind w:left="120"/>
              <w:spacing w:after="0" w:line="161" w:lineRule="exact"/>
              <w:rPr>
                <w:sz w:val="20"/>
                <w:szCs w:val="20"/>
                <w:color w:val="auto"/>
              </w:rPr>
            </w:pPr>
            <w:r>
              <w:rPr>
                <w:rFonts w:ascii="Arial" w:cs="Arial" w:eastAsia="Arial" w:hAnsi="Arial"/>
                <w:sz w:val="15"/>
                <w:szCs w:val="15"/>
                <w:color w:val="auto"/>
              </w:rPr>
              <w:t>Item 11.</w:t>
            </w:r>
          </w:p>
        </w:tc>
        <w:tc>
          <w:tcPr>
            <w:tcW w:w="9680" w:type="dxa"/>
            <w:vAlign w:val="bottom"/>
            <w:shd w:val="clear" w:color="auto" w:fill="CCEEFF"/>
          </w:tcPr>
          <w:p>
            <w:pPr>
              <w:ind w:left="260"/>
              <w:spacing w:after="0" w:line="161" w:lineRule="exact"/>
              <w:rPr>
                <w:rFonts w:ascii="Arial" w:cs="Arial" w:eastAsia="Arial" w:hAnsi="Arial"/>
                <w:sz w:val="15"/>
                <w:szCs w:val="15"/>
                <w:u w:val="single" w:color="auto"/>
                <w:color w:val="0563C1"/>
              </w:rPr>
            </w:pPr>
            <w:hyperlink w:anchor="page80">
              <w:r>
                <w:rPr>
                  <w:rFonts w:ascii="Arial" w:cs="Arial" w:eastAsia="Arial" w:hAnsi="Arial"/>
                  <w:sz w:val="15"/>
                  <w:szCs w:val="15"/>
                  <w:u w:val="single" w:color="auto"/>
                  <w:color w:val="0563C1"/>
                </w:rPr>
                <w:t>Executive Compensation</w:t>
              </w:r>
            </w:hyperlink>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ind w:left="120"/>
              <w:spacing w:after="0" w:line="161" w:lineRule="exact"/>
              <w:rPr>
                <w:sz w:val="20"/>
                <w:szCs w:val="20"/>
                <w:color w:val="auto"/>
              </w:rPr>
            </w:pPr>
            <w:r>
              <w:rPr>
                <w:rFonts w:ascii="Arial" w:cs="Arial" w:eastAsia="Arial" w:hAnsi="Arial"/>
                <w:sz w:val="15"/>
                <w:szCs w:val="15"/>
                <w:color w:val="auto"/>
              </w:rPr>
              <w:t>Item 12.</w:t>
            </w:r>
          </w:p>
        </w:tc>
        <w:tc>
          <w:tcPr>
            <w:tcW w:w="9680" w:type="dxa"/>
            <w:vAlign w:val="bottom"/>
          </w:tcPr>
          <w:p>
            <w:pPr>
              <w:ind w:left="260"/>
              <w:spacing w:after="0" w:line="161" w:lineRule="exact"/>
              <w:rPr>
                <w:rFonts w:ascii="Arial" w:cs="Arial" w:eastAsia="Arial" w:hAnsi="Arial"/>
                <w:sz w:val="15"/>
                <w:szCs w:val="15"/>
                <w:u w:val="single" w:color="auto"/>
                <w:color w:val="0563C1"/>
              </w:rPr>
            </w:pPr>
            <w:hyperlink w:anchor="page80">
              <w:r>
                <w:rPr>
                  <w:rFonts w:ascii="Arial" w:cs="Arial" w:eastAsia="Arial" w:hAnsi="Arial"/>
                  <w:sz w:val="15"/>
                  <w:szCs w:val="15"/>
                  <w:u w:val="single" w:color="auto"/>
                  <w:color w:val="0563C1"/>
                </w:rPr>
                <w:t>Security Ownership of Certain Beneficial Owners and Management and Related Stockholder Matters</w:t>
              </w:r>
            </w:hyperlink>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shd w:val="clear" w:color="auto" w:fill="CCEEFF"/>
          </w:tcPr>
          <w:p>
            <w:pPr>
              <w:ind w:left="120"/>
              <w:spacing w:after="0" w:line="161" w:lineRule="exact"/>
              <w:rPr>
                <w:sz w:val="20"/>
                <w:szCs w:val="20"/>
                <w:color w:val="auto"/>
              </w:rPr>
            </w:pPr>
            <w:r>
              <w:rPr>
                <w:rFonts w:ascii="Arial" w:cs="Arial" w:eastAsia="Arial" w:hAnsi="Arial"/>
                <w:sz w:val="15"/>
                <w:szCs w:val="15"/>
                <w:color w:val="auto"/>
              </w:rPr>
              <w:t>Item 13.</w:t>
            </w:r>
          </w:p>
        </w:tc>
        <w:tc>
          <w:tcPr>
            <w:tcW w:w="9680" w:type="dxa"/>
            <w:vAlign w:val="bottom"/>
            <w:shd w:val="clear" w:color="auto" w:fill="CCEEFF"/>
          </w:tcPr>
          <w:p>
            <w:pPr>
              <w:ind w:left="260"/>
              <w:spacing w:after="0" w:line="161" w:lineRule="exact"/>
              <w:rPr>
                <w:rFonts w:ascii="Arial" w:cs="Arial" w:eastAsia="Arial" w:hAnsi="Arial"/>
                <w:sz w:val="15"/>
                <w:szCs w:val="15"/>
                <w:u w:val="single" w:color="auto"/>
                <w:color w:val="0563C1"/>
              </w:rPr>
            </w:pPr>
            <w:hyperlink w:anchor="page80">
              <w:r>
                <w:rPr>
                  <w:rFonts w:ascii="Arial" w:cs="Arial" w:eastAsia="Arial" w:hAnsi="Arial"/>
                  <w:sz w:val="15"/>
                  <w:szCs w:val="15"/>
                  <w:u w:val="single" w:color="auto"/>
                  <w:color w:val="0563C1"/>
                </w:rPr>
                <w:t>Certain Relationships and Related Transactions, and Director Independence</w:t>
              </w:r>
            </w:hyperlink>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ind w:left="120"/>
              <w:spacing w:after="0" w:line="161" w:lineRule="exact"/>
              <w:rPr>
                <w:sz w:val="20"/>
                <w:szCs w:val="20"/>
                <w:color w:val="auto"/>
              </w:rPr>
            </w:pPr>
            <w:r>
              <w:rPr>
                <w:rFonts w:ascii="Arial" w:cs="Arial" w:eastAsia="Arial" w:hAnsi="Arial"/>
                <w:sz w:val="15"/>
                <w:szCs w:val="15"/>
                <w:color w:val="auto"/>
              </w:rPr>
              <w:t>Item 14.</w:t>
            </w:r>
          </w:p>
        </w:tc>
        <w:tc>
          <w:tcPr>
            <w:tcW w:w="9680" w:type="dxa"/>
            <w:vAlign w:val="bottom"/>
          </w:tcPr>
          <w:p>
            <w:pPr>
              <w:ind w:left="260"/>
              <w:spacing w:after="0" w:line="161" w:lineRule="exact"/>
              <w:rPr>
                <w:rFonts w:ascii="Arial" w:cs="Arial" w:eastAsia="Arial" w:hAnsi="Arial"/>
                <w:sz w:val="15"/>
                <w:szCs w:val="15"/>
                <w:u w:val="single" w:color="auto"/>
                <w:color w:val="0563C1"/>
              </w:rPr>
            </w:pPr>
            <w:hyperlink w:anchor="page80">
              <w:r>
                <w:rPr>
                  <w:rFonts w:ascii="Arial" w:cs="Arial" w:eastAsia="Arial" w:hAnsi="Arial"/>
                  <w:sz w:val="15"/>
                  <w:szCs w:val="15"/>
                  <w:u w:val="single" w:color="auto"/>
                  <w:color w:val="0563C1"/>
                </w:rPr>
                <w:t>Principal Accounting Fees and Services</w:t>
              </w:r>
            </w:hyperlink>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6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940" w:type="dxa"/>
            <w:vAlign w:val="bottom"/>
          </w:tcPr>
          <w:p>
            <w:pPr>
              <w:spacing w:after="0" w:line="161" w:lineRule="exact"/>
              <w:rPr>
                <w:sz w:val="20"/>
                <w:szCs w:val="20"/>
                <w:color w:val="auto"/>
              </w:rPr>
            </w:pPr>
            <w:r>
              <w:rPr>
                <w:rFonts w:ascii="Arial" w:cs="Arial" w:eastAsia="Arial" w:hAnsi="Arial"/>
                <w:sz w:val="15"/>
                <w:szCs w:val="15"/>
                <w:color w:val="auto"/>
              </w:rPr>
              <w:t>PART IV</w:t>
            </w:r>
          </w:p>
        </w:tc>
        <w:tc>
          <w:tcPr>
            <w:tcW w:w="9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shd w:val="clear" w:color="auto" w:fill="CCEEFF"/>
          </w:tcPr>
          <w:p>
            <w:pPr>
              <w:ind w:left="120"/>
              <w:spacing w:after="0" w:line="161" w:lineRule="exact"/>
              <w:rPr>
                <w:sz w:val="20"/>
                <w:szCs w:val="20"/>
                <w:color w:val="auto"/>
              </w:rPr>
            </w:pPr>
            <w:r>
              <w:rPr>
                <w:rFonts w:ascii="Arial" w:cs="Arial" w:eastAsia="Arial" w:hAnsi="Arial"/>
                <w:sz w:val="15"/>
                <w:szCs w:val="15"/>
                <w:color w:val="auto"/>
              </w:rPr>
              <w:t>Item 15.</w:t>
            </w:r>
          </w:p>
        </w:tc>
        <w:tc>
          <w:tcPr>
            <w:tcW w:w="9680" w:type="dxa"/>
            <w:vAlign w:val="bottom"/>
            <w:shd w:val="clear" w:color="auto" w:fill="CCEEFF"/>
          </w:tcPr>
          <w:p>
            <w:pPr>
              <w:ind w:left="260"/>
              <w:spacing w:after="0" w:line="161" w:lineRule="exact"/>
              <w:rPr>
                <w:rFonts w:ascii="Arial" w:cs="Arial" w:eastAsia="Arial" w:hAnsi="Arial"/>
                <w:sz w:val="15"/>
                <w:szCs w:val="15"/>
                <w:u w:val="single" w:color="auto"/>
                <w:color w:val="0563C1"/>
              </w:rPr>
            </w:pPr>
            <w:hyperlink w:anchor="page81">
              <w:r>
                <w:rPr>
                  <w:rFonts w:ascii="Arial" w:cs="Arial" w:eastAsia="Arial" w:hAnsi="Arial"/>
                  <w:sz w:val="15"/>
                  <w:szCs w:val="15"/>
                  <w:u w:val="single" w:color="auto"/>
                  <w:color w:val="0563C1"/>
                </w:rPr>
                <w:t>Exhibits, Financial Statement Schedules</w:t>
              </w:r>
            </w:hyperlink>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ind w:left="120"/>
              <w:spacing w:after="0" w:line="161" w:lineRule="exact"/>
              <w:rPr>
                <w:sz w:val="20"/>
                <w:szCs w:val="20"/>
                <w:color w:val="auto"/>
              </w:rPr>
            </w:pPr>
            <w:r>
              <w:rPr>
                <w:rFonts w:ascii="Arial" w:cs="Arial" w:eastAsia="Arial" w:hAnsi="Arial"/>
                <w:sz w:val="15"/>
                <w:szCs w:val="15"/>
                <w:color w:val="auto"/>
              </w:rPr>
              <w:t>Item 16.</w:t>
            </w:r>
          </w:p>
        </w:tc>
        <w:tc>
          <w:tcPr>
            <w:tcW w:w="9680" w:type="dxa"/>
            <w:vAlign w:val="bottom"/>
          </w:tcPr>
          <w:p>
            <w:pPr>
              <w:ind w:left="260"/>
              <w:spacing w:after="0" w:line="161" w:lineRule="exact"/>
              <w:rPr>
                <w:rFonts w:ascii="Arial" w:cs="Arial" w:eastAsia="Arial" w:hAnsi="Arial"/>
                <w:sz w:val="15"/>
                <w:szCs w:val="15"/>
                <w:u w:val="single" w:color="auto"/>
                <w:color w:val="0563C1"/>
              </w:rPr>
            </w:pPr>
            <w:hyperlink w:anchor="page84">
              <w:r>
                <w:rPr>
                  <w:rFonts w:ascii="Arial" w:cs="Arial" w:eastAsia="Arial" w:hAnsi="Arial"/>
                  <w:sz w:val="15"/>
                  <w:szCs w:val="15"/>
                  <w:u w:val="single" w:color="auto"/>
                  <w:color w:val="0563C1"/>
                </w:rPr>
                <w:t>Form 10-K Summary</w:t>
              </w:r>
            </w:hyperlink>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rPr>
              <w:t>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6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40" w:type="dxa"/>
            <w:vAlign w:val="bottom"/>
          </w:tcPr>
          <w:p>
            <w:pPr>
              <w:spacing w:after="0"/>
              <w:rPr>
                <w:rFonts w:ascii="Arial" w:cs="Arial" w:eastAsia="Arial" w:hAnsi="Arial"/>
                <w:sz w:val="15"/>
                <w:szCs w:val="15"/>
                <w:u w:val="single" w:color="auto"/>
                <w:color w:val="0563C1"/>
              </w:rPr>
            </w:pPr>
            <w:hyperlink w:anchor="page84">
              <w:r>
                <w:rPr>
                  <w:rFonts w:ascii="Arial" w:cs="Arial" w:eastAsia="Arial" w:hAnsi="Arial"/>
                  <w:sz w:val="15"/>
                  <w:szCs w:val="15"/>
                  <w:u w:val="single" w:color="auto"/>
                  <w:color w:val="0563C1"/>
                </w:rPr>
                <w:t>Signatures</w:t>
              </w:r>
            </w:hyperlink>
          </w:p>
        </w:tc>
        <w:tc>
          <w:tcPr>
            <w:tcW w:w="9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8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80" w:type="dxa"/>
            <w:vAlign w:val="bottom"/>
          </w:tcPr>
          <w:p>
            <w:pPr>
              <w:ind w:left="4620"/>
              <w:spacing w:after="0"/>
              <w:rPr>
                <w:sz w:val="20"/>
                <w:szCs w:val="20"/>
                <w:color w:val="auto"/>
              </w:rPr>
            </w:pPr>
            <w:r>
              <w:rPr>
                <w:rFonts w:ascii="Arial" w:cs="Arial" w:eastAsia="Arial" w:hAnsi="Arial"/>
                <w:sz w:val="15"/>
                <w:szCs w:val="15"/>
                <w:color w:val="auto"/>
              </w:rPr>
              <w:t>2</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9680" w:type="dxa"/>
            <w:vAlign w:val="bottom"/>
            <w:tcBorders>
              <w:bottom w:val="single" w:sz="8" w:color="9A9A9A"/>
            </w:tcBorders>
          </w:tcPr>
          <w:p>
            <w:pPr>
              <w:spacing w:after="0"/>
              <w:rPr>
                <w:sz w:val="23"/>
                <w:szCs w:val="23"/>
                <w:color w:val="auto"/>
              </w:rPr>
            </w:pPr>
          </w:p>
        </w:tc>
        <w:tc>
          <w:tcPr>
            <w:tcW w:w="620" w:type="dxa"/>
            <w:vAlign w:val="bottom"/>
            <w:tcBorders>
              <w:bottom w:val="single" w:sz="8" w:color="9A9A9A"/>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-6985</wp:posOffset>
            </wp:positionV>
            <wp:extent cx="76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-13970</wp:posOffset>
            </wp:positionV>
            <wp:extent cx="762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 w:name="page3"/>
    <w:bookmarkEnd w:id="2"/>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SPECIAL NOTE ABOUT FORWARD-LOOKING STATEMENTS</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This Annual Report on Form 10-K, or Annual Report, contains certain “forward-looking statements” that involve substantial risks and uncertainties.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New risks and uncertainties emerge from time to time and it is not possible for us to predict all risks and uncertainties that could have an impact on the forward-looking statements contained in this Annual Report. These statements relate to future events or our future financial performance or condition and involve known and unknown risks, uncertainties and other factors that could cause our actual results, levels of activity, performance, or achievement to differ materially from those expressed or implied by these forward-looking statements.</w:t>
      </w:r>
    </w:p>
    <w:p>
      <w:pPr>
        <w:spacing w:after="0" w:line="124"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You should read this Annual Report and the documents that we reference elsewhere in this Annual Report completely and with the understanding that our actual results may differ materially from what we expect as expressed or implied by our forward-looking statements. We have based the forward-looking statements contained in this Annual Report primarily on our current expectations and projections about future events and trends that we believe may affect our business, financial condition, results of operations, and prospects.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In light of the significant risks and uncertainties to which our forward-looking statements are subject, you should not place undue reliance on or regard these statements as a representation or warranty by us or any other person that we will achieve our objectives and plans in any specified timeframe, or at all. We discuss many of these risks and uncertainties in greater detail in this Annual Report, particularly in Part I. Item 1A. “Risk Factors.” These forward-looking statements represent our estimates and assumptions only as of the date of this Annual Report regardless of the time of delivery of this Annual Report. Except as required by law, we undertake no obligation to update or revise publicly any forward-looking statements, whether as a result of new information, future events, or otherwise after the date of this Annual Report.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Business</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this Annual Report on Form 10-K, references to “Pulse,” “Pulse Biosciences,” “we,” “us,” “our,” and the “Company” refer to Pulse Biosciences, Inc. and its wholly owned subsidiaries, unless expressly indicated or the context otherwise requires. Pulse Biosciences, CellFX, CellFX CloudConnect, CellFX Marketplace, Nano-Pulse Stimulation, NPS, and the stylized logos are among the trademarks and/or registered trademarks of Pulse Biosciences, Inc. in the United States (U.S.) and other countries.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79" w:lineRule="exact"/>
        <w:rPr>
          <w:sz w:val="20"/>
          <w:szCs w:val="20"/>
          <w:color w:val="auto"/>
        </w:rPr>
      </w:pPr>
    </w:p>
    <w:p>
      <w:pPr>
        <w:jc w:val="both"/>
        <w:ind w:firstLine="376"/>
        <w:spacing w:after="0" w:line="208" w:lineRule="auto"/>
        <w:rPr>
          <w:sz w:val="20"/>
          <w:szCs w:val="20"/>
          <w:color w:val="auto"/>
        </w:rPr>
      </w:pPr>
      <w:r>
        <w:rPr>
          <w:rFonts w:ascii="Arial" w:cs="Arial" w:eastAsia="Arial" w:hAnsi="Arial"/>
          <w:sz w:val="15"/>
          <w:szCs w:val="15"/>
          <w:color w:val="auto"/>
        </w:rPr>
        <w:t>Pulse Biosciences, Inc. is a novel bioelectric medicine company committed to health innovation that has the potential to improve the lives of patients. The CellFX</w:t>
      </w:r>
      <w:r>
        <w:rPr>
          <w:rFonts w:ascii="Arial" w:cs="Arial" w:eastAsia="Arial" w:hAnsi="Arial"/>
          <w:sz w:val="25"/>
          <w:szCs w:val="25"/>
          <w:color w:val="auto"/>
          <w:vertAlign w:val="superscript"/>
        </w:rPr>
        <w:t>®</w:t>
      </w:r>
      <w:r>
        <w:rPr>
          <w:rFonts w:ascii="Arial" w:cs="Arial" w:eastAsia="Arial" w:hAnsi="Arial"/>
          <w:sz w:val="15"/>
          <w:szCs w:val="15"/>
          <w:color w:val="auto"/>
        </w:rPr>
        <w:t xml:space="preserve"> System (CellFX) is the first commercial product to harness the distinctive advantages of the Company’s proprietary Nano-Pulse Stimulation™ (NPS) technology, such as the ability to non-thermally clear cells while sparing non-cellular tissue, to treat a variety of applications for which an optimal solution remains unfulfilled.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CellFX</w:t>
      </w:r>
      <w:r>
        <w:rPr>
          <w:rFonts w:ascii="Arial" w:cs="Arial" w:eastAsia="Arial" w:hAnsi="Arial"/>
          <w:sz w:val="25"/>
          <w:szCs w:val="25"/>
          <w:b w:val="1"/>
          <w:bCs w:val="1"/>
          <w:color w:val="auto"/>
          <w:vertAlign w:val="superscript"/>
        </w:rPr>
        <w:t>®</w:t>
      </w:r>
      <w:r>
        <w:rPr>
          <w:rFonts w:ascii="Arial" w:cs="Arial" w:eastAsia="Arial" w:hAnsi="Arial"/>
          <w:sz w:val="15"/>
          <w:szCs w:val="15"/>
          <w:b w:val="1"/>
          <w:bCs w:val="1"/>
          <w:color w:val="auto"/>
        </w:rPr>
        <w:t xml:space="preserve"> System</w:t>
      </w:r>
    </w:p>
    <w:p>
      <w:pPr>
        <w:spacing w:after="0" w:line="72"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auto"/>
        </w:rPr>
        <w:t>We are in the early stages of commercializing our proprietary CellFX System into the large and growing aesthetic procedure market as our first commercial market. Powered by NPS technology, the CellFX System delivers nano second duration pulses of electrical energy to non-thermally clear targeted cells while sparing adjacent non-cellular tissue. This non-thermal specificity for cellular targets is a significant differentiator for the CellFX System compared to other energy devices used in dermatology and other medical specialties. The Company has validated the cell-specific effects of NPS technology with a series of completed and ongoing clinical studies of cellular lesions, which are skin conditions characterized by abnormal or undesired cellular structures located on, or in, the non-cellular dermal collagen.</w:t>
      </w:r>
    </w:p>
    <w:p>
      <w:pPr>
        <w:spacing w:after="0" w:line="131"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In February 2021, we received 510(k) clearance from the U.S. Food and Drug Administration (FDA) for the CellFX System with initial clearance for a general dermatologic indication. Having obtained FDA clearance, we commenced a controlled launch in the U.S. with key opinion leaders (KOLs) in dermatology.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 w:name="page4"/>
    <w:bookmarkEnd w:id="3"/>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In addition, in January 2021, we received Conformité Européene (CE) marking approval for the CellFX System, which allows us to market the system in the European Union (EU). With CE mark approval, we initiated a controlled launch to medical practices within the EU for the treatment of general dermatologic conditions, including Sebaceous Hyperplasia (SH), Seborrheic Keratosis (SK), and cutaneous non-genital warts.</w:t>
      </w:r>
    </w:p>
    <w:p>
      <w:pPr>
        <w:spacing w:after="0" w:line="128"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The CellFX System is a tunable, software-enabled, console-based platform, and is designed to accommodate the clinical workflow preferred by dermatologists. The CellFX System currently includes a multi-use handpiece and an initial suite of five single use dermatology treatment tips. The CellFX treatment tips enable treatment of a variety of lesion sizes, from 1.5mm to 10mm square, and wirelessly connect to our CellFX System when they are plugged into the handpiece. This allows for the use of automated treatment settings based on the treatment tip being utilized.</w:t>
      </w:r>
    </w:p>
    <w:p>
      <w:pPr>
        <w:spacing w:after="0" w:line="129"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The CellFX System and its component parts are engineered for volume manufacturing and the use of outsourced contract manufacturing partners to ensure our ability to meet anticipated demand while effectively managing underlying system costs that support a profitable sale of the CellFX System at competitive price points.</w:t>
      </w:r>
    </w:p>
    <w:p>
      <w:pPr>
        <w:spacing w:after="0" w:line="118" w:lineRule="exact"/>
        <w:rPr>
          <w:sz w:val="20"/>
          <w:szCs w:val="20"/>
          <w:color w:val="auto"/>
        </w:rPr>
      </w:pPr>
    </w:p>
    <w:p>
      <w:pPr>
        <w:jc w:val="both"/>
        <w:ind w:firstLine="376"/>
        <w:spacing w:after="0" w:line="230" w:lineRule="auto"/>
        <w:rPr>
          <w:sz w:val="20"/>
          <w:szCs w:val="20"/>
          <w:color w:val="auto"/>
        </w:rPr>
      </w:pPr>
      <w:r>
        <w:rPr>
          <w:rFonts w:ascii="Arial" w:cs="Arial" w:eastAsia="Arial" w:hAnsi="Arial"/>
          <w:sz w:val="15"/>
          <w:szCs w:val="15"/>
          <w:color w:val="auto"/>
        </w:rPr>
        <w:t>We have also designed an integrated cloud software infrastructure called CellFX CloudConnect™ to enable our innovative utilization-based business model that aligns the interests of patients, practices, and the Company. We believe physicians are receptive to our model (which contrasts with the currently-employed disposable and single-use-based medical device models) because our model charges physicians fixed costs per lesion and physicians can in turn charge patients on a per lesion basis, which we believe is also aligned with the patient’s preference. CellFX CloudConnect makes possible the wireless connectivity between the physician’s CellFX System, our e-commerce customer portal (CellFX Marketplace), practice management tools to track utilization data and other metrics, and our internal customer relationship management and enterprise resource planning software systems. CellFX CloudConnect also facilitates direct connectivity to the CellFX System for us to remotely perform software upgrades, as well as provide several service and maintenance functions in real-time. Because of this ability to streamline, be responsive, and reduce disruption to the clinician workflow, CellFX CloudConnect allows us to provide unprecedented support and enable practice growth for our customers.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Proprietary Nano-Pulse Stimulation Technology Platform</w:t>
      </w:r>
    </w:p>
    <w:p>
      <w:pPr>
        <w:spacing w:after="0" w:line="154"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Our proprietary CellFX System leverages our patented NPS technology platform. NPS technology is characterized by ultrafast electrical energy pulses, with pulse durations from billionths up to a millionth of a second. When applied to targeted tissue, our NPS technology is designed to send energy pulses to cells in order to alter the function of the internal cellular organelles, including the mitochondria and endoplasmic reticulum, without disrupting extracellular tissue. We believe this leads to regulated cell death, a process exhibited by cells in the human body when they undergo stress and are unable to restore cellular homeostasis.</w:t>
      </w:r>
    </w:p>
    <w:p>
      <w:pPr>
        <w:spacing w:after="0" w:line="129"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Our CellFX System is designed to function on the basis of a unique non-thermal mechanism of action that likely results in a biophysical disruption brought about by the tunable speed and amplitude of our NPS pulses interacting with the physical structure of cells. While our CellFX System delivers pulses that directly affect the internal organelles of cells, these pulses should not have significant functional effect on non-cellular tissue, such as collagen, a protein that forms the structural foundation of the skin. In short, with our proprietary CellFX System, we can deliver a cell-focused effect that we believe leads to regulated cell death while preserving surrounding non-cellular tissue, a combination that may potentially lead to highly differentiated treatment applications. Additionally, in the case of cancer, this regulated cell death process may result in immunogenic cell death that stimulates the immune system to mount a systemic immune response against antigens, or markers, in those cancer cells.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4" w:name="page5"/>
    <w:bookmarkEnd w:id="4"/>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Strategy</w:t>
      </w:r>
    </w:p>
    <w:p>
      <w:pPr>
        <w:spacing w:after="0" w:line="154" w:lineRule="exact"/>
        <w:rPr>
          <w:sz w:val="20"/>
          <w:szCs w:val="20"/>
          <w:color w:val="auto"/>
        </w:rPr>
      </w:pPr>
    </w:p>
    <w:p>
      <w:pPr>
        <w:ind w:firstLine="376"/>
        <w:spacing w:after="0" w:line="291" w:lineRule="auto"/>
        <w:rPr>
          <w:sz w:val="20"/>
          <w:szCs w:val="20"/>
          <w:color w:val="auto"/>
        </w:rPr>
      </w:pPr>
      <w:r>
        <w:rPr>
          <w:rFonts w:ascii="Arial" w:cs="Arial" w:eastAsia="Arial" w:hAnsi="Arial"/>
          <w:sz w:val="14"/>
          <w:szCs w:val="14"/>
          <w:color w:val="auto"/>
        </w:rPr>
        <w:t>Our objective is to advance our NPS technology platform into medical specialty areas where an optimal solution remains unfulfilled. We intend to commercialize novel, proprietary, and differentiated products that have the potential to significantly improve patient outcomes in the markets we intend to serve. To achieve this plan, we intend to:</w:t>
      </w:r>
    </w:p>
    <w:p>
      <w:pPr>
        <w:spacing w:after="0" w:line="90"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Demonstrate the unique benefits of our proprietary CellFX System and its unique non-thermal mechanism of action across a number of compelling applications.</w:t>
      </w:r>
    </w:p>
    <w:p>
      <w:pPr>
        <w:spacing w:after="0" w:line="16" w:lineRule="exact"/>
        <w:rPr>
          <w:sz w:val="20"/>
          <w:szCs w:val="20"/>
          <w:color w:val="auto"/>
        </w:rPr>
      </w:pPr>
    </w:p>
    <w:p>
      <w:pPr>
        <w:jc w:val="both"/>
        <w:ind w:left="1100" w:hanging="278"/>
        <w:spacing w:after="0" w:line="231" w:lineRule="auto"/>
        <w:tabs>
          <w:tab w:leader="none" w:pos="1100" w:val="left"/>
        </w:tabs>
        <w:numPr>
          <w:ilvl w:val="0"/>
          <w:numId w:val="3"/>
        </w:numPr>
        <w:rPr>
          <w:rFonts w:ascii="Courier New" w:cs="Courier New" w:eastAsia="Courier New" w:hAnsi="Courier New"/>
          <w:sz w:val="15"/>
          <w:szCs w:val="15"/>
          <w:color w:val="auto"/>
        </w:rPr>
      </w:pPr>
      <w:r>
        <w:rPr>
          <w:rFonts w:ascii="Arial" w:cs="Arial" w:eastAsia="Arial" w:hAnsi="Arial"/>
          <w:sz w:val="15"/>
          <w:szCs w:val="15"/>
          <w:color w:val="auto"/>
        </w:rPr>
        <w:t>The first introduction of the CellFX System focuses on serving dermatologists and other skin specialists as a new modality to address common, difficult-to-treat skin conditions that are cellular in nature. We have conducted and will continue to conduct numerous clinical studies, including studies in SK, the most common benign raised pigmented lesion, SH, a common but difficult-to-treat facial lesion, cutaneous non-genital warts, Basal Cell Carcinoma, the most common form of skin cancer, and acne.</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Commercialize our proprietary CellFX System and applications for its use across clinical indications cleared or approved in the U.S., EU, and Canada.</w:t>
      </w:r>
    </w:p>
    <w:p>
      <w:pPr>
        <w:spacing w:after="0" w:line="5" w:lineRule="exact"/>
        <w:rPr>
          <w:sz w:val="20"/>
          <w:szCs w:val="20"/>
          <w:color w:val="auto"/>
        </w:rPr>
      </w:pPr>
    </w:p>
    <w:p>
      <w:pPr>
        <w:ind w:left="1100" w:right="20" w:hanging="278"/>
        <w:spacing w:after="0" w:line="223" w:lineRule="auto"/>
        <w:tabs>
          <w:tab w:leader="none" w:pos="1100" w:val="left"/>
        </w:tabs>
        <w:numPr>
          <w:ilvl w:val="0"/>
          <w:numId w:val="4"/>
        </w:numPr>
        <w:rPr>
          <w:rFonts w:ascii="Courier New" w:cs="Courier New" w:eastAsia="Courier New" w:hAnsi="Courier New"/>
          <w:sz w:val="15"/>
          <w:szCs w:val="15"/>
          <w:color w:val="auto"/>
        </w:rPr>
      </w:pPr>
      <w:r>
        <w:rPr>
          <w:rFonts w:ascii="Arial" w:cs="Arial" w:eastAsia="Arial" w:hAnsi="Arial"/>
          <w:sz w:val="15"/>
          <w:szCs w:val="15"/>
          <w:color w:val="auto"/>
        </w:rPr>
        <w:t>In February 2021, we received 510(k) clearance from the U.S. Food and Drug Administration for the CellFX System with initial clearance for a general dermatologic indication.</w:t>
      </w:r>
    </w:p>
    <w:p>
      <w:pPr>
        <w:spacing w:after="0" w:line="1" w:lineRule="exact"/>
        <w:rPr>
          <w:rFonts w:ascii="Courier New" w:cs="Courier New" w:eastAsia="Courier New" w:hAnsi="Courier New"/>
          <w:sz w:val="15"/>
          <w:szCs w:val="15"/>
          <w:color w:val="auto"/>
        </w:rPr>
      </w:pPr>
    </w:p>
    <w:p>
      <w:pPr>
        <w:ind w:left="1100" w:right="20" w:hanging="278"/>
        <w:spacing w:after="0" w:line="223" w:lineRule="auto"/>
        <w:tabs>
          <w:tab w:leader="none" w:pos="1100" w:val="left"/>
        </w:tabs>
        <w:numPr>
          <w:ilvl w:val="0"/>
          <w:numId w:val="4"/>
        </w:numPr>
        <w:rPr>
          <w:rFonts w:ascii="Courier New" w:cs="Courier New" w:eastAsia="Courier New" w:hAnsi="Courier New"/>
          <w:sz w:val="15"/>
          <w:szCs w:val="15"/>
          <w:color w:val="auto"/>
        </w:rPr>
      </w:pPr>
      <w:r>
        <w:rPr>
          <w:rFonts w:ascii="Arial" w:cs="Arial" w:eastAsia="Arial" w:hAnsi="Arial"/>
          <w:sz w:val="15"/>
          <w:szCs w:val="15"/>
          <w:color w:val="auto"/>
        </w:rPr>
        <w:t>In January 2021, we completed all treatments in an investigational device exemption (IDE) pivotal comparison study to evaluate the treatment of SH using the CellFX System, with the planned specific indication 510(k) submission as early as the end of the first quarter of 2021.</w:t>
      </w:r>
    </w:p>
    <w:p>
      <w:pPr>
        <w:spacing w:after="0" w:line="1" w:lineRule="exact"/>
        <w:rPr>
          <w:rFonts w:ascii="Courier New" w:cs="Courier New" w:eastAsia="Courier New" w:hAnsi="Courier New"/>
          <w:sz w:val="15"/>
          <w:szCs w:val="15"/>
          <w:color w:val="auto"/>
        </w:rPr>
      </w:pPr>
    </w:p>
    <w:p>
      <w:pPr>
        <w:ind w:left="1100" w:hanging="278"/>
        <w:spacing w:after="0" w:line="223" w:lineRule="auto"/>
        <w:tabs>
          <w:tab w:leader="none" w:pos="1100" w:val="left"/>
        </w:tabs>
        <w:numPr>
          <w:ilvl w:val="0"/>
          <w:numId w:val="4"/>
        </w:numPr>
        <w:rPr>
          <w:rFonts w:ascii="Courier New" w:cs="Courier New" w:eastAsia="Courier New" w:hAnsi="Courier New"/>
          <w:sz w:val="15"/>
          <w:szCs w:val="15"/>
          <w:color w:val="auto"/>
        </w:rPr>
      </w:pPr>
      <w:r>
        <w:rPr>
          <w:rFonts w:ascii="Arial" w:cs="Arial" w:eastAsia="Arial" w:hAnsi="Arial"/>
          <w:sz w:val="15"/>
          <w:szCs w:val="15"/>
          <w:color w:val="auto"/>
        </w:rPr>
        <w:t>In January 2021, we received CE mark approval for the CellFX System and promptly initiated a controlled launch to medical practices within the EU for the treatment of general dermatologic conditions, including SH, SK, and cutaneous non-genital warts.</w:t>
      </w:r>
    </w:p>
    <w:p>
      <w:pPr>
        <w:spacing w:after="0" w:line="1" w:lineRule="exact"/>
        <w:rPr>
          <w:rFonts w:ascii="Courier New" w:cs="Courier New" w:eastAsia="Courier New" w:hAnsi="Courier New"/>
          <w:sz w:val="15"/>
          <w:szCs w:val="15"/>
          <w:color w:val="auto"/>
        </w:rPr>
      </w:pPr>
    </w:p>
    <w:p>
      <w:pPr>
        <w:ind w:left="1100" w:right="20" w:hanging="278"/>
        <w:spacing w:after="0" w:line="238" w:lineRule="auto"/>
        <w:tabs>
          <w:tab w:leader="none" w:pos="1100" w:val="left"/>
        </w:tabs>
        <w:numPr>
          <w:ilvl w:val="0"/>
          <w:numId w:val="4"/>
        </w:numPr>
        <w:rPr>
          <w:rFonts w:ascii="Courier New" w:cs="Courier New" w:eastAsia="Courier New" w:hAnsi="Courier New"/>
          <w:sz w:val="15"/>
          <w:szCs w:val="15"/>
          <w:color w:val="auto"/>
        </w:rPr>
      </w:pPr>
      <w:r>
        <w:rPr>
          <w:rFonts w:ascii="Arial" w:cs="Arial" w:eastAsia="Arial" w:hAnsi="Arial"/>
          <w:sz w:val="15"/>
          <w:szCs w:val="15"/>
          <w:color w:val="auto"/>
        </w:rPr>
        <w:t>In November 2020, we submitted a Medical Device License application to Health Canada for the CellFX System after receiving the Medical Device Single Audit Program (MDSAP) certificate.</w:t>
      </w:r>
    </w:p>
    <w:p>
      <w:pPr>
        <w:spacing w:after="0" w:line="124" w:lineRule="exact"/>
        <w:rPr>
          <w:sz w:val="20"/>
          <w:szCs w:val="20"/>
          <w:color w:val="auto"/>
        </w:rPr>
      </w:pPr>
    </w:p>
    <w:p>
      <w:pPr>
        <w:ind w:left="540" w:right="60"/>
        <w:spacing w:after="0" w:line="235" w:lineRule="auto"/>
        <w:rPr>
          <w:sz w:val="20"/>
          <w:szCs w:val="20"/>
          <w:color w:val="auto"/>
        </w:rPr>
      </w:pPr>
      <w:r>
        <w:rPr>
          <w:rFonts w:ascii="Arial" w:cs="Arial" w:eastAsia="Arial" w:hAnsi="Arial"/>
          <w:sz w:val="15"/>
          <w:szCs w:val="15"/>
          <w:b w:val="1"/>
          <w:bCs w:val="1"/>
          <w:color w:val="auto"/>
        </w:rPr>
        <w:t>Commence a controlled launch of the CellFX System among KOL physicians who specialize in high-end aesthetic procedures using devices, and build a foundation of clinical and commercial advocacy among this group to propel the first wave of early adopters</w:t>
      </w:r>
    </w:p>
    <w:p>
      <w:pPr>
        <w:spacing w:after="0" w:line="1" w:lineRule="exact"/>
        <w:rPr>
          <w:sz w:val="20"/>
          <w:szCs w:val="20"/>
          <w:color w:val="auto"/>
        </w:rPr>
      </w:pPr>
    </w:p>
    <w:p>
      <w:pPr>
        <w:ind w:left="1100" w:right="40" w:hanging="278"/>
        <w:spacing w:after="0" w:line="233" w:lineRule="auto"/>
        <w:tabs>
          <w:tab w:leader="none" w:pos="1100" w:val="left"/>
        </w:tabs>
        <w:numPr>
          <w:ilvl w:val="0"/>
          <w:numId w:val="5"/>
        </w:numPr>
        <w:rPr>
          <w:rFonts w:ascii="Courier New" w:cs="Courier New" w:eastAsia="Courier New" w:hAnsi="Courier New"/>
          <w:sz w:val="15"/>
          <w:szCs w:val="15"/>
          <w:color w:val="auto"/>
        </w:rPr>
      </w:pPr>
      <w:r>
        <w:rPr>
          <w:rFonts w:ascii="Arial" w:cs="Arial" w:eastAsia="Arial" w:hAnsi="Arial"/>
          <w:sz w:val="15"/>
          <w:szCs w:val="15"/>
          <w:color w:val="auto"/>
        </w:rPr>
        <w:t>These controlled launch physicians and their practices have been carefully selected based on their reputations among their peers for clinical excellence, as well as their known influence on acceptance of new technologies. We expect that the first wave of early adopters will look to our controlled launch participants for guidance on their own CellFX purchase decisions and advice on integrating CellFX into a successful aesthetic dermatology practice.</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Expand utilization of the CellFX System with new applications and procedure optimization</w:t>
      </w:r>
    </w:p>
    <w:p>
      <w:pPr>
        <w:spacing w:after="0" w:line="5" w:lineRule="exact"/>
        <w:rPr>
          <w:sz w:val="20"/>
          <w:szCs w:val="20"/>
          <w:color w:val="auto"/>
        </w:rPr>
      </w:pPr>
    </w:p>
    <w:p>
      <w:pPr>
        <w:jc w:val="both"/>
        <w:ind w:left="1100" w:hanging="278"/>
        <w:spacing w:after="0" w:line="224" w:lineRule="auto"/>
        <w:tabs>
          <w:tab w:leader="none" w:pos="1100" w:val="left"/>
        </w:tabs>
        <w:numPr>
          <w:ilvl w:val="0"/>
          <w:numId w:val="6"/>
        </w:numPr>
        <w:rPr>
          <w:rFonts w:ascii="Courier New" w:cs="Courier New" w:eastAsia="Courier New" w:hAnsi="Courier New"/>
          <w:sz w:val="15"/>
          <w:szCs w:val="15"/>
          <w:color w:val="auto"/>
        </w:rPr>
      </w:pPr>
      <w:r>
        <w:rPr>
          <w:rFonts w:ascii="Arial" w:cs="Arial" w:eastAsia="Arial" w:hAnsi="Arial"/>
          <w:sz w:val="15"/>
          <w:szCs w:val="15"/>
          <w:color w:val="auto"/>
        </w:rPr>
        <w:t>The sale of each CellFX System as capital equipment and the utilization of each system are revenue-generating events. The treatment of each lesion (referred to as a cycle) constitutes a revenue event for the Company, as well as for the physician-user of the CellFX System. Providing additional evidence and/or regulatory clearances for new clinical conditions is expected to increase the potential for physicians to increase their procedure volumes and associated procedure fees, which in turn increases the number of cycles, or revenue events, for the existing installed base and increase the likelihood that additional physicians will purchase a CellFX System based on its expanded utility and revenue-generating potential.</w:t>
      </w:r>
    </w:p>
    <w:p>
      <w:pPr>
        <w:spacing w:after="0" w:line="1" w:lineRule="exact"/>
        <w:rPr>
          <w:rFonts w:ascii="Courier New" w:cs="Courier New" w:eastAsia="Courier New" w:hAnsi="Courier New"/>
          <w:sz w:val="15"/>
          <w:szCs w:val="15"/>
          <w:color w:val="auto"/>
        </w:rPr>
      </w:pPr>
    </w:p>
    <w:p>
      <w:pPr>
        <w:jc w:val="both"/>
        <w:ind w:left="1100" w:hanging="278"/>
        <w:spacing w:after="0" w:line="231" w:lineRule="auto"/>
        <w:tabs>
          <w:tab w:leader="none" w:pos="1100" w:val="left"/>
        </w:tabs>
        <w:numPr>
          <w:ilvl w:val="0"/>
          <w:numId w:val="6"/>
        </w:numPr>
        <w:rPr>
          <w:rFonts w:ascii="Courier New" w:cs="Courier New" w:eastAsia="Courier New" w:hAnsi="Courier New"/>
          <w:sz w:val="15"/>
          <w:szCs w:val="15"/>
          <w:color w:val="auto"/>
        </w:rPr>
      </w:pPr>
      <w:r>
        <w:rPr>
          <w:rFonts w:ascii="Arial" w:cs="Arial" w:eastAsia="Arial" w:hAnsi="Arial"/>
          <w:sz w:val="15"/>
          <w:szCs w:val="15"/>
          <w:color w:val="auto"/>
        </w:rPr>
        <w:t>We expect to conduct clinical studies on an ongoing basis to continue to demonstrate the value of our CellFX System across a growing list of valuable applications, for which we intend to seek regulatory approval or clearance for each specific indication. Specific indication labeling allows the Company to provide educational and promotional materials to our physician customers to enable them to promote specific applications to their patients. Based on the local regulations of each geographic market, the Company may also engage in cooperative marketing and advertising, under appropriate circumstances.</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Leverage the CellFX branding of cellular mechanism to drive expansion in dermatology and set the stage for future applications beyond dermatology</w:t>
      </w:r>
    </w:p>
    <w:p>
      <w:pPr>
        <w:spacing w:after="0" w:line="5" w:lineRule="exact"/>
        <w:rPr>
          <w:sz w:val="20"/>
          <w:szCs w:val="20"/>
          <w:color w:val="auto"/>
        </w:rPr>
      </w:pPr>
    </w:p>
    <w:p>
      <w:pPr>
        <w:ind w:left="1100" w:right="20" w:hanging="278"/>
        <w:spacing w:after="0" w:line="312" w:lineRule="auto"/>
        <w:tabs>
          <w:tab w:leader="none" w:pos="1100" w:val="left"/>
        </w:tabs>
        <w:numPr>
          <w:ilvl w:val="0"/>
          <w:numId w:val="7"/>
        </w:numPr>
        <w:rPr>
          <w:rFonts w:ascii="Courier New" w:cs="Courier New" w:eastAsia="Courier New" w:hAnsi="Courier New"/>
          <w:sz w:val="13"/>
          <w:szCs w:val="13"/>
          <w:color w:val="auto"/>
        </w:rPr>
      </w:pPr>
      <w:r>
        <w:rPr>
          <w:rFonts w:ascii="Arial" w:cs="Arial" w:eastAsia="Arial" w:hAnsi="Arial"/>
          <w:sz w:val="13"/>
          <w:szCs w:val="13"/>
          <w:color w:val="auto"/>
        </w:rPr>
        <w:t>While we are prioritizing cash-pay applications in the immediate term, the Company intends to invest in continued research with non-melanoma skin cancer and other medical applications with long-term value to expand users and usage. This includes evaluating reimbursement strategies and options for selected applications.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 w:name="page6"/>
    <w:bookmarkEnd w:id="5"/>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ind w:left="1100" w:right="140" w:hanging="278"/>
        <w:spacing w:after="0" w:line="239" w:lineRule="auto"/>
        <w:tabs>
          <w:tab w:leader="none" w:pos="1100" w:val="left"/>
        </w:tabs>
        <w:numPr>
          <w:ilvl w:val="0"/>
          <w:numId w:val="8"/>
        </w:numPr>
        <w:rPr>
          <w:rFonts w:ascii="Courier New" w:cs="Courier New" w:eastAsia="Courier New" w:hAnsi="Courier New"/>
          <w:sz w:val="15"/>
          <w:szCs w:val="15"/>
          <w:color w:val="auto"/>
        </w:rPr>
      </w:pPr>
      <w:r>
        <w:rPr>
          <w:rFonts w:ascii="Arial" w:cs="Arial" w:eastAsia="Arial" w:hAnsi="Arial"/>
          <w:sz w:val="15"/>
          <w:szCs w:val="15"/>
          <w:color w:val="auto"/>
        </w:rPr>
        <w:t>The significant investments in scientific and clinical programs in dermatology we have made over the last several years have given us unique insights and a deeper understanding of our cell-based, tissue-sparing platform technology that will inform and accelerate the use of NPS in other application areas within and outside of dermatology. This includes early pre-clinical and clinical work in areas such as otolaryngology, cardiology, and oncology.</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Aesthetic Dermatology Procedure Market</w:t>
      </w:r>
    </w:p>
    <w:p>
      <w:pPr>
        <w:spacing w:after="0" w:line="154"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4"/>
          <w:szCs w:val="14"/>
          <w:color w:val="auto"/>
        </w:rPr>
        <w:t>We believe our CellFX System has high potential to offer improved clinical outcomes for a broad range of dermatologic conditions and aesthetic skin applications for which targeted clearance of cellular lesions or structures is medically or cosmetically desirable. Current dermatology procedures to remove lesions or undesired skin tissue typically involve either excision (e.g., surgery) or the use of heat (e.g., lasers or radiofrequency energy) or cold (e.g., cryoablation). The latter-mentioned thermal methods of tissue destruction affect both cellular and non-cellular tissue components indiscriminately, which can lead to collateral damage of the dermal foundation in the skin.</w:t>
      </w:r>
    </w:p>
    <w:p>
      <w:pPr>
        <w:spacing w:after="0" w:line="117"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Based on the ability of our NPS mechanism to clear cellular structures while sparing the structural foundation of the skin, we believe there is a significant opportunity for our CellFX System in the growing aesthetic and medical dermatology market. In the U.S., according to the 2019 Survey on Dermatologic Procedures by the American Society for Dermatologic Surgery (ASDS), dermatologists performed nearly 14 million cosmetic and medically-necessary procedures, with 4.1 million cosmetic procedures performed using energy-based devices – an 18% increase from 2018 and a 106% increase from 2012. ASDS has also reported that consumers ranked their dermatologist as the #1 influencer of skin procedure decisions. We have worked closely with top KOLs in the aesthetic and medical dermatology field to identify those procedures and skin conditions in which our CellFX System and its unique NPS mechanism of action would offer a high value proposition.</w:t>
      </w:r>
    </w:p>
    <w:p>
      <w:pPr>
        <w:spacing w:after="0" w:line="129"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Regarding prevalence of our intended initial dermatologic applications (SH, SK, and cutaneous non-genital warts), based on third-party surveys conducted among aesthetic physicians, an average of 200 patients per month in both the U.S. and the EU who visit aesthetic dermatology practices present with each of our initial dermatologic applications. Further, these surveys reported that patients place greater value on lesion removal procedures over other popular aesthetic procedures they currently receive and are willing to pay cash to treat multiple lesions in a single visit.</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Initial Aesthetic Dermatology Applications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Sebaceous Hyperplasia</w:t>
      </w:r>
    </w:p>
    <w:p>
      <w:pPr>
        <w:spacing w:after="0" w:line="150" w:lineRule="exact"/>
        <w:rPr>
          <w:sz w:val="20"/>
          <w:szCs w:val="20"/>
          <w:color w:val="auto"/>
        </w:rPr>
      </w:pPr>
    </w:p>
    <w:p>
      <w:pPr>
        <w:jc w:val="both"/>
        <w:ind w:firstLine="343"/>
        <w:spacing w:after="0" w:line="265" w:lineRule="auto"/>
        <w:rPr>
          <w:sz w:val="20"/>
          <w:szCs w:val="20"/>
          <w:color w:val="auto"/>
        </w:rPr>
      </w:pPr>
      <w:r>
        <w:rPr>
          <w:rFonts w:ascii="Arial" w:cs="Arial" w:eastAsia="Arial" w:hAnsi="Arial"/>
          <w:sz w:val="14"/>
          <w:szCs w:val="14"/>
          <w:color w:val="231F20"/>
        </w:rPr>
        <w:t>SH is a common, benign condition of sebaceous glands in adults of middle age or older. SH occurs when the sebaceous glands become enlarged, creating small, shiny, yellowish lesions or bumps, usually 2-4 millimeters in diameter and typically on the face. In a 2019 study conducted with U.S. dermatologists (n=304), physicians reported seeing on average 42 patients per week with SH, with 65% left untreated due to the lack of desirable outcomes with traditional treatment methods (e.g., electrocautery).</w:t>
      </w:r>
    </w:p>
    <w:p>
      <w:pPr>
        <w:spacing w:after="0" w:line="112" w:lineRule="exact"/>
        <w:rPr>
          <w:sz w:val="20"/>
          <w:szCs w:val="20"/>
          <w:color w:val="auto"/>
        </w:rPr>
      </w:pPr>
    </w:p>
    <w:p>
      <w:pPr>
        <w:jc w:val="both"/>
        <w:ind w:firstLine="343"/>
        <w:spacing w:after="0"/>
        <w:rPr>
          <w:sz w:val="20"/>
          <w:szCs w:val="20"/>
          <w:color w:val="auto"/>
        </w:rPr>
      </w:pPr>
      <w:r>
        <w:rPr>
          <w:rFonts w:ascii="Arial" w:cs="Arial" w:eastAsia="Arial" w:hAnsi="Arial"/>
          <w:sz w:val="15"/>
          <w:szCs w:val="15"/>
          <w:color w:val="231F20"/>
        </w:rPr>
        <w:t>Results from our research have demonstrated that NPS has a unique ability to clear cellular structures located within the dermis of the skin, such as enlarged sebaceous glands that cause SH, without damaging the dermal foundation, making it a potentially unique and highly effective treatment modality for SH lesions and similar targets residing deeper within the dermis of the skin.</w:t>
      </w:r>
    </w:p>
    <w:p>
      <w:pPr>
        <w:spacing w:after="0" w:line="128" w:lineRule="exact"/>
        <w:rPr>
          <w:sz w:val="20"/>
          <w:szCs w:val="20"/>
          <w:color w:val="auto"/>
        </w:rPr>
      </w:pPr>
    </w:p>
    <w:p>
      <w:pPr>
        <w:jc w:val="both"/>
        <w:ind w:right="20" w:firstLine="343"/>
        <w:spacing w:after="0" w:line="236" w:lineRule="auto"/>
        <w:rPr>
          <w:sz w:val="20"/>
          <w:szCs w:val="20"/>
          <w:color w:val="auto"/>
        </w:rPr>
      </w:pPr>
      <w:r>
        <w:rPr>
          <w:rFonts w:ascii="Arial" w:cs="Arial" w:eastAsia="Arial" w:hAnsi="Arial"/>
          <w:sz w:val="15"/>
          <w:szCs w:val="15"/>
          <w:color w:val="auto"/>
        </w:rPr>
        <w:t>In our multi-center clinical studies to date, we have treated more than 1,000 SH lesions in more than 260 patients. As studies are ongoing, results to date indicate that NPS technology is effective for the treatment of SH. Over 80% of treated SH lesions were rated clear or mostly clear by investigators at the 60-day post treatment follow-up evaluation. In our latest study in which we evaluated whether the use of lower energy settings would maintain efficacy, results demonstrated that lower NPS energy levels maintained high efficacy while improving overall cosmetic effects, as well as higher patient satisfaction, compared to our first studies.</w:t>
      </w:r>
    </w:p>
    <w:p>
      <w:pPr>
        <w:spacing w:after="0" w:line="129" w:lineRule="exact"/>
        <w:rPr>
          <w:sz w:val="20"/>
          <w:szCs w:val="20"/>
          <w:color w:val="auto"/>
        </w:rPr>
      </w:pPr>
    </w:p>
    <w:p>
      <w:pPr>
        <w:jc w:val="both"/>
        <w:ind w:firstLine="343"/>
        <w:spacing w:after="0" w:line="255" w:lineRule="auto"/>
        <w:rPr>
          <w:sz w:val="20"/>
          <w:szCs w:val="20"/>
          <w:color w:val="auto"/>
        </w:rPr>
      </w:pPr>
      <w:r>
        <w:rPr>
          <w:rFonts w:ascii="Arial" w:cs="Arial" w:eastAsia="Arial" w:hAnsi="Arial"/>
          <w:sz w:val="15"/>
          <w:szCs w:val="15"/>
          <w:color w:val="231F20"/>
        </w:rPr>
        <w:t>In January 2021, we completed all treatments in an IDE pivotal study to compare the safety and efficacy of the CellFX System to a comparator group, Electrodessication for the treatment of SH lesions, with the planned specific indication 510(k) submission as early as the end of the first quarter of 2021.</w:t>
      </w:r>
    </w:p>
    <w:p>
      <w:pPr>
        <w:spacing w:after="0" w:line="152" w:lineRule="exact"/>
        <w:rPr>
          <w:sz w:val="20"/>
          <w:szCs w:val="20"/>
          <w:color w:val="auto"/>
        </w:rPr>
      </w:pPr>
    </w:p>
    <w:p>
      <w:pPr>
        <w:jc w:val="both"/>
        <w:ind w:firstLine="343"/>
        <w:spacing w:after="0" w:line="255" w:lineRule="auto"/>
        <w:rPr>
          <w:sz w:val="20"/>
          <w:szCs w:val="20"/>
          <w:color w:val="auto"/>
        </w:rPr>
      </w:pPr>
      <w:r>
        <w:rPr>
          <w:rFonts w:ascii="Arial" w:cs="Arial" w:eastAsia="Arial" w:hAnsi="Arial"/>
          <w:sz w:val="15"/>
          <w:szCs w:val="15"/>
          <w:color w:val="231F20"/>
        </w:rPr>
        <w:t>We believe that the successful treatment of SH lesions reflects a valuable commercial opportunity for our CellFX System in an area of unmet need and substantiates the unique ability of NPS pulses to penetrate the dermis and clear deeper cellular structures without damaging the surrounding dermis.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6" w:name="page7"/>
    <w:bookmarkEnd w:id="6"/>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Seborrheic Keratosis</w:t>
      </w:r>
    </w:p>
    <w:p>
      <w:pPr>
        <w:spacing w:after="0" w:line="150" w:lineRule="exact"/>
        <w:rPr>
          <w:sz w:val="20"/>
          <w:szCs w:val="20"/>
          <w:color w:val="auto"/>
        </w:rPr>
      </w:pPr>
    </w:p>
    <w:p>
      <w:pPr>
        <w:jc w:val="both"/>
        <w:ind w:firstLine="343"/>
        <w:spacing w:after="0" w:line="236" w:lineRule="auto"/>
        <w:rPr>
          <w:sz w:val="20"/>
          <w:szCs w:val="20"/>
          <w:color w:val="auto"/>
        </w:rPr>
      </w:pPr>
      <w:r>
        <w:rPr>
          <w:rFonts w:ascii="Arial" w:cs="Arial" w:eastAsia="Arial" w:hAnsi="Arial"/>
          <w:sz w:val="15"/>
          <w:szCs w:val="15"/>
          <w:color w:val="231F20"/>
        </w:rPr>
        <w:t xml:space="preserve">SK is one of the most common non-cancerous skin growths in older adults. SK usually appear as a brown, black, or light tan growth on the face, chest, shoulders, or back and has a waxy, scaly, slightly elevated appearance. SK are normally painless, and patients often seek to have them removed if they become irritated by clothing or for cosmetic reasons. </w:t>
      </w:r>
      <w:r>
        <w:rPr>
          <w:rFonts w:ascii="Arial" w:cs="Arial" w:eastAsia="Arial" w:hAnsi="Arial"/>
          <w:sz w:val="15"/>
          <w:szCs w:val="15"/>
          <w:color w:val="000000"/>
        </w:rPr>
        <w:t>Based on 2019 research, dermatologists in the U.S. report seeing 84 patients with SK each week, with 52% left untreated despite having available treatment options (e.g., cryosurgery).</w:t>
      </w:r>
    </w:p>
    <w:p>
      <w:pPr>
        <w:spacing w:after="0" w:line="129" w:lineRule="exact"/>
        <w:rPr>
          <w:sz w:val="20"/>
          <w:szCs w:val="20"/>
          <w:color w:val="auto"/>
        </w:rPr>
      </w:pPr>
    </w:p>
    <w:p>
      <w:pPr>
        <w:jc w:val="both"/>
        <w:ind w:firstLine="343"/>
        <w:spacing w:after="0" w:line="265" w:lineRule="auto"/>
        <w:rPr>
          <w:sz w:val="20"/>
          <w:szCs w:val="20"/>
          <w:color w:val="auto"/>
        </w:rPr>
      </w:pPr>
      <w:r>
        <w:rPr>
          <w:rFonts w:ascii="Arial" w:cs="Arial" w:eastAsia="Arial" w:hAnsi="Arial"/>
          <w:sz w:val="14"/>
          <w:szCs w:val="14"/>
          <w:color w:val="231F20"/>
        </w:rPr>
        <w:t>During 2017 and 2018 we conducted a multi-center clinical study evaluating the safety and efficacy of NPS technology for the treatment of SK. Results from our clinical study, including 58 patients and 174 treated SK lesions, indicate that a single NPS treatment is effective for the treatment of SK. 82% of treated SK lesions were rated clear or mostly clear by investigators at the 106-day post treatment follow-up evaluation. Patients in the study rated 78% of treatment outcomes as satisfied or mostly satisfied.</w:t>
      </w:r>
    </w:p>
    <w:p>
      <w:pPr>
        <w:spacing w:after="0" w:line="112" w:lineRule="exact"/>
        <w:rPr>
          <w:sz w:val="20"/>
          <w:szCs w:val="20"/>
          <w:color w:val="auto"/>
        </w:rPr>
      </w:pPr>
    </w:p>
    <w:p>
      <w:pPr>
        <w:ind w:right="1920" w:firstLine="343"/>
        <w:spacing w:after="0" w:line="449" w:lineRule="auto"/>
        <w:rPr>
          <w:sz w:val="20"/>
          <w:szCs w:val="20"/>
          <w:color w:val="auto"/>
        </w:rPr>
      </w:pPr>
      <w:r>
        <w:rPr>
          <w:rFonts w:ascii="Arial" w:cs="Arial" w:eastAsia="Arial" w:hAnsi="Arial"/>
          <w:sz w:val="15"/>
          <w:szCs w:val="15"/>
          <w:color w:val="auto"/>
        </w:rPr>
        <w:t xml:space="preserve">We believe that the results of this clinical study provide support to pursue commercial opportunities for the CellFX System in the treatment of SK. </w:t>
      </w:r>
      <w:r>
        <w:rPr>
          <w:rFonts w:ascii="Arial" w:cs="Arial" w:eastAsia="Arial" w:hAnsi="Arial"/>
          <w:sz w:val="15"/>
          <w:szCs w:val="15"/>
          <w:b w:val="1"/>
          <w:bCs w:val="1"/>
          <w:i w:val="1"/>
          <w:iCs w:val="1"/>
          <w:color w:val="auto"/>
        </w:rPr>
        <w:t>Cutaneous, Non-Genital Warts</w:t>
      </w:r>
    </w:p>
    <w:p>
      <w:pPr>
        <w:jc w:val="both"/>
        <w:ind w:right="20" w:firstLine="343"/>
        <w:spacing w:after="0" w:line="236" w:lineRule="auto"/>
        <w:rPr>
          <w:sz w:val="20"/>
          <w:szCs w:val="20"/>
          <w:color w:val="auto"/>
        </w:rPr>
      </w:pPr>
      <w:r>
        <w:rPr>
          <w:rFonts w:ascii="Arial" w:cs="Arial" w:eastAsia="Arial" w:hAnsi="Arial"/>
          <w:sz w:val="15"/>
          <w:szCs w:val="15"/>
          <w:color w:val="auto"/>
        </w:rPr>
        <w:t>Non-genital warts are an extremely common, benign skin disease caused by infection of epidermal cells with the human papillomavirus (HPV), resulting in cell proliferation and a thickened, warty papule on the skin. Common warts are most often seen on the hands and present as skin-colored papules with a rough, scaly surface. Flat warts are most often seen on the backs of the hands and on the legs. They appear as slightly elevated, small plaques that are skin-colored or light brown. Plantar warts occur on the soles of the feet and look like very thick callouses.</w:t>
      </w:r>
    </w:p>
    <w:p>
      <w:pPr>
        <w:spacing w:after="0" w:line="129" w:lineRule="exact"/>
        <w:rPr>
          <w:sz w:val="20"/>
          <w:szCs w:val="20"/>
          <w:color w:val="auto"/>
        </w:rPr>
      </w:pPr>
    </w:p>
    <w:p>
      <w:pPr>
        <w:jc w:val="both"/>
        <w:ind w:firstLine="343"/>
        <w:spacing w:after="0" w:line="236" w:lineRule="auto"/>
        <w:rPr>
          <w:sz w:val="20"/>
          <w:szCs w:val="20"/>
          <w:color w:val="auto"/>
        </w:rPr>
      </w:pPr>
      <w:r>
        <w:rPr>
          <w:rFonts w:ascii="Arial" w:cs="Arial" w:eastAsia="Arial" w:hAnsi="Arial"/>
          <w:sz w:val="15"/>
          <w:szCs w:val="15"/>
          <w:color w:val="auto"/>
        </w:rPr>
        <w:t>During 2020 we initiated a 62-patient, multi-center clinical pivotal study evaluating the safety and efficacy of our CellFX System for the treatment of non-genital cutaneous warts. Results from this study showed favorable outcomes of 80% clearance rate for warts on the hands, leg, knee, and neck, with rapid skin recovery and a low rate of residual skin effects. We have now enrolled and treated the first patients in a pivotal comparison study with cryoablation to evaluate the treatment of cutaneous non-genital warts using the CellFX System.</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Future Dermatology Application Feasibility Studies</w:t>
      </w:r>
    </w:p>
    <w:p>
      <w:pPr>
        <w:spacing w:after="0" w:line="150" w:lineRule="exact"/>
        <w:rPr>
          <w:sz w:val="20"/>
          <w:szCs w:val="20"/>
          <w:color w:val="auto"/>
        </w:rPr>
      </w:pPr>
    </w:p>
    <w:p>
      <w:pPr>
        <w:jc w:val="both"/>
        <w:ind w:firstLine="343"/>
        <w:spacing w:after="0" w:line="255" w:lineRule="auto"/>
        <w:rPr>
          <w:sz w:val="20"/>
          <w:szCs w:val="20"/>
          <w:color w:val="auto"/>
        </w:rPr>
      </w:pPr>
      <w:r>
        <w:rPr>
          <w:rFonts w:ascii="Arial" w:cs="Arial" w:eastAsia="Arial" w:hAnsi="Arial"/>
          <w:sz w:val="15"/>
          <w:szCs w:val="15"/>
          <w:color w:val="auto"/>
        </w:rPr>
        <w:t>We expect to conduct clinical studies on an ongoing basis to continue to evaluate clinical opportunities for, and demonstrate the value of, our CellFX System across a growing list of valuable indications, including:</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Acne</w:t>
      </w:r>
    </w:p>
    <w:p>
      <w:pPr>
        <w:spacing w:after="0" w:line="150" w:lineRule="exact"/>
        <w:rPr>
          <w:sz w:val="20"/>
          <w:szCs w:val="20"/>
          <w:color w:val="auto"/>
        </w:rPr>
      </w:pPr>
    </w:p>
    <w:p>
      <w:pPr>
        <w:jc w:val="both"/>
        <w:ind w:right="20" w:firstLine="343"/>
        <w:spacing w:after="0" w:line="257" w:lineRule="auto"/>
        <w:rPr>
          <w:sz w:val="20"/>
          <w:szCs w:val="20"/>
          <w:color w:val="auto"/>
        </w:rPr>
      </w:pPr>
      <w:r>
        <w:rPr>
          <w:rFonts w:ascii="Arial" w:cs="Arial" w:eastAsia="Arial" w:hAnsi="Arial"/>
          <w:sz w:val="14"/>
          <w:szCs w:val="14"/>
          <w:color w:val="auto"/>
        </w:rPr>
        <w:t>During early 2019 we initiated a multi-center clinical feasibility study evaluating the safety and efficacy of our CellFX System for the treatment of acne on the back. Back acne is characterized by eruptions of pimples, pustules, blackheads, and/or cysts, often on the upper back, and is generally caused by the same factors that trigger facial acne, namely overactive sebaceous glands that lead to the proliferation of acne related bacteria. Our unique ability to target the sebaceous gland, as evidenced by the impressive results from our SH studies, led our dermatology advisory board to encourage us to pursue a feasibility study in acne, based on the role of the sebaceous glands in chronic acne eruptions.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Syringoma</w:t>
      </w:r>
    </w:p>
    <w:p>
      <w:pPr>
        <w:spacing w:after="0" w:line="150" w:lineRule="exact"/>
        <w:rPr>
          <w:sz w:val="20"/>
          <w:szCs w:val="20"/>
          <w:color w:val="auto"/>
        </w:rPr>
      </w:pPr>
    </w:p>
    <w:p>
      <w:pPr>
        <w:jc w:val="both"/>
        <w:ind w:firstLine="343"/>
        <w:spacing w:after="0" w:line="236" w:lineRule="auto"/>
        <w:rPr>
          <w:sz w:val="20"/>
          <w:szCs w:val="20"/>
          <w:color w:val="auto"/>
        </w:rPr>
      </w:pPr>
      <w:r>
        <w:rPr>
          <w:rFonts w:ascii="Arial" w:cs="Arial" w:eastAsia="Arial" w:hAnsi="Arial"/>
          <w:sz w:val="15"/>
          <w:szCs w:val="15"/>
          <w:color w:val="auto"/>
        </w:rPr>
        <w:t>These small, benign lesions are usually found on the eyelids and upper cheeks and appear as small yellowish or skin-colored bumps that grow to between 1 and 3 millimeters. Syringomas are growths resulting from overactive cells in the sweat glands, which reside in the mid-dermis. With the effectiveness of the CellFX System when targeting other mid-dermal cellular structures such as the sebaceous gland, and with affirmation from our dermatology advisory board, we initiated a clinical feasibility study during 2020 to evaluate the safety and efficacy of our CellFX System for treatment of syringoma outside the orbital rim.</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Nano-Pulse Stimulation-Initiated Immunogenic Cell Death</w:t>
      </w:r>
    </w:p>
    <w:p>
      <w:pPr>
        <w:spacing w:after="0" w:line="154" w:lineRule="exact"/>
        <w:rPr>
          <w:sz w:val="20"/>
          <w:szCs w:val="20"/>
          <w:color w:val="auto"/>
        </w:rPr>
      </w:pPr>
    </w:p>
    <w:p>
      <w:pPr>
        <w:jc w:val="both"/>
        <w:ind w:right="20" w:firstLine="343"/>
        <w:spacing w:after="0" w:line="255" w:lineRule="auto"/>
        <w:rPr>
          <w:sz w:val="20"/>
          <w:szCs w:val="20"/>
          <w:color w:val="auto"/>
        </w:rPr>
      </w:pPr>
      <w:r>
        <w:rPr>
          <w:rFonts w:ascii="Arial" w:cs="Arial" w:eastAsia="Arial" w:hAnsi="Arial"/>
          <w:sz w:val="15"/>
          <w:szCs w:val="15"/>
          <w:color w:val="auto"/>
        </w:rPr>
        <w:t>In previously published pre-clinical models of cancerous lesions, NPS treatment has been shown to induce immunogenic cell death, a process that leads to the exposure of the unique cancer cell antigens to the immune system, resulting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7" w:name="page8"/>
    <w:bookmarkEnd w:id="7"/>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ind w:right="20"/>
        <w:spacing w:after="0" w:line="265" w:lineRule="auto"/>
        <w:rPr>
          <w:sz w:val="20"/>
          <w:szCs w:val="20"/>
          <w:color w:val="auto"/>
        </w:rPr>
      </w:pPr>
      <w:r>
        <w:rPr>
          <w:rFonts w:ascii="Arial" w:cs="Arial" w:eastAsia="Arial" w:hAnsi="Arial"/>
          <w:sz w:val="14"/>
          <w:szCs w:val="14"/>
          <w:color w:val="auto"/>
        </w:rPr>
        <w:t>generation of cytotoxic T-cells and the mounting of an adaptive immune response targeted against those cells, without any observed toxic side effects. Based on this foundation of pre-clinical evidence, we believe NPS technology has the potential to play a role in immuno-oncology. Applications in immuno-oncology are a longer-term potential opportunity and may require the use of adjuvants or other agents in combination with NPS. We continue to evaluate NPS technology and our CellFX System in clinical and pre-clinical studies.</w:t>
      </w:r>
    </w:p>
    <w:p>
      <w:pPr>
        <w:spacing w:after="0" w:line="112" w:lineRule="exact"/>
        <w:rPr>
          <w:sz w:val="20"/>
          <w:szCs w:val="20"/>
          <w:color w:val="auto"/>
        </w:rPr>
      </w:pPr>
    </w:p>
    <w:p>
      <w:pPr>
        <w:jc w:val="both"/>
        <w:ind w:firstLine="343"/>
        <w:spacing w:after="0" w:line="233" w:lineRule="auto"/>
        <w:rPr>
          <w:sz w:val="20"/>
          <w:szCs w:val="20"/>
          <w:color w:val="auto"/>
        </w:rPr>
      </w:pPr>
      <w:r>
        <w:rPr>
          <w:rFonts w:ascii="Arial" w:cs="Arial" w:eastAsia="Arial" w:hAnsi="Arial"/>
          <w:sz w:val="15"/>
          <w:szCs w:val="15"/>
          <w:color w:val="231F20"/>
        </w:rPr>
        <w:t>During 2018 we commenced a clinical biomarker study to evaluate the CellFX System and NPS technology in Basal Cell Carcinoma (BCC), the most prevalent form of skin cancer. We believe BCC represents a bridge between our developments in dermatology and those in oncology. This is our first human study in cancer, and it will allow us to look at both the ability of the CellFX System and NPS pulses to treat BCC lesion cells and the immune response changes as a result of treatment. This is not a therapeutic endpoint study, but it is an important first step that enables us to move quickly to demonstrate safety and NPS technology effect in treating skin cancer while providing necessary information to inform decisions relative to next steps towards a follow-on study aimed at a therapeutic endpoint.</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Safety Profile of Our NPS Technology Platform</w:t>
      </w:r>
    </w:p>
    <w:p>
      <w:pPr>
        <w:spacing w:after="0" w:line="150"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During the course of conducting human clinical studies in dermatology with the NPS platform to support an FDA filing at leading dermatology research centers across the U.S., no serious adverse events have been reported and patient tolerance to the procedure has been very high. A histological study of treated human tissue examined by experts in dermatopathology revealed a unique and consistent cell-specific non-thermal mechanism of action and a predictable healing response that spared non-cellular dermal tissue across a wide range of skin types and patient demographics.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Commercialization Strategy</w:t>
      </w:r>
    </w:p>
    <w:p>
      <w:pPr>
        <w:spacing w:after="0" w:line="154" w:lineRule="exact"/>
        <w:rPr>
          <w:sz w:val="20"/>
          <w:szCs w:val="20"/>
          <w:color w:val="auto"/>
        </w:rPr>
      </w:pPr>
    </w:p>
    <w:p>
      <w:pPr>
        <w:jc w:val="both"/>
        <w:ind w:firstLine="420"/>
        <w:spacing w:after="0"/>
        <w:rPr>
          <w:sz w:val="20"/>
          <w:szCs w:val="20"/>
          <w:color w:val="auto"/>
        </w:rPr>
      </w:pPr>
      <w:r>
        <w:rPr>
          <w:rFonts w:ascii="Arial" w:cs="Arial" w:eastAsia="Arial" w:hAnsi="Arial"/>
          <w:sz w:val="15"/>
          <w:szCs w:val="15"/>
          <w:color w:val="auto"/>
        </w:rPr>
        <w:t>We have selected 75 centers across the U.S. and the EU to be the first physicians to launch the CellFX System and the associated CellFX commercial procedures into their respective markets and geographies. With FDA clearance and CE mark approval, in February 2021 we initiated controlled launch programs in the U.S. and the EU. The commercialization strategy for our CellFX System consists of the following:</w:t>
      </w:r>
    </w:p>
    <w:p>
      <w:pPr>
        <w:spacing w:after="0" w:line="128" w:lineRule="exact"/>
        <w:rPr>
          <w:sz w:val="20"/>
          <w:szCs w:val="20"/>
          <w:color w:val="auto"/>
        </w:rPr>
      </w:pPr>
    </w:p>
    <w:p>
      <w:pPr>
        <w:jc w:val="both"/>
        <w:ind w:left="540"/>
        <w:spacing w:after="0" w:line="291" w:lineRule="auto"/>
        <w:rPr>
          <w:sz w:val="20"/>
          <w:szCs w:val="20"/>
          <w:color w:val="auto"/>
        </w:rPr>
      </w:pPr>
      <w:r>
        <w:rPr>
          <w:rFonts w:ascii="Arial" w:cs="Arial" w:eastAsia="Arial" w:hAnsi="Arial"/>
          <w:sz w:val="14"/>
          <w:szCs w:val="14"/>
          <w:color w:val="auto"/>
        </w:rPr>
        <w:t>We will introduce the CellFX System, with its innovative mechanism of action to clear a broad range of cellular-based dermatologic conditions, to influential physicians who specialize in high-end aesthetic procedures to offer their aesthetically-oriented patients a potentially superior procedure to clear burdensome, hard-to-treat skin lesions.</w:t>
      </w:r>
    </w:p>
    <w:p>
      <w:pPr>
        <w:spacing w:after="0" w:line="94" w:lineRule="exact"/>
        <w:rPr>
          <w:sz w:val="20"/>
          <w:szCs w:val="20"/>
          <w:color w:val="auto"/>
        </w:rPr>
      </w:pPr>
    </w:p>
    <w:p>
      <w:pPr>
        <w:jc w:val="both"/>
        <w:ind w:left="540"/>
        <w:spacing w:after="0" w:line="255" w:lineRule="auto"/>
        <w:rPr>
          <w:sz w:val="20"/>
          <w:szCs w:val="20"/>
          <w:color w:val="auto"/>
        </w:rPr>
      </w:pPr>
      <w:r>
        <w:rPr>
          <w:rFonts w:ascii="Arial" w:cs="Arial" w:eastAsia="Arial" w:hAnsi="Arial"/>
          <w:sz w:val="15"/>
          <w:szCs w:val="15"/>
          <w:color w:val="auto"/>
        </w:rPr>
        <w:t>We will offer the CellFX System as a utilization-based model for physician users, with variable revenue per cycle (i.e., per lesion treated). As new applications are introduced, system utilization increases as does revenue generated from cycles.</w:t>
      </w:r>
    </w:p>
    <w:p>
      <w:pPr>
        <w:spacing w:after="0" w:line="118" w:lineRule="exact"/>
        <w:rPr>
          <w:sz w:val="20"/>
          <w:szCs w:val="20"/>
          <w:color w:val="auto"/>
        </w:rPr>
      </w:pPr>
    </w:p>
    <w:p>
      <w:pPr>
        <w:jc w:val="both"/>
        <w:ind w:left="540"/>
        <w:spacing w:after="0" w:line="291" w:lineRule="auto"/>
        <w:rPr>
          <w:sz w:val="20"/>
          <w:szCs w:val="20"/>
          <w:color w:val="auto"/>
        </w:rPr>
      </w:pPr>
      <w:r>
        <w:rPr>
          <w:rFonts w:ascii="Arial" w:cs="Arial" w:eastAsia="Arial" w:hAnsi="Arial"/>
          <w:sz w:val="14"/>
          <w:szCs w:val="14"/>
          <w:color w:val="auto"/>
        </w:rPr>
        <w:t>We have built a sales and marketing team comprised of professionals with deep experience in delivering products and applications into the aesthetic dermatology market and have long-standing relationships with the KOLs, clinics, and customers. We plan to scale our sales and marketing infrastructure along with the growth of the business.</w:t>
      </w:r>
    </w:p>
    <w:p>
      <w:pPr>
        <w:spacing w:after="0" w:line="94" w:lineRule="exact"/>
        <w:rPr>
          <w:sz w:val="20"/>
          <w:szCs w:val="20"/>
          <w:color w:val="auto"/>
        </w:rPr>
      </w:pPr>
    </w:p>
    <w:p>
      <w:pPr>
        <w:jc w:val="both"/>
        <w:ind w:left="540"/>
        <w:spacing w:after="0"/>
        <w:rPr>
          <w:sz w:val="20"/>
          <w:szCs w:val="20"/>
          <w:color w:val="auto"/>
        </w:rPr>
      </w:pPr>
      <w:r>
        <w:rPr>
          <w:rFonts w:ascii="Arial" w:cs="Arial" w:eastAsia="Arial" w:hAnsi="Arial"/>
          <w:sz w:val="15"/>
          <w:szCs w:val="15"/>
          <w:color w:val="auto"/>
        </w:rPr>
        <w:t>We will continue to conduct clinical studies and work with our KOLs to pursue additional applications for which our cell specific mechanism of action is enabling. We have already begun our evaluation for the treatment of acne and basal cell carcinoma. Our application development pipeline continues to reveal additional target applications that have ability to add to the utilization potential of our future growing installed base.</w:t>
      </w:r>
    </w:p>
    <w:p>
      <w:pPr>
        <w:spacing w:after="0" w:line="128" w:lineRule="exact"/>
        <w:rPr>
          <w:sz w:val="20"/>
          <w:szCs w:val="20"/>
          <w:color w:val="auto"/>
        </w:rPr>
      </w:pPr>
    </w:p>
    <w:p>
      <w:pPr>
        <w:jc w:val="both"/>
        <w:ind w:firstLine="376"/>
        <w:spacing w:after="0" w:line="291" w:lineRule="auto"/>
        <w:rPr>
          <w:sz w:val="20"/>
          <w:szCs w:val="20"/>
          <w:color w:val="auto"/>
        </w:rPr>
      </w:pPr>
      <w:r>
        <w:rPr>
          <w:rFonts w:ascii="Arial" w:cs="Arial" w:eastAsia="Arial" w:hAnsi="Arial"/>
          <w:sz w:val="14"/>
          <w:szCs w:val="14"/>
          <w:color w:val="auto"/>
        </w:rPr>
        <w:t>We believe a knowledgeable sales team who can convey and assist the clinician in delivering the value of our CellFX System to patients, success of early adopter KOLs, and the increasing utility of our CellFX System with meaningful clinical data greatly enhances our ability to attract customers and promote ongoing utilization of installed systems.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154" w:lineRule="exact"/>
        <w:rPr>
          <w:sz w:val="20"/>
          <w:szCs w:val="20"/>
          <w:color w:val="auto"/>
        </w:rPr>
      </w:pPr>
    </w:p>
    <w:p>
      <w:pPr>
        <w:jc w:val="both"/>
        <w:ind w:firstLine="343"/>
        <w:spacing w:after="0" w:line="233" w:lineRule="auto"/>
        <w:rPr>
          <w:sz w:val="20"/>
          <w:szCs w:val="20"/>
          <w:color w:val="auto"/>
        </w:rPr>
      </w:pPr>
      <w:r>
        <w:rPr>
          <w:rFonts w:ascii="Arial" w:cs="Arial" w:eastAsia="Arial" w:hAnsi="Arial"/>
          <w:sz w:val="15"/>
          <w:szCs w:val="15"/>
          <w:color w:val="auto"/>
        </w:rPr>
        <w:t>We maintain a portfolio of intellectual property surrounding our CellFX System and our NPS technology platform. As a medical technology company our current patents and ongoing intellectual property development are, and will continue to be, a priority for our business. We believe our intellectual property is an important competitive advantage for us. We also rely on trade secrets, know-how, continuing technological innovations, and licensing opportunities to further develop, maintain, and strengthen our competitive position. We actively protect our intellectual property through a combination of patent registrations, trademarks, and copyright protections; confidentiality agreements with our employees, consultants, and other parties; and access control to sensitive information.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 w:name="page9"/>
    <w:bookmarkEnd w:id="8"/>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00" w:lineRule="exact"/>
        <w:rPr>
          <w:sz w:val="20"/>
          <w:szCs w:val="20"/>
          <w:color w:val="auto"/>
        </w:rPr>
      </w:pPr>
    </w:p>
    <w:p>
      <w:pPr>
        <w:spacing w:after="0" w:line="244"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We own or have a license to 111 issued patents worldwide and have 98 patent applications pending worldwide, with the earliest expiration of a U.S.-issued licensed patent in 2021 and the latest in 2039. As in the past, we plan to continue to file new patent applications to protect our systems, algorithms, applicators, methods, and designs of our technologies and products as they evolve. Medical technologies such as ours may be utilized in many different applications and incorporate several patentable features, and our strategy will be to always strive to protect our products and technologies with multiple patents directed to the variety of features and applications, in order to establish a strong defense against competitors and such that an expiration of a single patent does not lessen our overall comprehensive coverage. We believe our NPS platform and current CellFX System are protected by several issued patents, as well as pending applications.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54" w:lineRule="exact"/>
        <w:rPr>
          <w:sz w:val="20"/>
          <w:szCs w:val="20"/>
          <w:color w:val="auto"/>
        </w:rPr>
      </w:pPr>
    </w:p>
    <w:p>
      <w:pPr>
        <w:jc w:val="both"/>
        <w:ind w:firstLine="343"/>
        <w:spacing w:after="0"/>
        <w:rPr>
          <w:sz w:val="20"/>
          <w:szCs w:val="20"/>
          <w:color w:val="auto"/>
        </w:rPr>
      </w:pPr>
      <w:r>
        <w:rPr>
          <w:rFonts w:ascii="Arial" w:cs="Arial" w:eastAsia="Arial" w:hAnsi="Arial"/>
          <w:sz w:val="15"/>
          <w:szCs w:val="15"/>
          <w:color w:val="auto"/>
        </w:rPr>
        <w:t>Since inception, the majority of our business has focused on the development of our CellFX System and earlier clinical versions of the system, conducting clinical studies, including dermatology studies in SK, SH, warts, acne, moles, and BCC, and pre-clinical and basic research into the unique mechanism of action of our NPS technology platform. We have recently obtained regulatory approvals for our CellFX System but have not yet recognized revenue from our technology.</w:t>
      </w:r>
    </w:p>
    <w:p>
      <w:pPr>
        <w:spacing w:after="0" w:line="128"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The development of our proprietary CellFX System has involved a multi-disciplinary effort including; electrical, mechanical, biomedical, and software engineers to design and integrate the various elements of our CellFX System and its predecessors; clinical research specialists to plan and conduct clinical studies; and research scientists to assess and interpret the focal and systemic biological effects of our technology. We believe we can expand the potential of our CellFX System through ongoing innovation and additional clinical studies demonstrating safety and efficacy in additional dermatologic conditions and additional therapeutic areas.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54" w:lineRule="exact"/>
        <w:rPr>
          <w:sz w:val="20"/>
          <w:szCs w:val="20"/>
          <w:color w:val="auto"/>
        </w:rPr>
      </w:pPr>
    </w:p>
    <w:p>
      <w:pPr>
        <w:jc w:val="both"/>
        <w:ind w:firstLine="376"/>
        <w:spacing w:after="0" w:line="230" w:lineRule="auto"/>
        <w:rPr>
          <w:sz w:val="20"/>
          <w:szCs w:val="20"/>
          <w:color w:val="auto"/>
        </w:rPr>
      </w:pPr>
      <w:r>
        <w:rPr>
          <w:rFonts w:ascii="Arial" w:cs="Arial" w:eastAsia="Arial" w:hAnsi="Arial"/>
          <w:sz w:val="15"/>
          <w:szCs w:val="15"/>
          <w:color w:val="auto"/>
        </w:rPr>
        <w:t>The applications we intend to target are subject to intense competition from rapidly evolving companies and new scientific discoveries. We compete against well-established incumbent technologies offering products in oncology, dermatology and aesthetics, minimally invasive procedures, and veterinary applications. Given the broad scope of our technology, we face competition ranging from large manufacturers with multiple business lines to small companies with focused products, as well as providers of other medical therapies and therapeutics for conditions that our products are intended to treat. Some of these companies currently have greater financial, technical, research, and/or other resources than we do and have larger and more established manufacturing capabilities and marketing, sales, and support functions. Our future success will depend on our ability to establish and maintain a competitive position in current and future technologies. Our technology is unique and differentiated in that NPS technology can influence many cellular functions depending on the energy applied. When it is used to stimulate primarily regulated cell death, we believe it would be less traumatic to treated tissue and would result in less scarring or collateral damage to surrounding tissues.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w:t>
      </w:r>
    </w:p>
    <w:p>
      <w:pPr>
        <w:spacing w:after="0" w:line="154"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The CellFX System is a medical device subject to extensive and ongoing regulation by the FDA under the Federal Food, Drug, and Cosmetic Act and its implementing regulations, as well as other federal and state regulatory bodies in the U.S. The laws and regulations govern, among other things, product design and development, pre-clinical and clinical testing, manufacturing, packaging, labeling, storage, recordkeeping and reporting, clearance or approval, marketing, distribution, promotion, import and export, and post-marketing surveillance.</w:t>
      </w:r>
    </w:p>
    <w:p>
      <w:pPr>
        <w:spacing w:after="0" w:line="129"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auto"/>
        </w:rPr>
        <w:t>The FDA regulates the medical device market to ensure the safety and efficacy of these products. For medical devices that require pre-market review, the FDA allows for three clearance/approval pathways for a medical device to be commercialized: approval via a Pre-market Approval Application (PMA), clearance of a 510(k) submission, or submission of a de novo application. The FDA has established three different classes of medical devices, based on the level of risk associated with using a device and consequent degree of regulatory controls needed to govern its safety and efficacy, as well as the appropriate clearance/approval pathway needed to obtain authorization to legally market a medical device in the U.S.</w:t>
      </w:r>
    </w:p>
    <w:p>
      <w:pPr>
        <w:spacing w:after="0" w:line="131"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auto"/>
        </w:rPr>
        <w:t>Class I and Class II devices are considered low and moderate risk devices. Most Class I devices are exempt from premarket notification. Most Class II devices require 510(k) clearance from the FDA in order to be marketed in the U.S. A 510(k) Premarket Notification is a premarket submission made to the FDA to demonstrate that the device to be marketed is substantially equivalent to a legally marketed Class II device, or a predicate. Companies making a 510(k) submission must compare their 510(k)-candidate device to a predicate device and establish substantial equivalence to the satisfaction of FDA. A device previously cleared under 510(k) or a device approved through a de novo application can be used as a predicate device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 w:name="page10"/>
    <w:bookmarkEnd w:id="9"/>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spacing w:after="0" w:line="232" w:lineRule="auto"/>
        <w:rPr>
          <w:sz w:val="20"/>
          <w:szCs w:val="20"/>
          <w:color w:val="auto"/>
        </w:rPr>
      </w:pPr>
      <w:r>
        <w:rPr>
          <w:rFonts w:ascii="Arial" w:cs="Arial" w:eastAsia="Arial" w:hAnsi="Arial"/>
          <w:sz w:val="15"/>
          <w:szCs w:val="15"/>
          <w:color w:val="auto"/>
        </w:rPr>
        <w:t>for later developed substantially equivalent medical devices. However, establishing substantial equivalence in a 510(k) submission requires the candidate device to have the same intended use and the same technological characteristics as a predicate device. The FDA has a 90-calendar day review goal from the date of receipt of the 510(k) to either authorize or decline commercial distribution of the device, but clearance generally takes longer than 90 days. During the review process, the FDA may also request additional information which extends the review process. If the FDA decides that the product is not substantially equivalent to a predicate device, a clearance will not be granted, and the device cannot be commercialized. If a 510(k) submission is rejected by FDA, the applicant may be required to seek premarket authorization through the de novo pathway or the premarket approval pathway, which are more costly and will generally take longer for FDA approval.</w:t>
      </w:r>
    </w:p>
    <w:p>
      <w:pPr>
        <w:spacing w:after="0" w:line="164" w:lineRule="exact"/>
        <w:rPr>
          <w:sz w:val="20"/>
          <w:szCs w:val="20"/>
          <w:color w:val="auto"/>
        </w:rPr>
      </w:pPr>
    </w:p>
    <w:p>
      <w:pPr>
        <w:jc w:val="both"/>
        <w:ind w:firstLine="376"/>
        <w:spacing w:after="0" w:line="247" w:lineRule="auto"/>
        <w:rPr>
          <w:sz w:val="20"/>
          <w:szCs w:val="20"/>
          <w:color w:val="auto"/>
        </w:rPr>
      </w:pPr>
      <w:r>
        <w:rPr>
          <w:rFonts w:ascii="Arial" w:cs="Arial" w:eastAsia="Arial" w:hAnsi="Arial"/>
          <w:sz w:val="14"/>
          <w:szCs w:val="14"/>
          <w:color w:val="auto"/>
        </w:rPr>
        <w:t>Medical devices regarded as the highest risk by the FDA are typically designated Class III and generally require the submission of a PMA application for approval. Class III devices generally include life-sustaining, life-supporting, or implantable devices or devices without a known predicate technology already approved by the FDA. A PMA application must be accompanied by substantial data that supports the reasonable safety and efficacy of the device, which includes the provision of pre-clinical, clinical, technical, manufacturing, and labeling information. After the FDA determines the application is sufficiently complete to commence a substantive review, it has 180 days to review the submission, but it can typically take longer (up to several years) as this regulatory body can request additional data, including clinical data or clarifications. The FDA may also impose additional regulatory scrutiny for a PMA, including the institution of an outside advisory committee (panel review) to assess the application or provide recommendations as to whether to approve the device. Although the FDA is not required to follow the recommendation of an advisory panel, it generally does. As part of the review, the FDA will also inspect the manufacturing operations of the company requesting approval to verify compliance with Quality System regulations.</w:t>
      </w:r>
    </w:p>
    <w:p>
      <w:pPr>
        <w:spacing w:after="0" w:line="127" w:lineRule="exact"/>
        <w:rPr>
          <w:sz w:val="20"/>
          <w:szCs w:val="20"/>
          <w:color w:val="auto"/>
        </w:rPr>
      </w:pPr>
    </w:p>
    <w:p>
      <w:pPr>
        <w:jc w:val="both"/>
        <w:ind w:firstLine="376"/>
        <w:spacing w:after="0" w:line="247" w:lineRule="auto"/>
        <w:rPr>
          <w:sz w:val="20"/>
          <w:szCs w:val="20"/>
          <w:color w:val="auto"/>
        </w:rPr>
      </w:pPr>
      <w:r>
        <w:rPr>
          <w:rFonts w:ascii="Arial" w:cs="Arial" w:eastAsia="Arial" w:hAnsi="Arial"/>
          <w:sz w:val="14"/>
          <w:szCs w:val="14"/>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efficacy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127"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After a device receives 510(k) clearance or PMA approval, any modification that could significantly affect its safety or effectiveness, or that would constitute a major change in its intended use, will require a new 510(k) clearance or PMA Supplemental approval. The FDA requires each manufacturer to make this determination initially, but the FDA can review any such decision and can disagree with a manufacturer’s determination. If the FDA disagrees with the determination not to seek a new 510(k) clearance or PMA Supplement, the FDA may retroactively require a new 510(k) clearance or PMA Supplements to be submitted. The FDA could also require a manufacturer to cease marketing and distribution and/or recall the modified device until clearance or approval is obtained. Also, in these circumstances, the manufacturer may be subject to significant regulatory fines, penalties, and possible warning letters.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Pervasive and Continuing Regulation</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After a device is placed on the market with FDA clearance or approval, numerous FDA regulatory requirements continue to apply. These include:</w:t>
      </w:r>
    </w:p>
    <w:p>
      <w:pPr>
        <w:spacing w:after="0" w:line="150" w:lineRule="exact"/>
        <w:rPr>
          <w:sz w:val="20"/>
          <w:szCs w:val="20"/>
          <w:color w:val="auto"/>
        </w:rPr>
      </w:pPr>
    </w:p>
    <w:p>
      <w:pPr>
        <w:ind w:left="540" w:right="20"/>
        <w:spacing w:after="0" w:line="255" w:lineRule="auto"/>
        <w:rPr>
          <w:sz w:val="20"/>
          <w:szCs w:val="20"/>
          <w:color w:val="auto"/>
        </w:rPr>
      </w:pPr>
      <w:r>
        <w:rPr>
          <w:rFonts w:ascii="Arial" w:cs="Arial" w:eastAsia="Arial" w:hAnsi="Arial"/>
          <w:sz w:val="15"/>
          <w:szCs w:val="15"/>
          <w:color w:val="auto"/>
        </w:rPr>
        <w:t>the FDA’s Quality System Regulation (QSR) which requires manufacturers, including third-party manufacturers, to follow stringent design, testing, control, documentation, and other quality assurance procedures during all aspects of the manufacturing process;</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labeling regulations and FDA prohibitions against the promotion of products for uncleared, unapproved, or off-label uses;</w:t>
      </w:r>
    </w:p>
    <w:p>
      <w:pPr>
        <w:spacing w:after="0" w:line="150" w:lineRule="exact"/>
        <w:rPr>
          <w:sz w:val="20"/>
          <w:szCs w:val="20"/>
          <w:color w:val="auto"/>
        </w:rPr>
      </w:pPr>
    </w:p>
    <w:p>
      <w:pPr>
        <w:ind w:left="540" w:right="20"/>
        <w:spacing w:after="0" w:line="255" w:lineRule="auto"/>
        <w:rPr>
          <w:sz w:val="20"/>
          <w:szCs w:val="20"/>
          <w:color w:val="auto"/>
        </w:rPr>
      </w:pPr>
      <w:r>
        <w:rPr>
          <w:rFonts w:ascii="Arial" w:cs="Arial" w:eastAsia="Arial" w:hAnsi="Arial"/>
          <w:sz w:val="15"/>
          <w:szCs w:val="15"/>
          <w:color w:val="auto"/>
        </w:rPr>
        <w:t>medical device reporting regulations, which require that manufacturers report to the FDA if their device may have caused or contributed to a death or serious injury or malfunctioned in a way that would likely cause or contribute to a death or serious injury if the malfunction were to recur;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10" w:name="page11"/>
    <w:bookmarkEnd w:id="10"/>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00" w:lineRule="exact"/>
        <w:rPr>
          <w:sz w:val="20"/>
          <w:szCs w:val="20"/>
          <w:color w:val="auto"/>
        </w:rPr>
      </w:pPr>
    </w:p>
    <w:p>
      <w:pPr>
        <w:spacing w:after="0" w:line="24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post-market surveillance regulations, which apply when necessary to protect the public health or to provide additional safety and efficacy data for the device.</w:t>
      </w:r>
    </w:p>
    <w:p>
      <w:pPr>
        <w:spacing w:after="0" w:line="150" w:lineRule="exact"/>
        <w:rPr>
          <w:sz w:val="20"/>
          <w:szCs w:val="20"/>
          <w:color w:val="auto"/>
        </w:rPr>
      </w:pPr>
    </w:p>
    <w:p>
      <w:pPr>
        <w:jc w:val="both"/>
        <w:ind w:firstLine="376"/>
        <w:spacing w:after="0" w:line="249" w:lineRule="auto"/>
        <w:rPr>
          <w:sz w:val="20"/>
          <w:szCs w:val="20"/>
          <w:color w:val="auto"/>
        </w:rPr>
      </w:pPr>
      <w:r>
        <w:rPr>
          <w:rFonts w:ascii="Arial" w:cs="Arial" w:eastAsia="Arial" w:hAnsi="Arial"/>
          <w:sz w:val="14"/>
          <w:szCs w:val="14"/>
          <w:color w:val="auto"/>
        </w:rPr>
        <w:t>The FDA has broad post-market and regulatory enforcement powers, and we must comply with the post-market surveillance regulations, including medical device reporting regulations. We are required to report to the FDA information if a device has, or may have, caused or contributed to a death or serious injury or has malfunctioned in a way that would likely cause or contribute to death or serious injury, if the malfunction of the device or one of our similar devices were to recur.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spacing w:after="0" w:line="122"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We may be subject to unannounced inspections by the FDA and the Food and Drug Branch of the California Department of Public Health to determine our compliance with the QSR and other regulations, and these inspections may include the manufacturing facilities of our suppliers.</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Failure to comply with applicable regulatory requirements can result in enforcement action by FDA, which may include any of the following sanctions: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warning letters, fines, injunctions, consent decrees, and civil penalties;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repair, replacement, refunds, recall, or seizure of our products;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operating restrictions, partial suspension, or total shutdown of production;</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refusing our requests for 510(k) clearance or premarket approval of new products, new intended uses, or modifications to existing products;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withdrawing 510(k) clearance or premarket approval that has already been granted; and</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criminal prosecution.</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Regulatory System for Medical Devices in Europe</w:t>
      </w:r>
    </w:p>
    <w:p>
      <w:pPr>
        <w:spacing w:after="0" w:line="150" w:lineRule="exact"/>
        <w:rPr>
          <w:sz w:val="20"/>
          <w:szCs w:val="20"/>
          <w:color w:val="auto"/>
        </w:rPr>
      </w:pPr>
    </w:p>
    <w:p>
      <w:pPr>
        <w:jc w:val="both"/>
        <w:ind w:right="20" w:firstLine="376"/>
        <w:spacing w:after="0" w:line="277" w:lineRule="auto"/>
        <w:rPr>
          <w:sz w:val="20"/>
          <w:szCs w:val="20"/>
          <w:color w:val="auto"/>
        </w:rPr>
      </w:pPr>
      <w:r>
        <w:rPr>
          <w:rFonts w:ascii="Arial" w:cs="Arial" w:eastAsia="Arial" w:hAnsi="Arial"/>
          <w:sz w:val="13"/>
          <w:szCs w:val="13"/>
          <w:color w:val="auto"/>
        </w:rPr>
        <w:t>The EU consists of 28-member states and has a coordinated system for the authorization of medical devices. Marketing medical devices in the EU is subject to compliance with the Medical Devices Directive 93/92/EEC (MDD) and the European Union Medical Device Regulation (2017/745 or EU MDR) following its entry into application on May 26, 2020. A medical device may be placed on the market within the EU only if it conforms to certain “essential requirements” and bears the CE Mark. The most fundamental and essential requirement is that a medical device must be designed and manufactured in such a way that it will not compromise the clinical condition or safety of patients, or the safety and health of users and others. In addition, the device must achieve the essential performance(s) intended by the manufacturer and be designed, manufactured, and packaged in a suitable manner.</w:t>
      </w:r>
    </w:p>
    <w:p>
      <w:pPr>
        <w:spacing w:after="0" w:line="106" w:lineRule="exact"/>
        <w:rPr>
          <w:sz w:val="20"/>
          <w:szCs w:val="20"/>
          <w:color w:val="auto"/>
        </w:rPr>
      </w:pPr>
    </w:p>
    <w:p>
      <w:pPr>
        <w:jc w:val="both"/>
        <w:ind w:firstLine="376"/>
        <w:spacing w:after="0" w:line="246" w:lineRule="auto"/>
        <w:rPr>
          <w:sz w:val="20"/>
          <w:szCs w:val="20"/>
          <w:color w:val="auto"/>
        </w:rPr>
      </w:pPr>
      <w:r>
        <w:rPr>
          <w:rFonts w:ascii="Arial" w:cs="Arial" w:eastAsia="Arial" w:hAnsi="Arial"/>
          <w:sz w:val="14"/>
          <w:szCs w:val="14"/>
          <w:color w:val="auto"/>
        </w:rPr>
        <w:t>Manufacturers must demonstrate that their devices conform to the relevant essential requirements through a conformity assessment procedure. The nature of the assessment depends upon the classification of the device. The classification rules are mainly based on three criteria: the length of time the device is in contact with the body, the degree of invasiveness, and the extent to which the device affects the anatomy. Conformity assessment procedures for all but the lowest risk classification of device involve a notified body. Notified bodies are often private entities and are authorized or licensed to perform such assessments by government authorities. Manufacturers usually have some flexibility to select a notified body for the conformity assessment procedures for a particular class of device and to reflect their circumstances, e.g., the likelihood that the manufacturer will make frequent modifications to its products. Conformity assessment procedures require an assessment of available clinical evidence, literature data for the product, and post-market experience in respect of similar products already marketed. Notified bodies also may review the manufacturer’s quality systems. If satisfied that the product conforms to the relevant essential requirements, the notified body issues a certificate of conformity, which the manufacturer uses as a basis for its own declaration of conformity and application of the CE Mark. Application of the CE Mark allows the general commercializing of a product in the EU. The product can also be subjected to local registration requirements depending on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11" w:name="page12"/>
    <w:bookmarkEnd w:id="11"/>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country.</w:t>
      </w:r>
    </w:p>
    <w:p>
      <w:pPr>
        <w:spacing w:after="0" w:line="150" w:lineRule="exact"/>
        <w:rPr>
          <w:sz w:val="20"/>
          <w:szCs w:val="20"/>
          <w:color w:val="auto"/>
        </w:rPr>
      </w:pPr>
    </w:p>
    <w:p>
      <w:pPr>
        <w:jc w:val="both"/>
        <w:ind w:firstLine="376"/>
        <w:spacing w:after="0" w:line="231" w:lineRule="auto"/>
        <w:rPr>
          <w:sz w:val="20"/>
          <w:szCs w:val="20"/>
          <w:color w:val="auto"/>
        </w:rPr>
      </w:pPr>
      <w:r>
        <w:rPr>
          <w:rFonts w:ascii="Arial" w:cs="Arial" w:eastAsia="Arial" w:hAnsi="Arial"/>
          <w:sz w:val="15"/>
          <w:szCs w:val="15"/>
          <w:color w:val="auto"/>
        </w:rPr>
        <w:t>The EU MDR, which repealed and replaced the MDD, entered into force on May 25, 2017 with a transition period extending until May 26, 2021. The EU MDR clearly envisages, among other things, stricter controls of medical devices, including strengthening of the conformity assessment procedures, increased expectations with respect to clinical data for devices, and pre-market regulatory review of high-risk devices. The EU MDR also envisages greater control over notified bodies and their standards, increased transparency, more robust device vigilance requirements, and clarification of the rules for clinical investigations. Under transitional provisions, medical devices with notified body certificates issued under the MDD prior to May 26, 2020, and which have not been significantly changed, may continue to be placed on the market for the remaining validity of the certificate, until May 27, 2024 at the latest. After the expiry of any applicable transitional period, only devices that have been CE marked under the EU MDR may be placed on the market in the EU.</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Health Insurance Portability and Accountability Act</w:t>
      </w:r>
    </w:p>
    <w:p>
      <w:pPr>
        <w:spacing w:after="0" w:line="150" w:lineRule="exact"/>
        <w:rPr>
          <w:sz w:val="20"/>
          <w:szCs w:val="20"/>
          <w:color w:val="auto"/>
        </w:rPr>
      </w:pPr>
    </w:p>
    <w:p>
      <w:pPr>
        <w:jc w:val="both"/>
        <w:ind w:firstLine="376"/>
        <w:spacing w:after="0" w:line="249" w:lineRule="auto"/>
        <w:rPr>
          <w:sz w:val="20"/>
          <w:szCs w:val="20"/>
          <w:color w:val="auto"/>
        </w:rPr>
      </w:pPr>
      <w:r>
        <w:rPr>
          <w:rFonts w:ascii="Arial" w:cs="Arial" w:eastAsia="Arial" w:hAnsi="Arial"/>
          <w:sz w:val="14"/>
          <w:szCs w:val="14"/>
          <w:color w:val="auto"/>
        </w:rPr>
        <w:t>The Health Insurance Portability and Accountability Act of 1996 (HIPAA) impacts the transmission, maintenance, use, and disclosure of certain individually identifiable health information (referred to as protected health information, or PHI). Since HIPAA was enacted in 1996, numerous implementing regulations have been issued, including, but not limited to: (1) standards for the privacy of individually identifiable health information (the Privacy Rule), (2) standards to protect the confidentiality, integrity and security of electronic protected health information (the Security Rule), (3) standards for electronic transactions, (4) a standard unique national provider identifier for providers and health plans, and (5) the HHS Breach Notification Rule. We refer to these rules, as well as similar state laws that may be applicable to our operations, as the HIPAA Rules. The U.S. Department of Health and Human Services (HHS) has also issued regulations governing the enforcement of the HIPAA Rules, the violation of which potentially includes significant criminal and civil penalties. Furthermore, many states have similar laws and regulations that may be applicable to our operations, including but not limited to state data security breach requirements.</w:t>
      </w:r>
    </w:p>
    <w:p>
      <w:pPr>
        <w:spacing w:after="0" w:line="122" w:lineRule="exact"/>
        <w:rPr>
          <w:sz w:val="20"/>
          <w:szCs w:val="20"/>
          <w:color w:val="auto"/>
        </w:rPr>
      </w:pPr>
    </w:p>
    <w:p>
      <w:pPr>
        <w:jc w:val="both"/>
        <w:ind w:firstLine="343"/>
        <w:spacing w:after="0" w:line="255" w:lineRule="auto"/>
        <w:rPr>
          <w:sz w:val="20"/>
          <w:szCs w:val="20"/>
          <w:color w:val="auto"/>
        </w:rPr>
      </w:pPr>
      <w:r>
        <w:rPr>
          <w:rFonts w:ascii="Arial" w:cs="Arial" w:eastAsia="Arial" w:hAnsi="Arial"/>
          <w:sz w:val="15"/>
          <w:szCs w:val="15"/>
          <w:color w:val="auto"/>
        </w:rPr>
        <w:t>The HIPAA Rules apply to “covered entities”, which includes healthcare providers who conduct certain transactions electronically, including but not limited to the electronic submission of health care claims to an insurance carrier.</w:t>
      </w:r>
    </w:p>
    <w:p>
      <w:pPr>
        <w:spacing w:after="0" w:line="118" w:lineRule="exact"/>
        <w:rPr>
          <w:sz w:val="20"/>
          <w:szCs w:val="20"/>
          <w:color w:val="auto"/>
        </w:rPr>
      </w:pPr>
    </w:p>
    <w:p>
      <w:pPr>
        <w:jc w:val="both"/>
        <w:ind w:firstLine="376"/>
        <w:spacing w:after="0" w:line="249" w:lineRule="auto"/>
        <w:rPr>
          <w:sz w:val="20"/>
          <w:szCs w:val="20"/>
          <w:color w:val="auto"/>
        </w:rPr>
      </w:pPr>
      <w:r>
        <w:rPr>
          <w:rFonts w:ascii="Arial" w:cs="Arial" w:eastAsia="Arial" w:hAnsi="Arial"/>
          <w:sz w:val="14"/>
          <w:szCs w:val="14"/>
          <w:color w:val="auto"/>
        </w:rPr>
        <w:t>On February 17, 2009, Congress enacted Subtitle D of the Health Information Technology for Economic and Clinical Health Act (HITECH) provisions of the American Recovery and Reinvestment Act of 2009. This law includes strengthened federal privacy and security provisions to protect PHI, such as the notification requirements set forth in the Breach Notification Rule. On January 25, 2013, the Office for Civil Rights of the HHS published its final rule to modify the HIPAA Privacy, Security, Breach and Enforcement Rules, including most revisions/additions made by the HITECH. The rule became effective on March 23, 2013, and entities and business associates covered by the rule were required to comply with most of the applicable requirements by September 23, 2013. HITECH increased the civil and criminal penalties that may be imposed against Covered Entities, their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22" w:lineRule="exact"/>
        <w:rPr>
          <w:sz w:val="20"/>
          <w:szCs w:val="20"/>
          <w:color w:val="auto"/>
        </w:rPr>
      </w:pPr>
    </w:p>
    <w:p>
      <w:pPr>
        <w:jc w:val="both"/>
        <w:ind w:firstLine="376"/>
        <w:spacing w:after="0" w:line="231" w:lineRule="auto"/>
        <w:rPr>
          <w:sz w:val="20"/>
          <w:szCs w:val="20"/>
          <w:color w:val="auto"/>
        </w:rPr>
      </w:pPr>
      <w:r>
        <w:rPr>
          <w:rFonts w:ascii="Arial" w:cs="Arial" w:eastAsia="Arial" w:hAnsi="Arial"/>
          <w:sz w:val="15"/>
          <w:szCs w:val="15"/>
          <w:color w:val="auto"/>
        </w:rPr>
        <w:t>In addition to the federal privacy regulations, there are a number of state laws regarding the privacy and security of health information and personal data that are applicable to clinical laboratories. The compliance requirements of these laws, including additional breach reporting requirements, and the penalties for violation vary widely and new privacy and security laws and regulations in this area are evolving and may be adopted in the future. We provide services to customers who are regulated entities under HIPAA and the HIPAA Rules, and we have taken steps to comply with health information privacy and security statutes and regulations in all jurisdictions, both state and federal, that apply to us. However, we may not be able to maintain compliance in all jurisdictions where we do business, and even if we are compliant, we may face allegations that we are not. Any actual or alleged failure to maintain compliance, or changes in state or federal laws regarding privacy or security, could result in regulatory investigations, enforcement actions, and civil and/or criminal penalties and could have a material adverse effect on our business.</w:t>
      </w:r>
    </w:p>
    <w:p>
      <w:pPr>
        <w:spacing w:after="0" w:line="129"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Federal, State and Foreign Fraud and Abuse Laws</w:t>
      </w:r>
    </w:p>
    <w:p>
      <w:pPr>
        <w:spacing w:after="0" w:line="150"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Because of the significant federal funding involved in Medicare and Medicaid, Congress and the states have enacted, and actively enforce, a number of laws to eliminate fraud and abuse in federal healthcare programs. Our business is subject to compliance with these laws. In March 2010, the Patient Protection and Affordable Care Act, as amended by the Healthcare and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2" w:name="page13"/>
    <w:bookmarkEnd w:id="12"/>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spacing w:after="0" w:line="233" w:lineRule="auto"/>
        <w:rPr>
          <w:sz w:val="20"/>
          <w:szCs w:val="20"/>
          <w:color w:val="auto"/>
        </w:rPr>
      </w:pPr>
      <w:r>
        <w:rPr>
          <w:rFonts w:ascii="Arial" w:cs="Arial" w:eastAsia="Arial" w:hAnsi="Arial"/>
          <w:sz w:val="15"/>
          <w:szCs w:val="15"/>
          <w:color w:val="auto"/>
        </w:rPr>
        <w:t>Education Affordability Reconciliation Act, which we refer to collectively as the Affordable Care Act, was enacted in the U.S. The provisions of the Affordable Care Act are effective on various dates. The Affordable Care Act expands the government’s investigative and enforcement authority and increases the penalties for fraud and abuse, including amendments to both the Anti-Kickback Statute and the False Claims Act, to make it easier to bring suit under these statutes. The Affordable Care Act also allocates additional resources and tools for the government to police healthcare fraud, with expanded subpoena power for HHS, additional funding to investigate fraud and abuse across the healthcare system and expanded use of recovery audit contractors for enforcement.</w:t>
      </w:r>
    </w:p>
    <w:p>
      <w:pPr>
        <w:spacing w:after="0" w:line="131" w:lineRule="exact"/>
        <w:rPr>
          <w:sz w:val="20"/>
          <w:szCs w:val="20"/>
          <w:color w:val="auto"/>
        </w:rPr>
      </w:pPr>
    </w:p>
    <w:p>
      <w:pPr>
        <w:jc w:val="both"/>
        <w:ind w:firstLine="376"/>
        <w:spacing w:after="0"/>
        <w:rPr>
          <w:sz w:val="20"/>
          <w:szCs w:val="20"/>
          <w:color w:val="auto"/>
        </w:rPr>
      </w:pPr>
      <w:r>
        <w:rPr>
          <w:rFonts w:ascii="Arial" w:cs="Arial" w:eastAsia="Arial" w:hAnsi="Arial"/>
          <w:sz w:val="15"/>
          <w:szCs w:val="15"/>
          <w:i w:val="1"/>
          <w:iCs w:val="1"/>
          <w:color w:val="auto"/>
        </w:rPr>
        <w:t xml:space="preserve">Anti-Kickback Statutes. </w:t>
      </w:r>
      <w:r>
        <w:rPr>
          <w:rFonts w:ascii="Arial" w:cs="Arial" w:eastAsia="Arial" w:hAnsi="Arial"/>
          <w:sz w:val="15"/>
          <w:szCs w:val="15"/>
          <w:color w:val="auto"/>
        </w:rPr>
        <w:t>The federal healthcare programs’ Anti-Kickback Statute prohibits persons or entities from knowingly and willfully soliciting, offering, receiving, or</w:t>
      </w:r>
      <w:r>
        <w:rPr>
          <w:rFonts w:ascii="Arial" w:cs="Arial" w:eastAsia="Arial" w:hAnsi="Arial"/>
          <w:sz w:val="15"/>
          <w:szCs w:val="15"/>
          <w:i w:val="1"/>
          <w:iCs w:val="1"/>
          <w:color w:val="auto"/>
        </w:rPr>
        <w:t xml:space="preserve"> </w:t>
      </w:r>
      <w:r>
        <w:rPr>
          <w:rFonts w:ascii="Arial" w:cs="Arial" w:eastAsia="Arial" w:hAnsi="Arial"/>
          <w:sz w:val="15"/>
          <w:szCs w:val="15"/>
          <w:color w:val="auto"/>
        </w:rPr>
        <w:t>providing remuneration, directly or indirectly, in exchange for or to induce either the referral of an individual, or the furnishing or arranging for a good or service, for which payment may be made under a federal healthcare program such as Medicare or Medicaid.</w:t>
      </w:r>
    </w:p>
    <w:p>
      <w:pPr>
        <w:spacing w:after="0" w:line="128"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auto"/>
        </w:rPr>
        <w:t>The definition of “remuneration” has been broadly interpreted to include anything of value, including, for example, gifts, certain discounts, the furnishing of free supplies, equipment or services, credit arrangements, payment of cash, and waivers of payments. Several courts have interpreted the statute’s intent requirement to mean that if any one purpose of an arrangement involving remuneration for inducing referrals of federal healthcare covered businesses, a violation of the statute can be found. Penalties for violations include criminal penalties and civil sanctions such as fines, imprisonment, and possible exclusion from Medicare, Medicaid, and other federal healthcare programs. In addition, a kickback violation can serve as a predicate for a violation under the Federal False Claims Act, discussed in more detail below.</w:t>
      </w:r>
    </w:p>
    <w:p>
      <w:pPr>
        <w:spacing w:after="0" w:line="131"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The Anti-Kickback Statute is broad and prohibits many arrangements and practices that are otherwise lawful in businesses outside of the healthcare industry. Recognizing that the Anti-Kickback Statute is broad and may technically prohibit many innocuous or beneficial arrangements, Congress authorized the Office of Inspector General (OIG), of HHS to issue a series of regulations known as “safe harbors.” These safe harbors set forth provisions that, if all their applicable requirements are met, will assure healthcare providers and other parties that they will not be prosecuted under the Anti-Kickback Statute. The failure of a transaction or arrangement to fit precisely within one or more safe harbors does not necessarily mean that it is per se illegal or that prosecution will be pursued. However, conduct and business arrangements that do not fully satisfy an applicable safe harbor may result in increased scrutiny by government enforcement authorities such as OIG.</w:t>
      </w:r>
    </w:p>
    <w:p>
      <w:pPr>
        <w:spacing w:after="0" w:line="129"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Many states have adopted laws similar to the Anti-Kickback Statute. Some of these state prohibitions apply to referral of recipients for healthcare items or services reimbursed by any source, not only the Medicare and Medicaid programs.</w:t>
      </w:r>
    </w:p>
    <w:p>
      <w:pPr>
        <w:spacing w:after="0" w:line="118"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Government officials have focused their enforcement efforts on the marketing of healthcare services and products, among other activities, and recently have brought cases against companies, and certain individual sales, marketing, and executive personnel, for allegedly offering unlawful inducements to potential or existing customers in an attempt to procure their business.</w:t>
      </w:r>
    </w:p>
    <w:p>
      <w:pPr>
        <w:spacing w:after="0" w:line="128" w:lineRule="exact"/>
        <w:rPr>
          <w:sz w:val="20"/>
          <w:szCs w:val="20"/>
          <w:color w:val="auto"/>
        </w:rPr>
      </w:pPr>
    </w:p>
    <w:p>
      <w:pPr>
        <w:jc w:val="both"/>
        <w:ind w:firstLine="376"/>
        <w:spacing w:after="0" w:line="250" w:lineRule="auto"/>
        <w:rPr>
          <w:sz w:val="20"/>
          <w:szCs w:val="20"/>
          <w:color w:val="auto"/>
        </w:rPr>
      </w:pPr>
      <w:r>
        <w:rPr>
          <w:rFonts w:ascii="Arial" w:cs="Arial" w:eastAsia="Arial" w:hAnsi="Arial"/>
          <w:sz w:val="14"/>
          <w:szCs w:val="14"/>
          <w:color w:val="auto"/>
        </w:rPr>
        <w:t xml:space="preserve">Federal </w:t>
      </w:r>
      <w:r>
        <w:rPr>
          <w:rFonts w:ascii="Arial" w:cs="Arial" w:eastAsia="Arial" w:hAnsi="Arial"/>
          <w:sz w:val="14"/>
          <w:szCs w:val="14"/>
          <w:i w:val="1"/>
          <w:iCs w:val="1"/>
          <w:color w:val="auto"/>
        </w:rPr>
        <w:t>False Claims Act.</w:t>
      </w:r>
      <w:r>
        <w:rPr>
          <w:rFonts w:ascii="Arial" w:cs="Arial" w:eastAsia="Arial" w:hAnsi="Arial"/>
          <w:sz w:val="14"/>
          <w:szCs w:val="14"/>
          <w:color w:val="auto"/>
        </w:rPr>
        <w:t xml:space="preserve"> Another broad statute affecting the healthcare industry is the increased use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healthcare program. The qui tam provisions of the False Claims Act allow a private individual to bring actions on behalf of the federal government alleging that the defendant has violated the False Claims Act and to share in any monetary recovery. In recent years, the number of suits brought against healthcare providers by private individuals has increased dramatically. In addition, various states have enacted false claims laws analogous to the False Claims Act, and many of these state laws apply where a claim is submitted to any third-party payor and not just a federal healthcare program.</w:t>
      </w:r>
    </w:p>
    <w:p>
      <w:pPr>
        <w:spacing w:after="0" w:line="124" w:lineRule="exact"/>
        <w:rPr>
          <w:sz w:val="20"/>
          <w:szCs w:val="20"/>
          <w:color w:val="auto"/>
        </w:rPr>
      </w:pPr>
    </w:p>
    <w:p>
      <w:pPr>
        <w:jc w:val="both"/>
        <w:ind w:firstLine="376"/>
        <w:spacing w:after="0" w:line="246" w:lineRule="auto"/>
        <w:rPr>
          <w:sz w:val="20"/>
          <w:szCs w:val="20"/>
          <w:color w:val="auto"/>
        </w:rPr>
      </w:pPr>
      <w:r>
        <w:rPr>
          <w:rFonts w:ascii="Arial" w:cs="Arial" w:eastAsia="Arial" w:hAnsi="Arial"/>
          <w:sz w:val="14"/>
          <w:szCs w:val="14"/>
          <w:color w:val="auto"/>
        </w:rPr>
        <w:t>When an entity is determined to have violated the False Claims Act, it may be required to pay up to three times the actual damages sustained by the government, plus civil penalties of between $11,463 and $22,927 for each separate instance of false claim, subject to adjustment for inflation. As part of any settlement, the government may ask the entity to enter into a corporate integrity agreement, which imposes certain compliance, certification, and reporting obligations. There are many potential bases for liability under the False Claims Act. Liability arises, primarily, when an entity knowingly submits, or causes another to submit, a false claim for reimbursement to the federal government. The federal government has used the False Claims Act to assert liability on the basis of inadequate care, non-compliance with medical necessity criteria, kickbacks and other improper referrals, and improper use of Medicare numbers when detailing the provider of services, in addition to the more predictable allegations as to misrepresentations with respect to the services rendered. In addition, the federal government has prosecuted companies under the False Claims Act in connection with off-label promotion of products. Our future activities relating to the reporting of wholesale or estimated retail prices of our products, the reporting of discount and rebate information, and other information affecting federal, state, and third-party reimbursement of our products and the sale and marketing of our products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13" w:name="page14"/>
    <w:bookmarkEnd w:id="13"/>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may be subject to scrutiny under these laws.</w:t>
      </w:r>
    </w:p>
    <w:p>
      <w:pPr>
        <w:spacing w:after="0" w:line="150"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While we are unaware of any current matters, we are unable to predict whether we will be subject to actions under the False Claims Act or a similar state law, or the impact of such actions. However, the costs of defending such claims, as well as any sanctions imposed, could significantly affect our financial performance.</w:t>
      </w:r>
    </w:p>
    <w:p>
      <w:pPr>
        <w:spacing w:after="0" w:line="118" w:lineRule="exact"/>
        <w:rPr>
          <w:sz w:val="20"/>
          <w:szCs w:val="20"/>
          <w:color w:val="auto"/>
        </w:rPr>
      </w:pPr>
    </w:p>
    <w:p>
      <w:pPr>
        <w:jc w:val="both"/>
        <w:ind w:firstLine="376"/>
        <w:spacing w:after="0" w:line="245" w:lineRule="auto"/>
        <w:rPr>
          <w:sz w:val="20"/>
          <w:szCs w:val="20"/>
          <w:color w:val="auto"/>
        </w:rPr>
      </w:pPr>
      <w:r>
        <w:rPr>
          <w:rFonts w:ascii="Arial" w:cs="Arial" w:eastAsia="Arial" w:hAnsi="Arial"/>
          <w:sz w:val="14"/>
          <w:szCs w:val="14"/>
          <w:i w:val="1"/>
          <w:iCs w:val="1"/>
          <w:color w:val="auto"/>
        </w:rPr>
        <w:t xml:space="preserve">The Sunshine Act. </w:t>
      </w:r>
      <w:r>
        <w:rPr>
          <w:rFonts w:ascii="Arial" w:cs="Arial" w:eastAsia="Arial" w:hAnsi="Arial"/>
          <w:sz w:val="14"/>
          <w:szCs w:val="14"/>
          <w:color w:val="auto"/>
        </w:rPr>
        <w:t>The Physician Payment Sunshine Act (the Sunshine Act), which was enacted as part of the Affordable Care Act, requires applicable manufacturers and</w:t>
      </w:r>
      <w:r>
        <w:rPr>
          <w:rFonts w:ascii="Arial" w:cs="Arial" w:eastAsia="Arial" w:hAnsi="Arial"/>
          <w:sz w:val="14"/>
          <w:szCs w:val="14"/>
          <w:i w:val="1"/>
          <w:iCs w:val="1"/>
          <w:color w:val="auto"/>
        </w:rPr>
        <w:t xml:space="preserve"> </w:t>
      </w:r>
      <w:r>
        <w:rPr>
          <w:rFonts w:ascii="Arial" w:cs="Arial" w:eastAsia="Arial" w:hAnsi="Arial"/>
          <w:sz w:val="14"/>
          <w:szCs w:val="14"/>
          <w:color w:val="auto"/>
        </w:rPr>
        <w:t>certain distributors of prescription drugs, devices, biologics or other medical supplies available for coverage by Medicare, Medicaid or the Children’s Health Insurance Program to report annually to the Secretary of HHS: (i) payments or other transfers of value made by that entity, or by a third party as directed by that entity, to physicians and teaching hospitals or to third parties on behalf of physicians or teaching hospitals; and (ii) physician ownership (including immediate family ownership) and investment interests in the entity. The statute requires the federal government to make reported information available to the public starting September 2014, which it has. Failure to comply with the reporting requirements can result in significant civil monetary penalties ranging from $1,000 to $10,000 for each payment or other transfer of value that is not reported (up to a maximum per annual report of $150,000) and from $10,000 to $100,000 for each knowing failure to report (up to a maximum per annual report of $1.0 million). Additionally, there are criminal penalties if an entity intentionally makes false statements in such reports. Upon commercialization, if physicians use our products for procedures that are reimbursed by Medicare, Medicaid or the Children’s Health Insurance Program, we may be subject to the Sunshine Act and the information we disclose may lead to greater scrutiny, which may result in modifications to established practices and additional costs. Additionally, similar reporting requirements have also been enacted on the state level domestically, and an increasing number of countries worldwide either have adopted or are considering similar laws requiring transparency of interactions with healthcare professionals.</w:t>
      </w:r>
    </w:p>
    <w:p>
      <w:pPr>
        <w:spacing w:after="0" w:line="129"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i w:val="1"/>
          <w:iCs w:val="1"/>
          <w:color w:val="auto"/>
        </w:rPr>
        <w:t xml:space="preserve">Foreign Corrupt Practices Act. </w:t>
      </w:r>
      <w:r>
        <w:rPr>
          <w:rFonts w:ascii="Arial" w:cs="Arial" w:eastAsia="Arial" w:hAnsi="Arial"/>
          <w:sz w:val="15"/>
          <w:szCs w:val="15"/>
          <w:color w:val="auto"/>
        </w:rPr>
        <w:t>The Foreign Corrupt Practices Act (FCPA) prohibits any U.S. individual or business from paying, offering, or authorizing payment or offering</w:t>
      </w:r>
      <w:r>
        <w:rPr>
          <w:rFonts w:ascii="Arial" w:cs="Arial" w:eastAsia="Arial" w:hAnsi="Arial"/>
          <w:sz w:val="15"/>
          <w:szCs w:val="15"/>
          <w:i w:val="1"/>
          <w:iCs w:val="1"/>
          <w:color w:val="auto"/>
        </w:rPr>
        <w:t xml:space="preserve"> </w:t>
      </w:r>
      <w:r>
        <w:rPr>
          <w:rFonts w:ascii="Arial" w:cs="Arial" w:eastAsia="Arial" w:hAnsi="Arial"/>
          <w:sz w:val="15"/>
          <w:szCs w:val="15"/>
          <w:color w:val="auto"/>
        </w:rPr>
        <w:t>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131" w:lineRule="exact"/>
        <w:rPr>
          <w:sz w:val="20"/>
          <w:szCs w:val="20"/>
          <w:color w:val="auto"/>
        </w:rPr>
      </w:pPr>
    </w:p>
    <w:p>
      <w:pPr>
        <w:jc w:val="both"/>
        <w:ind w:firstLine="376"/>
        <w:spacing w:after="0" w:line="250" w:lineRule="auto"/>
        <w:rPr>
          <w:sz w:val="20"/>
          <w:szCs w:val="20"/>
          <w:color w:val="auto"/>
        </w:rPr>
      </w:pPr>
      <w:r>
        <w:rPr>
          <w:rFonts w:ascii="Arial" w:cs="Arial" w:eastAsia="Arial" w:hAnsi="Arial"/>
          <w:sz w:val="14"/>
          <w:szCs w:val="14"/>
          <w:i w:val="1"/>
          <w:iCs w:val="1"/>
          <w:color w:val="auto"/>
        </w:rPr>
        <w:t xml:space="preserve">International Laws. </w:t>
      </w:r>
      <w:r>
        <w:rPr>
          <w:rFonts w:ascii="Arial" w:cs="Arial" w:eastAsia="Arial" w:hAnsi="Arial"/>
          <w:sz w:val="14"/>
          <w:szCs w:val="14"/>
          <w:color w:val="auto"/>
        </w:rPr>
        <w:t>In Europe, various countries have adopted anti-bribery laws providing for severe consequences, in the form of criminal penalties and/or significant fines,</w:t>
      </w:r>
      <w:r>
        <w:rPr>
          <w:rFonts w:ascii="Arial" w:cs="Arial" w:eastAsia="Arial" w:hAnsi="Arial"/>
          <w:sz w:val="14"/>
          <w:szCs w:val="14"/>
          <w:i w:val="1"/>
          <w:iCs w:val="1"/>
          <w:color w:val="auto"/>
        </w:rPr>
        <w:t xml:space="preserve"> </w:t>
      </w:r>
      <w:r>
        <w:rPr>
          <w:rFonts w:ascii="Arial" w:cs="Arial" w:eastAsia="Arial" w:hAnsi="Arial"/>
          <w:sz w:val="14"/>
          <w:szCs w:val="14"/>
          <w:color w:val="auto"/>
        </w:rPr>
        <w:t>for individuals and/or companies committing a bribery offense. Violations of these anti-bribery laws, or allegations of such violations, could have a negative impact on our business, results of operations, and reputation. For instance, in the United Kingdom, under the Bribery Act 2010, which went into effect in July 2011, a bribery occurs when a person offers, gives, or promises to give a financial or other advantage to induce or reward another individual to improperly perform certain functions or activities, including any function of a public nature. Bribery of foreign public officials also falls within the scope of the Bribery Act 2010. Under the new regime, an individual found in violation of the Bribery Act of 2010, faces imprisonment of up to 10 years. In addition, the individual can be subject to an unlimited fine, as can commercial organizations for failure to prevent bribery.</w:t>
      </w:r>
    </w:p>
    <w:p>
      <w:pPr>
        <w:spacing w:after="0" w:line="124"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There are also international privacy laws that impose restrictions on the access, use, and disclosure of health information. All of these laws may impact our business. Our failure to comply with these privacy laws or significant changes in the laws restricting our ability to obtain required patient information could significantly impact our business and our future business plans.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Healthcare Reform</w:t>
      </w:r>
    </w:p>
    <w:p>
      <w:pPr>
        <w:spacing w:after="0" w:line="150"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auto"/>
        </w:rPr>
        <w:t>Changes in healthcare policy could increase our costs and subject us to additional regulatory requirements that may interrupt commercialization of our current and future solutions. Changes in healthcare policy could increase our costs, decrease our revenues, and impact sales of and reimbursement for our current and future solutions. The Affordable Care Act substantially changes the way healthcare is financed by both governmental and private insurers, and significantly impacts our industry. The Act contains a number of provisions that impact our business and operations, some of which in ways we cannot currently predict, including those governing enrollments in federal healthcare programs and reimbursement changes.</w:t>
      </w:r>
    </w:p>
    <w:p>
      <w:pPr>
        <w:spacing w:after="0" w:line="131"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There will continue to be proposals by legislators at both the federal and state levels, regulators, and third-party payors to reduce costs while expanding individual healthcare benefits. Certain of these changes could impose additional limitations on the prices we will be able to charge for our current and future solutions or the amounts of reimbursement available for our current and future solutions from governmental agencies or third-party payors. While in general it is too early to predict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14" w:name="page15"/>
    <w:bookmarkEnd w:id="14"/>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specifically what effect the Affordable Care Act and its implementation or any future healthcare reform legislation or policies will have on our business, current and future healthcare reform legislation and policies could have a material adverse effect on our business and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Environmental</w:t>
      </w:r>
    </w:p>
    <w:p>
      <w:pPr>
        <w:spacing w:after="0" w:line="154"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Although we believe that we have complied with these laws and regulations in all material respects and, to date, have not been required to take any action to correct any noncompliance, there can be no assurance that we will not be required to incur significant costs to comply with environmental regulations in the future.</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Insurance</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maintain product and clinical trial liability insurance coverage which includes a maximum of per claim and annual aggregate policy limits, subject to self-insured retentions.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The policy covers, subject to policy conditions and exclusions, claims of bodily injury and property damage from any product manufactured by us or from trial-related adverse events.</w:t>
      </w:r>
    </w:p>
    <w:p>
      <w:pPr>
        <w:spacing w:after="0" w:line="15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4"/>
          <w:szCs w:val="14"/>
          <w:color w:val="auto"/>
        </w:rPr>
        <w:t>The Company determined not to renew its director and officer liability insurance policies due to disproportionately high premiums quoted by insurance companies. Instead, Robert W. Duggan, principal stockholder and Chairman of our board of directors, and the Company entered into a letter agreement, dated May 12, 2020, pursuant to which Mr. Duggan agreed with the Company to personally provide indemnity coverage on substantially the same terms as the Company’s prior coverage program for a one-year period. The other members of our board of directors are third-party beneficiaries under the agreement. Refer to Note 9 to the financial statements for additional details of the agreement.</w:t>
      </w:r>
    </w:p>
    <w:p>
      <w:pPr>
        <w:spacing w:after="0" w:line="117"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There is no assurance that our level of coverage is adequate. We may not be able to sustain or maintain our current level of coverage and cannot assure you that adequate insurance coverage will continue to be available on commercially reasonable terms, or at all. A successful product liability claim may exceed our existing coverages and may make future coverages significantly more expensive, if available at all.</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 and Human Capital</w:t>
      </w:r>
    </w:p>
    <w:p>
      <w:pPr>
        <w:spacing w:after="0" w:line="154"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As of December 31, 2020, we had 95 employees, of which substantially all are located at our headquarters in Hayward, California. Of these employees, 62 were engaged in research and development activities, and 33 were engaged in general and administrative activities.</w:t>
      </w:r>
    </w:p>
    <w:p>
      <w:pPr>
        <w:spacing w:after="0" w:line="118" w:lineRule="exact"/>
        <w:rPr>
          <w:sz w:val="20"/>
          <w:szCs w:val="20"/>
          <w:color w:val="auto"/>
        </w:rPr>
      </w:pPr>
    </w:p>
    <w:p>
      <w:pPr>
        <w:jc w:val="both"/>
        <w:ind w:firstLine="376"/>
        <w:spacing w:after="0"/>
        <w:rPr>
          <w:sz w:val="20"/>
          <w:szCs w:val="20"/>
          <w:color w:val="auto"/>
        </w:rPr>
      </w:pPr>
      <w:r>
        <w:rPr>
          <w:rFonts w:ascii="Arial" w:cs="Arial" w:eastAsia="Arial" w:hAnsi="Arial"/>
          <w:sz w:val="15"/>
          <w:szCs w:val="15"/>
          <w:i w:val="1"/>
          <w:iCs w:val="1"/>
          <w:color w:val="auto"/>
        </w:rPr>
        <w:t xml:space="preserve">Talent Acquisition and Development. </w:t>
      </w:r>
      <w:r>
        <w:rPr>
          <w:rFonts w:ascii="Arial" w:cs="Arial" w:eastAsia="Arial" w:hAnsi="Arial"/>
          <w:sz w:val="15"/>
          <w:szCs w:val="15"/>
          <w:color w:val="auto"/>
        </w:rPr>
        <w:t>We are committed to providing a respectful work environment to our diverse workforce. We provide equal employment opportunities to</w:t>
      </w:r>
      <w:r>
        <w:rPr>
          <w:rFonts w:ascii="Arial" w:cs="Arial" w:eastAsia="Arial" w:hAnsi="Arial"/>
          <w:sz w:val="15"/>
          <w:szCs w:val="15"/>
          <w:i w:val="1"/>
          <w:iCs w:val="1"/>
          <w:color w:val="auto"/>
        </w:rPr>
        <w:t xml:space="preserve"> </w:t>
      </w:r>
      <w:r>
        <w:rPr>
          <w:rFonts w:ascii="Arial" w:cs="Arial" w:eastAsia="Arial" w:hAnsi="Arial"/>
          <w:sz w:val="15"/>
          <w:szCs w:val="15"/>
          <w:color w:val="auto"/>
        </w:rPr>
        <w:t>all persons regardless of race, age, color, gender, sexual orientation, national origin, physical or mental disability, religion, or any other characteristic protected by federal, state, or local law.</w:t>
      </w:r>
    </w:p>
    <w:p>
      <w:pPr>
        <w:spacing w:after="0" w:line="128"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We believe our employees are essential to our success and our ability to attract, develop, and retain key talent is a vital part of that. Our philosophy is to both develop talent from within and to strategically recruit key external talent. Our overall talent acquisition and retention strategy is designed to attract and retain diverse and qualified candidates to enable the success of the Company and achievement of our performance goals. The skills, experience and industry knowledge of key employees significantly benefit our operations and performance.</w:t>
      </w:r>
    </w:p>
    <w:p>
      <w:pPr>
        <w:spacing w:after="0" w:line="155" w:lineRule="exact"/>
        <w:rPr>
          <w:sz w:val="20"/>
          <w:szCs w:val="20"/>
          <w:color w:val="auto"/>
        </w:rPr>
      </w:pPr>
    </w:p>
    <w:p>
      <w:pPr>
        <w:ind w:right="180" w:firstLine="498"/>
        <w:spacing w:after="0" w:line="279" w:lineRule="auto"/>
        <w:rPr>
          <w:sz w:val="20"/>
          <w:szCs w:val="20"/>
          <w:color w:val="auto"/>
        </w:rPr>
      </w:pPr>
      <w:r>
        <w:rPr>
          <w:rFonts w:ascii="Arial" w:cs="Arial" w:eastAsia="Arial" w:hAnsi="Arial"/>
          <w:sz w:val="15"/>
          <w:szCs w:val="15"/>
          <w:i w:val="1"/>
          <w:iCs w:val="1"/>
          <w:color w:val="auto"/>
        </w:rPr>
        <w:t>Compensation and Benefits Program</w:t>
      </w:r>
      <w:r>
        <w:rPr>
          <w:rFonts w:ascii="Arial" w:cs="Arial" w:eastAsia="Arial" w:hAnsi="Arial"/>
          <w:sz w:val="18"/>
          <w:szCs w:val="18"/>
          <w:i w:val="1"/>
          <w:iCs w:val="1"/>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Our compensation program is designed to attract, motivate, and retain talented individuals who possess the skills necessary to support</w:t>
      </w:r>
      <w:r>
        <w:rPr>
          <w:rFonts w:ascii="Arial" w:cs="Arial" w:eastAsia="Arial" w:hAnsi="Arial"/>
          <w:sz w:val="15"/>
          <w:szCs w:val="15"/>
          <w:i w:val="1"/>
          <w:iCs w:val="1"/>
          <w:color w:val="auto"/>
        </w:rPr>
        <w:t xml:space="preserve"> </w:t>
      </w:r>
      <w:r>
        <w:rPr>
          <w:rFonts w:ascii="Arial" w:cs="Arial" w:eastAsia="Arial" w:hAnsi="Arial"/>
          <w:sz w:val="15"/>
          <w:szCs w:val="15"/>
          <w:color w:val="auto"/>
        </w:rPr>
        <w:t>our business and contribute to our strategic goals, creating long-term value for our stockholders. We provide employees with competitive compensation packages that include base salary, annual incentive bonuses, 401(k), and equity awards tied to the value of our stock price. Our comprehensive benefits package also includes medical, dental, vision, life and disability plans, and an employee assistance program.</w:t>
      </w:r>
    </w:p>
    <w:p>
      <w:pPr>
        <w:spacing w:after="0" w:line="112" w:lineRule="exact"/>
        <w:rPr>
          <w:sz w:val="20"/>
          <w:szCs w:val="20"/>
          <w:color w:val="auto"/>
        </w:rPr>
      </w:pPr>
    </w:p>
    <w:p>
      <w:pPr>
        <w:jc w:val="both"/>
        <w:spacing w:after="0" w:line="236" w:lineRule="auto"/>
        <w:rPr>
          <w:sz w:val="20"/>
          <w:szCs w:val="20"/>
          <w:color w:val="auto"/>
        </w:rPr>
      </w:pPr>
      <w:r>
        <w:rPr>
          <w:rFonts w:ascii="Arial" w:cs="Arial" w:eastAsia="Arial" w:hAnsi="Arial"/>
          <w:sz w:val="15"/>
          <w:szCs w:val="15"/>
          <w:i w:val="1"/>
          <w:iCs w:val="1"/>
          <w:color w:val="auto"/>
        </w:rPr>
        <w:t xml:space="preserve">Wellness and Safety. </w:t>
      </w:r>
      <w:r>
        <w:rPr>
          <w:rFonts w:ascii="Arial" w:cs="Arial" w:eastAsia="Arial" w:hAnsi="Arial"/>
          <w:sz w:val="15"/>
          <w:szCs w:val="15"/>
          <w:color w:val="222222"/>
        </w:rPr>
        <w:t>The health and safety of our employees is of utmost importance to us. In response to the COVID-19 pandemic, we are requiring all of our employees to work</w:t>
      </w:r>
      <w:r>
        <w:rPr>
          <w:rFonts w:ascii="Arial" w:cs="Arial" w:eastAsia="Arial" w:hAnsi="Arial"/>
          <w:sz w:val="15"/>
          <w:szCs w:val="15"/>
          <w:i w:val="1"/>
          <w:iCs w:val="1"/>
          <w:color w:val="auto"/>
        </w:rPr>
        <w:t xml:space="preserve"> </w:t>
      </w:r>
      <w:r>
        <w:rPr>
          <w:rFonts w:ascii="Arial" w:cs="Arial" w:eastAsia="Arial" w:hAnsi="Arial"/>
          <w:sz w:val="15"/>
          <w:szCs w:val="15"/>
          <w:color w:val="222222"/>
        </w:rPr>
        <w:t>remotely unless they cannot perform their essential functions remotely and have also suspended all non-essential travel for our employees. For the employees who are unable to perform their essential functions remotely, we have established extensive policies and guidelines which are designed to protect those individuals while they are physically in our offices.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15" w:name="page16"/>
    <w:bookmarkEnd w:id="15"/>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154" w:lineRule="exact"/>
        <w:rPr>
          <w:sz w:val="20"/>
          <w:szCs w:val="20"/>
          <w:color w:val="auto"/>
        </w:rPr>
      </w:pPr>
    </w:p>
    <w:p>
      <w:pPr>
        <w:jc w:val="both"/>
        <w:ind w:right="20" w:firstLine="376"/>
        <w:spacing w:after="0"/>
        <w:rPr>
          <w:sz w:val="20"/>
          <w:szCs w:val="20"/>
          <w:color w:val="auto"/>
        </w:rPr>
      </w:pPr>
      <w:r>
        <w:rPr>
          <w:rFonts w:ascii="Arial" w:cs="Arial" w:eastAsia="Arial" w:hAnsi="Arial"/>
          <w:sz w:val="15"/>
          <w:szCs w:val="15"/>
          <w:color w:val="auto"/>
        </w:rPr>
        <w:t>Effective June 18, 2018, Pulse Biosciences reincorporated as a Delaware Corporation. We were originally incorporated in Nevada on May 19, 2014 under the name Electroblate, Inc. and changed our name to Pulse Biosciences, Inc. effective December 8, 2015. Our corporate offices are located at 3957 Point Eden Way, Hayward, California. Our telephone number is (510) 906-4600.</w:t>
      </w:r>
    </w:p>
    <w:p>
      <w:pPr>
        <w:spacing w:after="0" w:line="128"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4"/>
          <w:szCs w:val="14"/>
          <w:color w:val="auto"/>
        </w:rPr>
        <w:t>Our website is located at www.pulsebiosciences.com. The information that can be accessed through our website is not incorporated into this Annual Report on Form 10-K, and the inclusion of our website address is an inactive textual reference only. Our Annual Report on Form 10-K, Quarterly Reports on Form 10-Q, Current Reports on Form 8-K and amendments to reports filed or furnished pursuant to Sections 13(a) and 15(d) of the Securities Exchange Act of 1934, as amended, are available free of charge through the “Investor Relations” section of our website as soon as reasonably practicable after we electronically file such material with, or furnish it to, the Securities and Exchange Commission (SEC).</w:t>
      </w:r>
    </w:p>
    <w:p>
      <w:pPr>
        <w:spacing w:after="0" w:line="117" w:lineRule="exact"/>
        <w:rPr>
          <w:sz w:val="20"/>
          <w:szCs w:val="20"/>
          <w:color w:val="auto"/>
        </w:rPr>
      </w:pPr>
    </w:p>
    <w:p>
      <w:pPr>
        <w:jc w:val="both"/>
        <w:ind w:right="20" w:firstLine="376"/>
        <w:spacing w:after="0"/>
        <w:rPr>
          <w:sz w:val="20"/>
          <w:szCs w:val="20"/>
          <w:color w:val="auto"/>
        </w:rPr>
      </w:pPr>
      <w:r>
        <w:rPr>
          <w:rFonts w:ascii="Arial" w:cs="Arial" w:eastAsia="Arial" w:hAnsi="Arial"/>
          <w:sz w:val="15"/>
          <w:szCs w:val="15"/>
          <w:color w:val="auto"/>
        </w:rPr>
        <w:t>Additionally, we use our website as a channel for distribution of important company information. Important information, including press releases, analyst presentations and financial information regarding us, as well as corporate governance information, is routinely posted and accessible on the “Investor Relations” section of the website, which is accessible by clicking “Investors” on our website home page.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16" w:name="page17"/>
    <w:bookmarkEnd w:id="16"/>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154"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i w:val="1"/>
          <w:iCs w:val="1"/>
          <w:color w:val="auto"/>
        </w:rPr>
        <w:t>Investing in our common stock involves a high degree of risk. You should consider carefully the risks and uncertainties described below, together with all of the other information in this Annual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COVID-19 and any worsening of the economic environment may exacerbate the risks described below, any of which could have a material impact on us. This situation is changing rapidly and additional impacts may arise that we are not aware of currently.</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w:t>
      </w:r>
    </w:p>
    <w:p>
      <w:pPr>
        <w:spacing w:after="0" w:line="154"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Our business is subject to numerous risks and uncertainties that you should consider before investing in our common stock. These risks are described more fully below and include, but are not limited to, risks relating to the following:</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Limited operating history and lack of revenue producing operations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Lack of product revenue</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ability to obtain sufficient funding</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ability to comply with covenants under our indebtedness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Fluctuation of our operating results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Competition within our industry</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Health epidemics, including the coronavirus pandemic</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Reliance on third parties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Loss of key management personnel</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Security breaches, loss of data, and other disruptions to us or our third-party service providers that could compromise sensitive information</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Potential product liability lawsuits and other litigation</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Timing, unpredictability, and expense of clinical development process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Trial results and changes in trial data</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Failure to obtain and maintain necessary regulatory clearances or approvals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Determination and validation of the mechanism of action of our NPS technology platform</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Safety and effectiveness of our product candidates, and potential adverse side effects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Failure to obtain broad adoption of our CellFX System and NPS technology</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Enrollment of patients in our clinical trials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Ability to obtain an adequate level of reimbursement by Medicare and other third-party payers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Protection of intellectual property, potential litigation related to intellectual property, and obligations under intellectual property agreements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17" w:name="page18"/>
    <w:bookmarkEnd w:id="17"/>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Stringent domestic and foreign regulation in respect of any potential devices and products, including healthcare laws and regulations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Healthcare policy changes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Volatility of the price of our common stock</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Concentration of ownership by our principal stockholder and Chairman of our board of directors, Robert W. Duggan</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Unfavorable global economic or political conditions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Material weaknesses and maintenance of an effective system of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Our Business, Industry and Financial Condition</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Since we have a limited operating history and have not commenced any revenue producing operations, it is difficult to evaluate the future of our business</w:t>
      </w:r>
      <w:r>
        <w:rPr>
          <w:rFonts w:ascii="Arial" w:cs="Arial" w:eastAsia="Arial" w:hAnsi="Arial"/>
          <w:sz w:val="14"/>
          <w:szCs w:val="14"/>
          <w:color w:val="auto"/>
        </w:rPr>
        <w:t>.</w:t>
      </w:r>
    </w:p>
    <w:p>
      <w:pPr>
        <w:spacing w:after="0" w:line="162"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4"/>
          <w:szCs w:val="14"/>
          <w:color w:val="auto"/>
        </w:rPr>
        <w:t>We are a bioelectric medicine technology company and have not yet commenced revenue-producing operations. To date, our operations on a consolidated basis have consisted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or prospective operations and business prospects.</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currently have no product revenue and may never become profitable.</w:t>
      </w:r>
    </w:p>
    <w:p>
      <w:pPr>
        <w:spacing w:after="0" w:line="150" w:lineRule="exact"/>
        <w:rPr>
          <w:sz w:val="20"/>
          <w:szCs w:val="20"/>
          <w:color w:val="auto"/>
        </w:rPr>
      </w:pPr>
    </w:p>
    <w:p>
      <w:pPr>
        <w:jc w:val="both"/>
        <w:ind w:firstLine="376"/>
        <w:spacing w:after="0" w:line="246" w:lineRule="auto"/>
        <w:rPr>
          <w:sz w:val="20"/>
          <w:szCs w:val="20"/>
          <w:color w:val="auto"/>
        </w:rPr>
      </w:pPr>
      <w:r>
        <w:rPr>
          <w:rFonts w:ascii="Arial" w:cs="Arial" w:eastAsia="Arial" w:hAnsi="Arial"/>
          <w:sz w:val="14"/>
          <w:szCs w:val="14"/>
          <w:color w:val="auto"/>
        </w:rPr>
        <w:t>To date, we have not generated revenue and have historically relied on financing from the sale of equity securities to fund our operations. We expect that our future financial results will depend primarily on our success in launching, selling, and supporting our therapies and treatments utilizing our CellFX System or other products based on our NPS technology. We expect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spacing w:after="0" w:line="129"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4"/>
          <w:szCs w:val="14"/>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encountered by developing medical technology companies in a competitive environment. There can be no assurance that our efforts will be successful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20" w:lineRule="exact"/>
        <w:rPr>
          <w:sz w:val="20"/>
          <w:szCs w:val="20"/>
          <w:color w:val="auto"/>
        </w:rPr>
      </w:pPr>
    </w:p>
    <w:p>
      <w:pPr>
        <w:jc w:val="both"/>
        <w:ind w:right="20" w:firstLine="376"/>
        <w:spacing w:after="0"/>
        <w:rPr>
          <w:sz w:val="20"/>
          <w:szCs w:val="20"/>
          <w:color w:val="auto"/>
        </w:rPr>
      </w:pPr>
      <w:r>
        <w:rPr>
          <w:rFonts w:ascii="Arial" w:cs="Arial" w:eastAsia="Arial" w:hAnsi="Arial"/>
          <w:sz w:val="15"/>
          <w:szCs w:val="15"/>
          <w:b w:val="1"/>
          <w:bCs w:val="1"/>
          <w:i w:val="1"/>
          <w:iCs w:val="1"/>
          <w:color w:val="auto"/>
        </w:rPr>
        <w:t>If we are unable to obtain sufficient funding, we may be unable to execute our business plan and fund operations. We may not be able to obtain additional financing on commercially reasonable terms, or at all. Our existing indebtedness, as well as any future indebtedness, has resulted in and may result in increased fixed payment obligations and certain covenants.</w:t>
      </w:r>
    </w:p>
    <w:p>
      <w:pPr>
        <w:spacing w:after="0" w:line="128"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We have experienced operating losses, and we may continue to incur operating losses for the next several years as we implement our business plan. Currently, we have no revenue and, although we have received funding in the form of a loan from Robert W. Duggan, Chairman of our board of directors, and also implemented an at-the-market equity offering program, do</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18" w:name="page19"/>
    <w:bookmarkEnd w:id="18"/>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spacing w:after="0" w:line="118"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We will need to raise additional capital in order to continue to execute our business plan. There is no assurance that additional financing will be available when needed or that management will be able to obtain financing on terms acceptable to us. If we are unable to raise sufficient additional funds, we will have to scale back our operations. The ongoing COVID-19 pandemic and resulting negative impact on the global macroeconomic environment and capital markets may make it more difficult for us to raise additional funds. We have incurred and may further incur additional debt, including the debt recently incurred through the entry into a term loan agreement (Loan Agreement) with Mr. Duggan, for a loan from Mr. Duggan to us of an aggregate principal amount of $41 million. We may not have sufficient cash to make required payments under the terms of this debt, and, should this occur, debt holders have rights senior to common stockholders to make claims on our assets.</w:t>
      </w:r>
    </w:p>
    <w:p>
      <w:pPr>
        <w:spacing w:after="0" w:line="129" w:lineRule="exact"/>
        <w:rPr>
          <w:sz w:val="20"/>
          <w:szCs w:val="20"/>
          <w:color w:val="auto"/>
        </w:rPr>
      </w:pPr>
    </w:p>
    <w:p>
      <w:pPr>
        <w:jc w:val="both"/>
        <w:ind w:firstLine="376"/>
        <w:spacing w:after="0" w:line="231" w:lineRule="auto"/>
        <w:rPr>
          <w:sz w:val="20"/>
          <w:szCs w:val="20"/>
          <w:color w:val="auto"/>
        </w:rPr>
      </w:pPr>
      <w:r>
        <w:rPr>
          <w:rFonts w:ascii="Arial" w:cs="Arial" w:eastAsia="Arial" w:hAnsi="Arial"/>
          <w:sz w:val="15"/>
          <w:szCs w:val="15"/>
          <w:color w:val="auto"/>
        </w:rPr>
        <w:t>We cannot give any assurance that we will be able to obtain all the necessary funding that we may need. In addition, we believe that we will require additional capital in the future to fully develop our technologies and planned products, or other future products to commercial launch. We have pursued and may pursue additional funding through various financing sources, including the private sale of our equity securities, debt financings, our an at-the-market equity offering program, licensing fees for our technology, joint ventures with capital partners, and project type financing. If we raise funds by issuing equity or equity-linked securities, dilution to some or all our stockholders will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spacing w:after="0" w:line="129" w:lineRule="exact"/>
        <w:rPr>
          <w:sz w:val="20"/>
          <w:szCs w:val="20"/>
          <w:color w:val="auto"/>
        </w:rPr>
      </w:pPr>
    </w:p>
    <w:p>
      <w:pPr>
        <w:jc w:val="both"/>
        <w:ind w:firstLine="376"/>
        <w:spacing w:after="0" w:line="247" w:lineRule="auto"/>
        <w:rPr>
          <w:sz w:val="20"/>
          <w:szCs w:val="20"/>
          <w:color w:val="auto"/>
        </w:rPr>
      </w:pPr>
      <w:r>
        <w:rPr>
          <w:rFonts w:ascii="Arial" w:cs="Arial" w:eastAsia="Arial" w:hAnsi="Arial"/>
          <w:sz w:val="14"/>
          <w:szCs w:val="14"/>
          <w:color w:val="auto"/>
        </w:rPr>
        <w:t>Our existing indebtedness has resulted in increased fixed payment obligations, and has imposed certain covenants, such as limitations on our ability to incur additional debt. Any future indebtedness could further increase our fixed payment obligations and could impose additional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27"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If we are unable to obtain adequate financing or financing on terms satisfactory to us when we require it, we may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or we may be unable to continue operations, in which case you could lose your entire investment.</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outstanding Loan Agreement contains covenants that may limit our operating flexibility.</w:t>
      </w:r>
    </w:p>
    <w:p>
      <w:pPr>
        <w:spacing w:after="0" w:line="150" w:lineRule="exact"/>
        <w:rPr>
          <w:sz w:val="20"/>
          <w:szCs w:val="20"/>
          <w:color w:val="auto"/>
        </w:rPr>
      </w:pPr>
    </w:p>
    <w:p>
      <w:pPr>
        <w:ind w:right="20" w:firstLine="376"/>
        <w:spacing w:after="0" w:line="250" w:lineRule="auto"/>
        <w:rPr>
          <w:sz w:val="20"/>
          <w:szCs w:val="20"/>
          <w:color w:val="auto"/>
        </w:rPr>
      </w:pPr>
      <w:r>
        <w:rPr>
          <w:rFonts w:ascii="Arial" w:cs="Arial" w:eastAsia="Arial" w:hAnsi="Arial"/>
          <w:sz w:val="14"/>
          <w:szCs w:val="14"/>
          <w:color w:val="auto"/>
        </w:rPr>
        <w:t>Our Loan Agreement with Mr. Duggan subjects us to certain affirmative and negative covenants, including limitations on our ability to transfer or dispose of assets, merge with or acquire other companies, and incur additional indebtedness and liens.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Mr. Duggan, which we may not be able to obtain. We may not be able to generate sufficient cash flow or revenue to pay the principal and interest on our debt. In addition, upon the occurrence of an event of default under the Loan Agreement, Mr. Duggan,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19" w:name="page20"/>
    <w:bookmarkEnd w:id="19"/>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18"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118" w:lineRule="exact"/>
        <w:rPr>
          <w:sz w:val="20"/>
          <w:szCs w:val="20"/>
          <w:color w:val="auto"/>
        </w:rPr>
      </w:pPr>
    </w:p>
    <w:p>
      <w:pPr>
        <w:ind w:left="540" w:right="20"/>
        <w:spacing w:after="0" w:line="255" w:lineRule="auto"/>
        <w:rPr>
          <w:sz w:val="20"/>
          <w:szCs w:val="20"/>
          <w:color w:val="auto"/>
        </w:rPr>
      </w:pPr>
      <w:r>
        <w:rPr>
          <w:rFonts w:ascii="Arial" w:cs="Arial" w:eastAsia="Arial" w:hAnsi="Arial"/>
          <w:sz w:val="15"/>
          <w:szCs w:val="15"/>
          <w:color w:val="auto"/>
        </w:rPr>
        <w:t>the timing and cost of, and level of investment in, research, development, and commercialization activities relating to our product and product candidates, which may change from time to time;</w:t>
      </w:r>
    </w:p>
    <w:p>
      <w:pPr>
        <w:spacing w:after="0" w:line="118" w:lineRule="exact"/>
        <w:rPr>
          <w:sz w:val="20"/>
          <w:szCs w:val="20"/>
          <w:color w:val="auto"/>
        </w:rPr>
      </w:pPr>
    </w:p>
    <w:p>
      <w:pPr>
        <w:ind w:left="540" w:right="2620"/>
        <w:spacing w:after="0" w:line="449" w:lineRule="auto"/>
        <w:rPr>
          <w:sz w:val="20"/>
          <w:szCs w:val="20"/>
          <w:color w:val="auto"/>
        </w:rPr>
      </w:pPr>
      <w:r>
        <w:rPr>
          <w:rFonts w:ascii="Arial" w:cs="Arial" w:eastAsia="Arial" w:hAnsi="Arial"/>
          <w:sz w:val="15"/>
          <w:szCs w:val="15"/>
          <w:color w:val="auto"/>
        </w:rPr>
        <w:t>the timing of receipt of approvals or clearances for our product candidates from regulatory authorities in the U.S. or internationally; the timing and status of enrollment for our clinical trials;</w:t>
      </w:r>
    </w:p>
    <w:p>
      <w:pPr>
        <w:ind w:left="540"/>
        <w:spacing w:after="0" w:line="255" w:lineRule="auto"/>
        <w:rPr>
          <w:sz w:val="20"/>
          <w:szCs w:val="20"/>
          <w:color w:val="auto"/>
        </w:rPr>
      </w:pPr>
      <w:r>
        <w:rPr>
          <w:rFonts w:ascii="Arial" w:cs="Arial" w:eastAsia="Arial" w:hAnsi="Arial"/>
          <w:sz w:val="15"/>
          <w:szCs w:val="15"/>
          <w:color w:val="auto"/>
        </w:rPr>
        <w:t>coverage and reimbursement policies with respect to our product and product candidates, including the degree to which treatments using our products are covered and receive adequate reimbursement from third-party payors, and potential future drugs or devices that compete with our products;</w:t>
      </w:r>
    </w:p>
    <w:p>
      <w:pPr>
        <w:spacing w:after="0" w:line="118" w:lineRule="exact"/>
        <w:rPr>
          <w:sz w:val="20"/>
          <w:szCs w:val="20"/>
          <w:color w:val="auto"/>
        </w:rPr>
      </w:pPr>
    </w:p>
    <w:p>
      <w:pPr>
        <w:ind w:left="540" w:right="20"/>
        <w:spacing w:after="0" w:line="255" w:lineRule="auto"/>
        <w:rPr>
          <w:sz w:val="20"/>
          <w:szCs w:val="20"/>
          <w:color w:val="auto"/>
        </w:rPr>
      </w:pPr>
      <w:r>
        <w:rPr>
          <w:rFonts w:ascii="Arial" w:cs="Arial" w:eastAsia="Arial" w:hAnsi="Arial"/>
          <w:sz w:val="15"/>
          <w:szCs w:val="15"/>
          <w:color w:val="auto"/>
        </w:rPr>
        <w:t>the cost of manufacturing our product, as well as building out our supply chain, which may vary depending on the quantity of production and the terms of our agreements with manufacturers;</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expenditures that we may incur to acquire, develop or commercialize additional product candidates and technologies;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level of demand for our product and any product candidates, if approved or cleared, which may vary significantly over time;</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litigation, including patent, employment, securities class action, stockholder derivative, general commercial, and other lawsuits;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future accounting pronouncements or changes in our accounting policies; and</w:t>
      </w:r>
    </w:p>
    <w:p>
      <w:pPr>
        <w:spacing w:after="0" w:line="150" w:lineRule="exact"/>
        <w:rPr>
          <w:sz w:val="20"/>
          <w:szCs w:val="20"/>
          <w:color w:val="auto"/>
        </w:rPr>
      </w:pPr>
    </w:p>
    <w:p>
      <w:pPr>
        <w:ind w:left="540" w:right="20"/>
        <w:spacing w:after="0" w:line="255" w:lineRule="auto"/>
        <w:rPr>
          <w:sz w:val="20"/>
          <w:szCs w:val="20"/>
          <w:color w:val="auto"/>
        </w:rPr>
      </w:pPr>
      <w:r>
        <w:rPr>
          <w:rFonts w:ascii="Arial" w:cs="Arial" w:eastAsia="Arial" w:hAnsi="Arial"/>
          <w:sz w:val="15"/>
          <w:szCs w:val="15"/>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118"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18"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29"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We expect to operate in a highly competitive market, we may face competition from large, well-established medical technology, device and product manufacturers with significant resources, and we may not be able to compete effectively.</w:t>
      </w:r>
    </w:p>
    <w:p>
      <w:pPr>
        <w:spacing w:after="0" w:line="118" w:lineRule="exact"/>
        <w:rPr>
          <w:sz w:val="20"/>
          <w:szCs w:val="20"/>
          <w:color w:val="auto"/>
        </w:rPr>
      </w:pPr>
    </w:p>
    <w:p>
      <w:pPr>
        <w:jc w:val="both"/>
        <w:ind w:firstLine="376"/>
        <w:spacing w:after="0" w:line="265" w:lineRule="auto"/>
        <w:rPr>
          <w:sz w:val="20"/>
          <w:szCs w:val="20"/>
          <w:color w:val="auto"/>
        </w:rPr>
      </w:pPr>
      <w:r>
        <w:rPr>
          <w:rFonts w:ascii="Arial" w:cs="Arial" w:eastAsia="Arial" w:hAnsi="Arial"/>
          <w:sz w:val="14"/>
          <w:szCs w:val="14"/>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We may find ourselves in competition with companies that have competitive advantages over us, such as:</w:t>
      </w:r>
    </w:p>
    <w:p>
      <w:pPr>
        <w:spacing w:after="0" w:line="11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significantly greater name recognition;</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established relations with healthcare professionals, customers, and third-party payers;</w:t>
      </w:r>
    </w:p>
    <w:p>
      <w:pPr>
        <w:spacing w:after="0" w:line="15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0" w:name="page21"/>
    <w:bookmarkEnd w:id="20"/>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00" w:lineRule="exact"/>
        <w:rPr>
          <w:sz w:val="20"/>
          <w:szCs w:val="20"/>
          <w:color w:val="auto"/>
        </w:rPr>
      </w:pPr>
    </w:p>
    <w:p>
      <w:pPr>
        <w:spacing w:after="0" w:line="24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greater efficacy or better safety profiles;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established distribution networks;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additional lines of products, and the ability to offer rebates, higher discounts, or incentives to gain a competitive advantage;</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greater experience in obtaining patents and regulatory approvals for product candidates and other resources;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greater experience in conducting research and development, manufacturing, clinical trials, obtaining regulatory approval for products, and marketing approved products; and</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greater financial and human resources for product development, sales and marketing, and patent litigation.</w:t>
      </w:r>
    </w:p>
    <w:p>
      <w:pPr>
        <w:spacing w:after="0" w:line="150" w:lineRule="exact"/>
        <w:rPr>
          <w:sz w:val="20"/>
          <w:szCs w:val="20"/>
          <w:color w:val="auto"/>
        </w:rPr>
      </w:pPr>
    </w:p>
    <w:p>
      <w:pPr>
        <w:jc w:val="both"/>
        <w:ind w:firstLine="376"/>
        <w:spacing w:after="0" w:line="231" w:lineRule="auto"/>
        <w:rPr>
          <w:sz w:val="20"/>
          <w:szCs w:val="20"/>
          <w:color w:val="auto"/>
        </w:rPr>
      </w:pPr>
      <w:r>
        <w:rPr>
          <w:rFonts w:ascii="Arial" w:cs="Arial" w:eastAsia="Arial" w:hAnsi="Arial"/>
          <w:sz w:val="15"/>
          <w:szCs w:val="15"/>
          <w:color w:val="auto"/>
        </w:rPr>
        <w:t>We may also face increased competition in the future as new companies enter our markets and as scientific developments surrounding electro-signaling therapeutics continue to accelerate. While we will seek to expand our technological capabilities to remain competitive, research and development by others may render our technology or product candidates obsolete or noncompetitive or result in treatments or cures superior to any therapy developed by us. In addition, certain of our product candidates may compete with other dermatological products, including over the counter (OTC) treatments, for a share of some patients’ discretionary budgets and for physicians’ attention within their clinical practices. Even if a generic product or an OTC product is less effective than our product candidates, a less effective generic or OTC product may be more quickly adopted by physicians and patients than our competing product candidates based upon cost or convenience. As a result, we may not be able to compete effectively against current and potential future competitors or their devices and products.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may rely on third parties for our sales, marketing, manufacturing and/or distribution, and these third parties may not perform satisfactorily.</w:t>
      </w:r>
    </w:p>
    <w:p>
      <w:pPr>
        <w:spacing w:after="0" w:line="150" w:lineRule="exact"/>
        <w:rPr>
          <w:sz w:val="20"/>
          <w:szCs w:val="20"/>
          <w:color w:val="auto"/>
        </w:rPr>
      </w:pPr>
    </w:p>
    <w:p>
      <w:pPr>
        <w:jc w:val="both"/>
        <w:ind w:firstLine="376"/>
        <w:spacing w:after="0" w:line="231" w:lineRule="auto"/>
        <w:rPr>
          <w:sz w:val="20"/>
          <w:szCs w:val="20"/>
          <w:color w:val="auto"/>
        </w:rPr>
      </w:pPr>
      <w:r>
        <w:rPr>
          <w:rFonts w:ascii="Arial" w:cs="Arial" w:eastAsia="Arial" w:hAnsi="Arial"/>
          <w:sz w:val="15"/>
          <w:szCs w:val="15"/>
          <w:color w:val="auto"/>
        </w:rPr>
        <w:t>To be able to commercialize our planned products, we may elect to internally develop aspects of sales, marketing, large-scale manufacturing, or distribution, or we may elect to utilize third parties with respect to one or more of these items. Our reliance on these third parties may reduce our control over these activities; however, reliance on third parties does not relieve us of our responsibility to ensure compliance with all required legal, regulatory, and scientific standards. These third parties may be adversely impacted by COVID-19 which could affect their ability to perform satisfactorily. Any failure of these third parties to perform satisfactorily and in compliance with relevant laws and regulations could lead to delays in the development of our planned products, including delays in our clinical trials, or failure to obtain regulatory approval for our planned products, or failure to successfully commercialize our planned products or other future products. Some of these events could be the basis for FDA or other regulatory action, including injunction, recall, seizure, or total or partial suspension of production.</w:t>
      </w:r>
    </w:p>
    <w:p>
      <w:pPr>
        <w:spacing w:after="0" w:line="129"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4"/>
          <w:szCs w:val="14"/>
          <w:color w:val="auto"/>
        </w:rPr>
        <w:t>We have not yet commenced revenue-producing operations and may be unsuccessful in earning revenues. We believe that developing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120"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118" w:lineRule="exact"/>
        <w:rPr>
          <w:sz w:val="20"/>
          <w:szCs w:val="20"/>
          <w:color w:val="auto"/>
        </w:rPr>
      </w:pPr>
    </w:p>
    <w:p>
      <w:pPr>
        <w:jc w:val="both"/>
        <w:ind w:firstLine="376"/>
        <w:spacing w:after="0" w:line="230" w:lineRule="auto"/>
        <w:rPr>
          <w:sz w:val="20"/>
          <w:szCs w:val="20"/>
          <w:color w:val="auto"/>
        </w:rPr>
      </w:pPr>
      <w:r>
        <w:rPr>
          <w:rFonts w:ascii="Arial" w:cs="Arial" w:eastAsia="Arial" w:hAnsi="Arial"/>
          <w:sz w:val="15"/>
          <w:szCs w:val="15"/>
          <w:color w:val="auto"/>
        </w:rPr>
        <w:t>We are highly dependent upon the principal members of our management team, including our Chief Executive Officer, Darrin Uecker, and members of our finance, sales, marketing, scientific, and engineering teams. These persons have significant experience and knowledge with sub-microsecond pulsed electric fields and more broadly in aesthetics, dermatology,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and may be free to work for a competitor. If one or more of our senior executives or other key personnel were unable or unwilling to continue in their present positions, we may not be able to replace them easily or at all, and other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1" w:name="page22"/>
    <w:bookmarkEnd w:id="21"/>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29"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118"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life science businesses, we may not succeed in attracting or retaining the personnel we require to continue and grow our operations.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Rapidly changing technology in life sciences could make the products we are developing obsolete.</w:t>
      </w:r>
    </w:p>
    <w:p>
      <w:pPr>
        <w:spacing w:after="0" w:line="150"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4"/>
          <w:szCs w:val="14"/>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We also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If we are unable to manage the anticipated growth of our business, our future revenue and operating results may be harmed.</w:t>
      </w:r>
    </w:p>
    <w:p>
      <w:pPr>
        <w:spacing w:after="0" w:line="150" w:lineRule="exact"/>
        <w:rPr>
          <w:sz w:val="20"/>
          <w:szCs w:val="20"/>
          <w:color w:val="auto"/>
        </w:rPr>
      </w:pPr>
    </w:p>
    <w:p>
      <w:pPr>
        <w:jc w:val="both"/>
        <w:ind w:firstLine="376"/>
        <w:spacing w:after="0" w:line="266" w:lineRule="auto"/>
        <w:rPr>
          <w:sz w:val="20"/>
          <w:szCs w:val="20"/>
          <w:color w:val="auto"/>
        </w:rPr>
      </w:pPr>
      <w:r>
        <w:rPr>
          <w:rFonts w:ascii="Arial" w:cs="Arial" w:eastAsia="Arial" w:hAnsi="Arial"/>
          <w:sz w:val="14"/>
          <w:szCs w:val="14"/>
          <w:color w:val="auto"/>
        </w:rPr>
        <w:t>We have experienced rapid growth in our business. Recent and future growth imposes significant added responsibilities on management, including the need to identify, recruit, train, and integrate additional employees. Rapid expansion in personnel could mean that less experienced people carry out our research and development activities, manufacture,</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5"/>
          <w:szCs w:val="15"/>
          <w:color w:val="auto"/>
        </w:rPr>
        <w:t>market, and sell CellFX System and NPS therapies and treatments,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unexpected expansion difficulties could have a material adverse effect on our business, financial condition and results of operations and our ability to timely execute our business plan. If we are unable to manage our growth effectively, it may be difficult for us to execute our business strategy and our business could be harmed.</w:t>
      </w:r>
    </w:p>
    <w:p>
      <w:pPr>
        <w:spacing w:after="0" w:line="131" w:lineRule="exact"/>
        <w:rPr>
          <w:sz w:val="20"/>
          <w:szCs w:val="20"/>
          <w:color w:val="auto"/>
        </w:rPr>
      </w:pPr>
    </w:p>
    <w:p>
      <w:pPr>
        <w:jc w:val="both"/>
        <w:ind w:firstLine="376"/>
        <w:spacing w:after="0"/>
        <w:rPr>
          <w:sz w:val="20"/>
          <w:szCs w:val="20"/>
          <w:color w:val="auto"/>
        </w:rPr>
      </w:pPr>
      <w:r>
        <w:rPr>
          <w:rFonts w:ascii="Arial" w:cs="Arial" w:eastAsia="Arial" w:hAnsi="Arial"/>
          <w:sz w:val="15"/>
          <w:szCs w:val="15"/>
          <w:b w:val="1"/>
          <w:bCs w:val="1"/>
          <w:i w:val="1"/>
          <w:iCs w:val="1"/>
          <w:color w:val="auto"/>
        </w:rPr>
        <w:t>We are subject to laws and regulations relating to personally identifiable information, and maintain other sensitive information. 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28"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4"/>
          <w:szCs w:val="14"/>
          <w:color w:val="auto"/>
        </w:rPr>
        <w:t>In the ordinary course of our business,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data, unauthorized disclosure and unauthorized access, as well as risks associated with our ability to identify and audit such events.</w:t>
      </w:r>
    </w:p>
    <w:p>
      <w:pPr>
        <w:spacing w:after="0" w:line="117" w:lineRule="exact"/>
        <w:rPr>
          <w:sz w:val="20"/>
          <w:szCs w:val="20"/>
          <w:color w:val="auto"/>
        </w:rPr>
      </w:pPr>
    </w:p>
    <w:p>
      <w:pPr>
        <w:jc w:val="both"/>
        <w:ind w:firstLine="376"/>
        <w:spacing w:after="0" w:line="250" w:lineRule="auto"/>
        <w:rPr>
          <w:sz w:val="20"/>
          <w:szCs w:val="20"/>
          <w:color w:val="auto"/>
        </w:rPr>
      </w:pPr>
      <w:r>
        <w:rPr>
          <w:rFonts w:ascii="Arial" w:cs="Arial" w:eastAsia="Arial" w:hAnsi="Arial"/>
          <w:sz w:val="14"/>
          <w:szCs w:val="14"/>
          <w:color w:val="auto"/>
        </w:rPr>
        <w:t>Although we take measures to protect sensitive information from unauthorized access or disclosure, our information technology and infrastructure, or those of our vendors, may be vulnerable to attacks by hackers or viruses or otherwise breached due to employee error, malfeasance or other activities. While we believe we have not experienced any such attack or breach, we, and our vendors may be unable to anticipate attacks, to implement adequate preventative or mitigation measures, to identify any attacks or incidents on a timely basis, or to remediate or otherwise address any attacks or incidents in a timely manner. If any such attack or other incident were to occur, our systems and networks would be compromised and the information we store on those systems and networks could be accessed by unauthorized parties, publicly disclosed, lost or stolen. Any such access, disclosure or other loss of information could result in a loss of intellectual property protection, legal claims or proceedings,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2" w:name="page23"/>
    <w:bookmarkEnd w:id="22"/>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liability under laws that protect the privacy of personal information, such as the federal Health Insurance Portability and Accountability Act of 1996 (HIPAA), as amended by the Health Information Technology for Economic and Clinical Health Act of 2009 (HITECH), and the California Consumer Privacy Act of 2018 (CCPA), which was enacted in June 2018 and became operative on January 1, 2020, or regulatory penalties, and could require substantial efforts to remediate and otherwise respond to the incident. The CCPA requires covered companies to, among other things, make certain enhanced disclosures related to California residents regarding our use or disclosure of their personal information, allow California residents to opt-out of certain uses and disclosures of their personal information without penalty, provide Californians with other choices related to personal data in our possession, and obtain opt-in consent before engaging in certain uses of personal information relating to Californians under the age of 16. The California Attorney General may seek substantial monetary penalties and injunctive relief in the event of our non-compliance with the CCPA. The CCPA also allows for private lawsuits from Californians in the event of certain data breaches. Certain aspects of the CCPA and its interpretation remain uncertain, and we may need to modify our policies or practices in an effort to comply with it. Moreover, a new privacy law, the California Privacy Rights Act (CPRA) was recently approved by California voters, which significantly modifies the CCPA, resulting in further uncertainty and requiring us to incur additional costs and expenses in an effort to comply.</w:t>
      </w:r>
    </w:p>
    <w:p>
      <w:pPr>
        <w:spacing w:after="0" w:line="125" w:lineRule="exact"/>
        <w:rPr>
          <w:sz w:val="20"/>
          <w:szCs w:val="20"/>
          <w:color w:val="auto"/>
        </w:rPr>
      </w:pPr>
    </w:p>
    <w:p>
      <w:pPr>
        <w:jc w:val="both"/>
        <w:ind w:firstLine="376"/>
        <w:spacing w:after="0" w:line="231" w:lineRule="auto"/>
        <w:rPr>
          <w:sz w:val="20"/>
          <w:szCs w:val="20"/>
          <w:color w:val="auto"/>
        </w:rPr>
      </w:pPr>
      <w:r>
        <w:rPr>
          <w:rFonts w:ascii="Arial" w:cs="Arial" w:eastAsia="Arial" w:hAnsi="Arial"/>
          <w:sz w:val="15"/>
          <w:szCs w:val="15"/>
          <w:color w:val="auto"/>
        </w:rPr>
        <w:t>Unauthorized access, loss or dissemination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 We cannot be certain that our insurance coverage will be adequate for data handling or data security liabilities actually incurred, that insurance will continue to be available to us on economically reasonable terms, or at all, or that any future claim will not be excluded or otherwise be denied coverage by any insurer.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29"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auto"/>
        </w:rPr>
        <w:t>In addition, the interpretation and application of federal and state consumer, health-related and data protection laws in the U.S. are often uncertain, contradictory and in flux. It is possible that these laws may be interpreted and applied in a manner that is, or alleged to be, inconsistent with our practices. If so, this could result in regulatory investigations and enforcement actions, private litigation, claims for damages, and government-imposed fines or orders requiring that we change our practices, any of which could adversely affect our business. Complying with these various laws could cause us to incur substantial costs or require us to change our business practices, systems and compliance procedures in a manner adverse to our business.</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Product liability lawsuits against us could cause us to incur substantial liabilities and to limit commercialization of our product or any future products that we may develop.</w:t>
      </w:r>
    </w:p>
    <w:p>
      <w:pPr>
        <w:spacing w:after="0" w:line="173"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decreased demand for our product or any planned products that we may develop;</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injury to our reputation and significant negative media attention;</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withdrawal of patients from clinical studies or cancellation of studies;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significant costs to defend the related litigation and distraction to our management team;</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substantial monetary awards to patients;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loss of revenue; and</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inability to commercialize any future products that we may develop.</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3" w:name="page24"/>
    <w:bookmarkEnd w:id="23"/>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jc w:val="both"/>
        <w:ind w:firstLine="376"/>
        <w:spacing w:after="0" w:line="247" w:lineRule="auto"/>
        <w:rPr>
          <w:sz w:val="20"/>
          <w:szCs w:val="20"/>
          <w:color w:val="auto"/>
        </w:rPr>
      </w:pPr>
      <w:r>
        <w:rPr>
          <w:rFonts w:ascii="Arial" w:cs="Arial" w:eastAsia="Arial" w:hAnsi="Arial"/>
          <w:sz w:val="14"/>
          <w:szCs w:val="14"/>
          <w:color w:val="auto"/>
        </w:rPr>
        <w:t>For example, for our clinical trials in the field of oncology, patients with the types and stages of cancer targeted by our NPS technology may already be in severe and advanced stages of disease, may have worsened conditions despite traditional therapies, may not be surgical candidates, and/or may have both known and unknown significant pre-existing and potentially life-threatening conditions. During the course of treatment, patients may suffer adverse events, including death, for reasons that may be related to our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currently maintain product liability insurance coverage, which may not be adequate to cover all liabilities that we may incur. Insurance coverage is increasingly expensive.</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We may not be able to maintain insurance coverage at a reasonable cost or in an amount adequate to satisfy any liability that may arise.</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ability to utilize our net operating loss carryforwards and certain other tax attributes may be limited.</w:t>
      </w:r>
    </w:p>
    <w:p>
      <w:pPr>
        <w:spacing w:after="0" w:line="150" w:lineRule="exact"/>
        <w:rPr>
          <w:sz w:val="20"/>
          <w:szCs w:val="20"/>
          <w:color w:val="auto"/>
        </w:rPr>
      </w:pPr>
    </w:p>
    <w:p>
      <w:pPr>
        <w:jc w:val="both"/>
        <w:ind w:right="20" w:firstLine="376"/>
        <w:spacing w:after="0" w:line="236" w:lineRule="auto"/>
        <w:rPr>
          <w:sz w:val="20"/>
          <w:szCs w:val="20"/>
          <w:color w:val="auto"/>
        </w:rPr>
      </w:pPr>
      <w:r>
        <w:rPr>
          <w:rFonts w:ascii="Arial" w:cs="Arial" w:eastAsia="Arial" w:hAnsi="Arial"/>
          <w:sz w:val="15"/>
          <w:szCs w:val="15"/>
          <w:color w:val="auto"/>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spacing w:after="0" w:line="129" w:lineRule="exact"/>
        <w:rPr>
          <w:sz w:val="20"/>
          <w:szCs w:val="20"/>
          <w:color w:val="auto"/>
        </w:rPr>
      </w:pPr>
    </w:p>
    <w:p>
      <w:pPr>
        <w:jc w:val="both"/>
        <w:ind w:firstLine="376"/>
        <w:spacing w:after="0" w:line="265" w:lineRule="auto"/>
        <w:rPr>
          <w:sz w:val="20"/>
          <w:szCs w:val="20"/>
          <w:color w:val="auto"/>
        </w:rPr>
      </w:pPr>
      <w:r>
        <w:rPr>
          <w:rFonts w:ascii="Arial" w:cs="Arial" w:eastAsia="Arial" w:hAnsi="Arial"/>
          <w:sz w:val="14"/>
          <w:szCs w:val="14"/>
          <w:color w:val="auto"/>
        </w:rPr>
        <w:t>In addition, under Section 382 of the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12"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4"/>
          <w:szCs w:val="14"/>
          <w:color w:val="auto"/>
        </w:rPr>
        <w:t>The Coronavirus Aid, Relief, and Economic Security Act, or the CARES Act, was enacted on March 27, 2020 in the U.S. and provides economic relief, helping to generate liquidity for companies negatively affected by the COVID-19 pandemic. Key provisions of the act include delaying certain payroll tax payments, Section 163(j)limitation increases and Section 172(b)(1) NOL carrybacks and carryforwards. The CARES Act modifies the NOL rule to allow for a five-year carryback period for NOLs incurred for tax years beginning after Dec. 31, 2017, but before Jan. 1, 2021. There has been no material impact to the Company's financial statements as a result of this legislation.</w:t>
      </w:r>
    </w:p>
    <w:p>
      <w:pPr>
        <w:spacing w:after="0" w:line="117"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18"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4"/>
          <w:szCs w:val="14"/>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Product Development</w:t>
      </w:r>
    </w:p>
    <w:p>
      <w:pPr>
        <w:spacing w:after="0" w:line="154"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Clinical development involves a lengthy and expensive process with an uncertain outcome, and results of earlier studies and trials may not be predictive of future trial results.</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3"/>
          <w:szCs w:val="13"/>
          <w:color w:val="auto"/>
        </w:rPr>
        <w:t>Clinical testing is expensive and can take many years to complete, and its outcome is inherently uncertain. Failure or delay can occur at any time during the clinical trial process.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Success in nonclinical studies and early feasibility clinical studies does not ensure that expanded clinical trials that will be used to support regulatory submissions will be successful.</w:t>
      </w:r>
    </w:p>
    <w:p>
      <w:pPr>
        <w:spacing w:after="0"/>
        <w:rPr>
          <w:sz w:val="20"/>
          <w:szCs w:val="20"/>
          <w:color w:val="auto"/>
        </w:rPr>
      </w:pPr>
      <w:r>
        <w:rPr>
          <w:rFonts w:ascii="Arial" w:cs="Arial" w:eastAsia="Arial" w:hAnsi="Arial"/>
          <w:sz w:val="15"/>
          <w:szCs w:val="15"/>
          <w:color w:val="auto"/>
        </w:rPr>
        <w:t>These setbacks have been caused by, among other things, nonclinical findings made while clinical trials were underway, and safety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4" w:name="page25"/>
    <w:bookmarkEnd w:id="24"/>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ind w:right="20"/>
        <w:spacing w:after="0" w:line="255" w:lineRule="auto"/>
        <w:rPr>
          <w:sz w:val="20"/>
          <w:szCs w:val="20"/>
          <w:color w:val="auto"/>
        </w:rPr>
      </w:pPr>
      <w:r>
        <w:rPr>
          <w:rFonts w:ascii="Arial" w:cs="Arial" w:eastAsia="Arial" w:hAnsi="Arial"/>
          <w:sz w:val="15"/>
          <w:szCs w:val="15"/>
          <w:color w:val="auto"/>
        </w:rPr>
        <w:t>or efficacy observations made in clinical trials, including previously unreported adverse events. Even if our clinical trials are completed, the results may not be sufficient to obtain regulatory approval or clearance for our product candidates.</w:t>
      </w:r>
    </w:p>
    <w:p>
      <w:pPr>
        <w:spacing w:after="0" w:line="118"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118"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31" w:lineRule="exact"/>
        <w:rPr>
          <w:sz w:val="20"/>
          <w:szCs w:val="20"/>
          <w:color w:val="auto"/>
        </w:rPr>
      </w:pPr>
    </w:p>
    <w:p>
      <w:pPr>
        <w:jc w:val="both"/>
        <w:ind w:right="20" w:firstLine="376"/>
        <w:spacing w:after="0" w:line="291" w:lineRule="auto"/>
        <w:rPr>
          <w:sz w:val="20"/>
          <w:szCs w:val="20"/>
          <w:color w:val="auto"/>
        </w:rPr>
      </w:pPr>
      <w:r>
        <w:rPr>
          <w:rFonts w:ascii="Arial" w:cs="Arial" w:eastAsia="Arial" w:hAnsi="Arial"/>
          <w:sz w:val="14"/>
          <w:szCs w:val="14"/>
          <w:b w:val="1"/>
          <w:bCs w:val="1"/>
          <w:i w:val="1"/>
          <w:iCs w:val="1"/>
          <w:color w:val="auto"/>
        </w:rPr>
        <w:t>If we fail to maintain necessary regulatory clearance for our product, or if clearances or approvals for future devices and indications are delayed or not issued, our commercial operations would be harmed. Additionally, changes in methods of product candidate manufacturing may result in additional costs or delay.</w:t>
      </w:r>
    </w:p>
    <w:p>
      <w:pPr>
        <w:spacing w:after="0" w:line="94"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Our product candidates under development are medical devices that are subject to extensive regulation by FDA in the U.S. and by regulatory agencies in other countries where we plan to do business. Government regulations specific to medical devices are wide-ranging and govern, among other things:</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device design, development and manufacture;</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laboratory, pre-clinical and clinical testing, labeling, packaging, storage and distribution;</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premarketing clearance or approval;</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record keeping;</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device marketing, promotion and advertising, sales and distribution; and</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post-marketing surveillance, including reporting of deaths and serious injuries and recalls and correction and removals.</w:t>
      </w:r>
    </w:p>
    <w:p>
      <w:pPr>
        <w:spacing w:after="0" w:line="150" w:lineRule="exact"/>
        <w:rPr>
          <w:sz w:val="20"/>
          <w:szCs w:val="20"/>
          <w:color w:val="auto"/>
        </w:rPr>
      </w:pPr>
    </w:p>
    <w:p>
      <w:pPr>
        <w:jc w:val="both"/>
        <w:ind w:firstLine="376"/>
        <w:spacing w:after="0" w:line="249" w:lineRule="auto"/>
        <w:rPr>
          <w:sz w:val="20"/>
          <w:szCs w:val="20"/>
          <w:color w:val="auto"/>
        </w:rPr>
      </w:pPr>
      <w:r>
        <w:rPr>
          <w:rFonts w:ascii="Arial" w:cs="Arial" w:eastAsia="Arial" w:hAnsi="Arial"/>
          <w:sz w:val="14"/>
          <w:szCs w:val="14"/>
          <w:color w:val="auto"/>
        </w:rPr>
        <w:t>Before a new medical device or a new intended use for, an existing device can be marketed in the U.S., a company must first submit and receive either 510(k) clearance or PMA from the FDA, unless an exemption applies. In the 510(k) 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w:t>
      </w:r>
    </w:p>
    <w:p>
      <w:pPr>
        <w:spacing w:after="0" w:line="122" w:lineRule="exact"/>
        <w:rPr>
          <w:sz w:val="20"/>
          <w:szCs w:val="20"/>
          <w:color w:val="auto"/>
        </w:rPr>
      </w:pPr>
    </w:p>
    <w:p>
      <w:pPr>
        <w:jc w:val="both"/>
        <w:ind w:right="20" w:firstLine="376"/>
        <w:spacing w:after="0"/>
        <w:rPr>
          <w:sz w:val="20"/>
          <w:szCs w:val="20"/>
          <w:color w:val="auto"/>
        </w:rPr>
      </w:pPr>
      <w:r>
        <w:rPr>
          <w:rFonts w:ascii="Arial" w:cs="Arial" w:eastAsia="Arial" w:hAnsi="Arial"/>
          <w:sz w:val="15"/>
          <w:szCs w:val="15"/>
          <w:color w:val="auto"/>
        </w:rPr>
        <w:t>In February 2021, we received a 510(k) clearance from the U.S. FDA for our CellFX System for dermatologic procedures requiring ablation and resurfacing of the skin. Following this general dermatologic indication, we plan to pursue specific indications for the CellFX System, starting with an indication for the treatment of SH lesions. This will require an additional 510(k) submission, as will each subsequent indication, and will likely be based on comparative clinical data.</w:t>
      </w:r>
    </w:p>
    <w:p>
      <w:pPr>
        <w:spacing w:after="0" w:line="128"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auto"/>
        </w:rPr>
        <w:t>However, the failure to obtain further 510(k) clearances may add significant time and expense to our regulatory clearance process, may delay our ability to generate revenue, and may have a negative impact on our stock price. We may not be able to obtain the necessary clearances or approvals necessary to market our CellFX System for specific indications or such approvals or clearances may be unduly delayed, which could harm our business. If the FDA rejects our 510(k) submissions for specific indications, we may be required to obtain FDA approval through the de novo pathway, which will require additional time and resources, including the need to conduct more clinical studies to demonstrate safety and effectiveness of our candidate device.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5" w:name="page26"/>
    <w:bookmarkEnd w:id="25"/>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The FDA may not approve or clear, or may delay approval or clearance of,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actions which may prevent or delay approval or clearance of our products under development. Any of these actions could have a material adverse effect on our business operations and financial condition.</w:t>
      </w:r>
    </w:p>
    <w:p>
      <w:pPr>
        <w:spacing w:after="0" w:line="129"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4"/>
          <w:szCs w:val="14"/>
          <w:color w:val="auto"/>
        </w:rPr>
        <w:t>The FDA and the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17"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FDA and state authorities have broad enforcement powers. Our failure to comply with applicable regulatory requirements could result in enforcement action by the FDA or state agencies, which may include any of the following sanctions:</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adverse publicity, warning letters, fines, injunctions, consent decrees, and civil penalties;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repair, replacement, refunds, recall, or seizure of our devices;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operating restrictions, partial suspension, or total shutdown of production;</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refusing our requests for 510(k) clearance or premarket approval of new devices, new intended uses or modifications to existing devices;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withdrawing 510(k) clearance or premarket approvals that have already been granted; and</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criminal prosecution.</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If any of these events were to occur, our business and financial condition would be harmed.</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efforts may never demonstrate the feasibility of our technology</w:t>
      </w:r>
      <w:r>
        <w:rPr>
          <w:rFonts w:ascii="Arial" w:cs="Arial" w:eastAsia="Arial" w:hAnsi="Arial"/>
          <w:sz w:val="15"/>
          <w:szCs w:val="15"/>
          <w:color w:val="auto"/>
        </w:rPr>
        <w:t>.</w:t>
      </w:r>
    </w:p>
    <w:p>
      <w:pPr>
        <w:spacing w:after="0" w:line="150" w:lineRule="exact"/>
        <w:rPr>
          <w:sz w:val="20"/>
          <w:szCs w:val="20"/>
          <w:color w:val="auto"/>
        </w:rPr>
      </w:pPr>
    </w:p>
    <w:p>
      <w:pPr>
        <w:jc w:val="both"/>
        <w:ind w:firstLine="376"/>
        <w:spacing w:after="0" w:line="250" w:lineRule="auto"/>
        <w:rPr>
          <w:sz w:val="20"/>
          <w:szCs w:val="20"/>
          <w:color w:val="auto"/>
        </w:rPr>
      </w:pPr>
      <w:r>
        <w:rPr>
          <w:rFonts w:ascii="Arial" w:cs="Arial" w:eastAsia="Arial" w:hAnsi="Arial"/>
          <w:sz w:val="14"/>
          <w:szCs w:val="14"/>
          <w:color w:val="auto"/>
        </w:rPr>
        <w:t>Our research and development efforts remain subject to all of the risks associated with the development of new technology. Development of the underlying technology, including the development of our CellFX System, may be affected by unanticipated technical or other problems, among other development and research issues, and the possible insufficiency of funds needed in order to complete development of these products or devices. Regulatory and clinical hurdles or challenges also may result in delays and cause us to incur additional expenses that may increase our need for capital and result in additional losses. In addition, the potential indications for our NPS technology are numerous, and we may fail to pursue the most optimal indications. If we cannot complete, or if we experience significant delays in developing our technology, applications or products for use in potential commercial applications, particularly after incurring significant expenditures, our business may fail and investors may lose the entirety of their investment.</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The mechanism of action of NPS technology platform has not been fully determined or validated.</w:t>
      </w:r>
    </w:p>
    <w:p>
      <w:pPr>
        <w:spacing w:after="0" w:line="150"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auto"/>
        </w:rPr>
        <w:t>The exact mechanism(s) of action(s) of the NPS technology platform is not fully understood, and data is still being gathered regarding its use. Furthermore, there are only a relatively small number of scientists and researchers who can be considered experts in the use of this emerging technology. A full understanding of our product’s, and any future product’s, mechanism of action and a large scale of scientific experts are typically believed to make product development less risky. The FDA or similar foreign regulatory authorities may view this as increasing the potential risks, and diminishing the potential benefits, of products based on NPS technology. In addition, potential partners may view this as a limitation of the program, and it may be more challenging for us to obtain a partnership on favorable terms as a result.</w:t>
      </w:r>
    </w:p>
    <w:p>
      <w:pPr>
        <w:spacing w:after="0" w:line="131"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Our product and any product candidates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118"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 xml:space="preserve">The risk of failure of clinical development is high. For example, the vast majority of our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data has been a result of animal testing, and we have only completed a limited number of feasibility studies in humans. It is difficult to predict when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6" w:name="page27"/>
    <w:bookmarkEnd w:id="26"/>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spacing w:after="0"/>
        <w:rPr>
          <w:sz w:val="20"/>
          <w:szCs w:val="20"/>
          <w:color w:val="auto"/>
        </w:rPr>
      </w:pPr>
      <w:r>
        <w:rPr>
          <w:rFonts w:ascii="Arial" w:cs="Arial" w:eastAsia="Arial" w:hAnsi="Arial"/>
          <w:sz w:val="15"/>
          <w:szCs w:val="15"/>
          <w:color w:val="auto"/>
        </w:rPr>
        <w:t>if any planned future products will prove safe enough to receive regulatory approval or clearance. Undesirable side effects caused by our CellFX System, NPS pulses, or any of our planned future products could cause us or regulatory authorities to interrupt, delay or halt clinical trials. They could result in a more restrictive label or the delay or denial of regulatory approval of planned future products by the FDA or other comparable foreign regulatory authority.</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Additionally, if we or others identify undesirable side effects caused by such product, a number of potentially significant negative consequences could result, including:</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may be forced to recall such product and suspend the marketing of such product;</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regulatory authorities may withdraw their approvals of such product;</w:t>
      </w:r>
    </w:p>
    <w:p>
      <w:pPr>
        <w:spacing w:after="0" w:line="150" w:lineRule="exact"/>
        <w:rPr>
          <w:sz w:val="20"/>
          <w:szCs w:val="20"/>
          <w:color w:val="auto"/>
        </w:rPr>
      </w:pPr>
    </w:p>
    <w:p>
      <w:pPr>
        <w:ind w:left="540"/>
        <w:spacing w:after="0" w:line="255" w:lineRule="auto"/>
        <w:rPr>
          <w:sz w:val="20"/>
          <w:szCs w:val="20"/>
          <w:color w:val="auto"/>
        </w:rPr>
      </w:pPr>
      <w:r>
        <w:rPr>
          <w:rFonts w:ascii="Arial" w:cs="Arial" w:eastAsia="Arial" w:hAnsi="Arial"/>
          <w:sz w:val="15"/>
          <w:szCs w:val="15"/>
          <w:color w:val="auto"/>
        </w:rPr>
        <w:t>regulatory authorities may require additional warnings on the label and/or narrow the indication that could diminish the usage or otherwise limit the commercial success of such products;</w:t>
      </w:r>
    </w:p>
    <w:p>
      <w:pPr>
        <w:spacing w:after="0" w:line="118" w:lineRule="exact"/>
        <w:rPr>
          <w:sz w:val="20"/>
          <w:szCs w:val="20"/>
          <w:color w:val="auto"/>
        </w:rPr>
      </w:pPr>
    </w:p>
    <w:p>
      <w:pPr>
        <w:ind w:left="540" w:right="20"/>
        <w:spacing w:after="0" w:line="255" w:lineRule="auto"/>
        <w:rPr>
          <w:sz w:val="20"/>
          <w:szCs w:val="20"/>
          <w:color w:val="auto"/>
        </w:rPr>
      </w:pPr>
      <w:r>
        <w:rPr>
          <w:rFonts w:ascii="Arial" w:cs="Arial" w:eastAsia="Arial" w:hAnsi="Arial"/>
          <w:sz w:val="15"/>
          <w:szCs w:val="15"/>
          <w:color w:val="auto"/>
        </w:rPr>
        <w:t>the FDA or other regulatory authorities may issue safety alerts, Dear Healthcare Provider letters, press releases, or other communications containing warnings about such product;</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FDA may restrict distribution of our products and impose burdensome implementation requirements on us;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may be required to change the way the product is administered or conduct additional clinical trials;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could be sued and held liable for harm caused to subjects or patients;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may be subject to litigation or product liability claims; and</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reputation may suffer.</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Any of these events could prevent us from achieving or maintaining market acceptance of the particular planned product, if approved.</w:t>
      </w:r>
    </w:p>
    <w:p>
      <w:pPr>
        <w:spacing w:after="0" w:line="150"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b w:val="1"/>
          <w:bCs w:val="1"/>
          <w:i w:val="1"/>
          <w:iCs w:val="1"/>
          <w:color w:val="auto"/>
        </w:rPr>
        <w:t>Our business is dependent upon physicians adopting our CellFX System and NPS technology, and if we fail to obtain broad adoption, our business would be adversely affected.</w:t>
      </w:r>
    </w:p>
    <w:p>
      <w:pPr>
        <w:spacing w:after="0" w:line="118" w:lineRule="exact"/>
        <w:rPr>
          <w:sz w:val="20"/>
          <w:szCs w:val="20"/>
          <w:color w:val="auto"/>
        </w:rPr>
      </w:pPr>
    </w:p>
    <w:p>
      <w:pPr>
        <w:jc w:val="both"/>
        <w:ind w:firstLine="376"/>
        <w:spacing w:after="0" w:line="249" w:lineRule="auto"/>
        <w:rPr>
          <w:sz w:val="20"/>
          <w:szCs w:val="20"/>
          <w:color w:val="auto"/>
        </w:rPr>
      </w:pPr>
      <w:r>
        <w:rPr>
          <w:rFonts w:ascii="Arial" w:cs="Arial" w:eastAsia="Arial" w:hAnsi="Arial"/>
          <w:sz w:val="14"/>
          <w:szCs w:val="14"/>
          <w:color w:val="auto"/>
        </w:rPr>
        <w:t>Our success depends on our ability to educate physicians regarding the benefits of CellFX procedures over existing treatment modalities and to persuade them to prescribe CellFX procedures for their patients. We do not know if the CellFX System or NPS technology will be successful over the long term, and market acceptance may be hindered if physicians are not presented with compelling data demonstrating the efficacy and safety of our products compared to alternative treatments. Any studies we, or third parties, may conduct comparing our CellFX System or NPS technology with alternative treatments may be expensive, time consuming or may not yield positive results. Additionally, adoption will be directly influenced by a number of financial factors, including the ability of providers to attract cash payments from patients or to obtain sufficient reimbursement from third-party commercial payors, and the Centers for Medicare &amp; Medicaid Services (CMS) for the professional services they provide in administering CellFX procedures. The efficacy, safety,</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5"/>
          <w:szCs w:val="15"/>
          <w:color w:val="auto"/>
        </w:rPr>
        <w:t>performance and cost-effectiveness of our CellFX System, NPS technology, or other potential products based on NPS technology, on a stand-alone basis and relative to competing services, will determine the availability and level of reimbursement received by us and providers. If physicians do not adopt and prescribe our future products, we may never become profitable.</w:t>
      </w:r>
    </w:p>
    <w:p>
      <w:pPr>
        <w:spacing w:after="0" w:line="128"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We may find it difficult to enroll patients in our clinical trials. If we cannot enroll a sufficient number of eligible patients to participate in the clinical trials, we may not be able to initiate or continue clinical trials, which could delay or prevent development of our product candidates.</w:t>
      </w:r>
    </w:p>
    <w:p>
      <w:pPr>
        <w:spacing w:after="0" w:line="118"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4"/>
          <w:szCs w:val="14"/>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7" w:name="page28"/>
    <w:bookmarkEnd w:id="27"/>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spacing w:after="0" w:line="232" w:lineRule="auto"/>
        <w:rPr>
          <w:sz w:val="20"/>
          <w:szCs w:val="20"/>
          <w:color w:val="auto"/>
        </w:rPr>
      </w:pPr>
      <w:r>
        <w:rPr>
          <w:rFonts w:ascii="Arial" w:cs="Arial" w:eastAsia="Arial" w:hAnsi="Arial"/>
          <w:sz w:val="15"/>
          <w:szCs w:val="15"/>
          <w:color w:val="auto"/>
        </w:rPr>
        <w:t>may be unable to use the data gathered at those sites.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 Our clinical trials may be affected by the COVID-19 pandemic. Site initiation and patient enrollment may be delayed, for example, due to prioritization of hospital resources toward the COVID-19 pandemic, travel restrictions imposed by governments, and the inability to access sites for initiation and monitoring.</w:t>
      </w:r>
    </w:p>
    <w:p>
      <w:pPr>
        <w:spacing w:after="0" w:line="129"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Laboratory conditions differ from commercial conditions and field conditions, and the safety and effectiveness of our product candidates may depend on the technique of the user.</w:t>
      </w:r>
    </w:p>
    <w:p>
      <w:pPr>
        <w:spacing w:after="0" w:line="118" w:lineRule="exact"/>
        <w:rPr>
          <w:sz w:val="20"/>
          <w:szCs w:val="20"/>
          <w:color w:val="auto"/>
        </w:rPr>
      </w:pPr>
    </w:p>
    <w:p>
      <w:pPr>
        <w:jc w:val="both"/>
        <w:ind w:firstLine="376"/>
        <w:spacing w:after="0" w:line="231" w:lineRule="auto"/>
        <w:rPr>
          <w:sz w:val="20"/>
          <w:szCs w:val="20"/>
          <w:color w:val="auto"/>
        </w:rPr>
      </w:pPr>
      <w:r>
        <w:rPr>
          <w:rFonts w:ascii="Arial" w:cs="Arial" w:eastAsia="Arial" w:hAnsi="Arial"/>
          <w:sz w:val="15"/>
          <w:szCs w:val="15"/>
          <w:color w:val="auto"/>
        </w:rPr>
        <w:t>Observations and developments that may be achievable under laboratory circumstances may not be able to be replicated in broader research and development phases, in commercial settings, or in the use of any of the product candidates in the field. Furthermore, CellFX procedures will be administered by healthcare professionals and will require a degree of training and practice to administer correctly. Treatment results achieved during the laboratory or in clinical trials conducted by us or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In addition, there may be a selection bias in the patients and/or sites of administration chosen for any clinical trials that would positively affect treatment results that may not be representative or predictive of real-world experience with our products.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Issues with our firmware and software may negatively affect the function of our devices.</w:t>
      </w:r>
    </w:p>
    <w:p>
      <w:pPr>
        <w:spacing w:after="0" w:line="150"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auto"/>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it is potentially subject to malfunction which in turn may harm a patient. Further, it may be vulnerable to physical break-ins, hackers, improper employee or contractor access, computer viruses, programming errors, data breaches, or similar problems. Any of these might result in harm to a patient or the unauthorized release of confidential medical, business or other information of other persons or of ours.</w:t>
      </w:r>
    </w:p>
    <w:p>
      <w:pPr>
        <w:spacing w:after="0" w:line="131" w:lineRule="exact"/>
        <w:rPr>
          <w:sz w:val="20"/>
          <w:szCs w:val="20"/>
          <w:color w:val="auto"/>
        </w:rPr>
      </w:pPr>
    </w:p>
    <w:p>
      <w:pPr>
        <w:jc w:val="both"/>
        <w:ind w:firstLine="376"/>
        <w:spacing w:after="0"/>
        <w:rPr>
          <w:sz w:val="20"/>
          <w:szCs w:val="20"/>
          <w:color w:val="auto"/>
        </w:rPr>
      </w:pPr>
      <w:r>
        <w:rPr>
          <w:rFonts w:ascii="Arial" w:cs="Arial" w:eastAsia="Arial" w:hAnsi="Arial"/>
          <w:sz w:val="15"/>
          <w:szCs w:val="15"/>
          <w:b w:val="1"/>
          <w:bCs w:val="1"/>
          <w:i w:val="1"/>
          <w:iCs w:val="1"/>
          <w:color w:val="auto"/>
        </w:rPr>
        <w:t>We may encounter manufacturing problems or delays that could result in lost revenue. Additionally, we currently rely on third-party suppliers for critical materials needed to manufacture our CellFX System and related applicators. Any problems experienced by these suppliers could result in a delay or interruption of their supply to us, and as a result, we may face delays in the development and commercialization of planned products.</w:t>
      </w:r>
    </w:p>
    <w:p>
      <w:pPr>
        <w:spacing w:after="0" w:line="128" w:lineRule="exact"/>
        <w:rPr>
          <w:sz w:val="20"/>
          <w:szCs w:val="20"/>
          <w:color w:val="auto"/>
        </w:rPr>
      </w:pPr>
    </w:p>
    <w:p>
      <w:pPr>
        <w:jc w:val="both"/>
        <w:ind w:firstLine="376"/>
        <w:spacing w:after="0" w:line="231" w:lineRule="auto"/>
        <w:rPr>
          <w:sz w:val="20"/>
          <w:szCs w:val="20"/>
          <w:color w:val="auto"/>
        </w:rPr>
      </w:pPr>
      <w:r>
        <w:rPr>
          <w:rFonts w:ascii="Arial" w:cs="Arial" w:eastAsia="Arial" w:hAnsi="Arial"/>
          <w:sz w:val="15"/>
          <w:szCs w:val="15"/>
          <w:color w:val="auto"/>
        </w:rPr>
        <w:t>We perform final assembly of our devices at our facility in California. We believe we have an adequate inventory of materials and manufacturing capacity to support all our commercial launch activities. However, if demand for our product increases significantly, we will need to either expand our manufacturing capabilities or outsource to other manufacturers. We are in the process of commencing commercial-scale manufacturing of our product, and we currently rely upon third-party suppliers to manufacture and supply components for our CellFX System. The manufacture of these products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FDA requirements, other federal and state regulatory requirements, and foreign regulations.</w:t>
      </w:r>
    </w:p>
    <w:p>
      <w:pPr>
        <w:spacing w:after="0" w:line="129" w:lineRule="exact"/>
        <w:rPr>
          <w:sz w:val="20"/>
          <w:szCs w:val="20"/>
          <w:color w:val="auto"/>
        </w:rPr>
      </w:pPr>
    </w:p>
    <w:p>
      <w:pPr>
        <w:jc w:val="both"/>
        <w:ind w:firstLine="376"/>
        <w:spacing w:after="0" w:line="231" w:lineRule="auto"/>
        <w:rPr>
          <w:sz w:val="20"/>
          <w:szCs w:val="20"/>
          <w:color w:val="auto"/>
        </w:rPr>
      </w:pPr>
      <w:r>
        <w:rPr>
          <w:rFonts w:ascii="Arial" w:cs="Arial" w:eastAsia="Arial" w:hAnsi="Arial"/>
          <w:sz w:val="15"/>
          <w:szCs w:val="15"/>
          <w:color w:val="auto"/>
        </w:rPr>
        <w:t>We do not control the manufacturing process of, and are completely dependent on, our contract manufacturing partners for compliance with the regulatory requirements, and if our contract manufacturers cannot successfully manufacture our product that conforms to our specifications and the strict regulatory requirements of the FDA or comparable regulatory authorities in foreign jurisdictions, we may not be able to rely on their manufacturing facilities for the manufacture of our product.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product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8" w:name="page29"/>
    <w:bookmarkEnd w:id="28"/>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4"/>
          <w:szCs w:val="14"/>
          <w:color w:val="auto"/>
        </w:rPr>
        <w:t>We currently purchase components for our CellFX System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These suppliers may be adversely impacted by COVID-19 which could affect their ability to perform satisfactorily. Any failure of these suppliers to perform satisfactorily could adversely impact our business and results of operations and we may experience delays in manufacturing of our devices while finding another acceptable supplier.</w:t>
      </w:r>
    </w:p>
    <w:p>
      <w:pPr>
        <w:spacing w:after="0" w:line="117"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18" w:lineRule="exact"/>
        <w:rPr>
          <w:sz w:val="20"/>
          <w:szCs w:val="20"/>
          <w:color w:val="auto"/>
        </w:rPr>
      </w:pPr>
    </w:p>
    <w:p>
      <w:pPr>
        <w:jc w:val="both"/>
        <w:ind w:firstLine="376"/>
        <w:spacing w:after="0" w:line="250" w:lineRule="auto"/>
        <w:rPr>
          <w:sz w:val="20"/>
          <w:szCs w:val="20"/>
          <w:color w:val="auto"/>
        </w:rPr>
      </w:pPr>
      <w:r>
        <w:rPr>
          <w:rFonts w:ascii="Arial" w:cs="Arial" w:eastAsia="Arial" w:hAnsi="Arial"/>
          <w:sz w:val="14"/>
          <w:szCs w:val="14"/>
          <w:color w:val="auto"/>
        </w:rPr>
        <w:t>We believe that the commercial viability of our device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U.S. and other jurisdictions in Europe and other regions,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24" w:lineRule="exact"/>
        <w:rPr>
          <w:sz w:val="20"/>
          <w:szCs w:val="20"/>
          <w:color w:val="auto"/>
        </w:rPr>
      </w:pPr>
    </w:p>
    <w:p>
      <w:pPr>
        <w:jc w:val="both"/>
        <w:ind w:firstLine="376"/>
        <w:spacing w:after="0" w:line="230" w:lineRule="auto"/>
        <w:rPr>
          <w:sz w:val="20"/>
          <w:szCs w:val="20"/>
          <w:color w:val="auto"/>
        </w:rPr>
      </w:pPr>
      <w:r>
        <w:rPr>
          <w:rFonts w:ascii="Arial" w:cs="Arial" w:eastAsia="Arial" w:hAnsi="Arial"/>
          <w:sz w:val="15"/>
          <w:szCs w:val="15"/>
          <w:color w:val="auto"/>
        </w:rPr>
        <w:t>Medicare, Medicaid, health maintenance organizations and other third-party payers are increasingly attempting to contain healthcare costs by limiting both the scope of coverage and the level of reimbursement of new medical technologies and products, and as a result, they may not cover or provide adequate payment for the use of our planned products. In order to obtain satisfactory reimbursement arrangements, we may have to agree to reduce the fee or sales price than initially planned.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treatments involving our proposed devices and products, we cannot be certain that the reimbursement levels will be adequate. Accordingly, even if our planned products are approved for commercial sale, unless government and other third-party payers provide adequate coverage and reimbursement for our devices and products, some physicians may be discouraged from using them, and our sales would suffer.</w:t>
      </w:r>
    </w:p>
    <w:p>
      <w:pPr>
        <w:spacing w:after="0" w:line="130" w:lineRule="exact"/>
        <w:rPr>
          <w:sz w:val="20"/>
          <w:szCs w:val="20"/>
          <w:color w:val="auto"/>
        </w:rPr>
      </w:pPr>
    </w:p>
    <w:p>
      <w:pPr>
        <w:jc w:val="both"/>
        <w:ind w:firstLine="376"/>
        <w:spacing w:after="0" w:line="230" w:lineRule="auto"/>
        <w:rPr>
          <w:sz w:val="20"/>
          <w:szCs w:val="20"/>
          <w:color w:val="auto"/>
        </w:rPr>
      </w:pPr>
      <w:r>
        <w:rPr>
          <w:rFonts w:ascii="Arial" w:cs="Arial" w:eastAsia="Arial" w:hAnsi="Arial"/>
          <w:sz w:val="15"/>
          <w:szCs w:val="15"/>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any of our proposed devices and products, as they are still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30"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129" w:lineRule="exact"/>
        <w:rPr>
          <w:sz w:val="20"/>
          <w:szCs w:val="20"/>
          <w:color w:val="auto"/>
        </w:rPr>
      </w:pPr>
    </w:p>
    <w:p>
      <w:pPr>
        <w:jc w:val="both"/>
        <w:ind w:firstLine="376"/>
        <w:spacing w:after="0" w:line="291" w:lineRule="auto"/>
        <w:rPr>
          <w:sz w:val="20"/>
          <w:szCs w:val="20"/>
          <w:color w:val="auto"/>
        </w:rPr>
      </w:pPr>
      <w:r>
        <w:rPr>
          <w:rFonts w:ascii="Arial" w:cs="Arial" w:eastAsia="Arial" w:hAnsi="Arial"/>
          <w:sz w:val="14"/>
          <w:szCs w:val="14"/>
          <w:b w:val="1"/>
          <w:bCs w:val="1"/>
          <w:i w:val="1"/>
          <w:iCs w:val="1"/>
          <w:color w:val="auto"/>
        </w:rPr>
        <w:t>We work with outside scientists and their institutions in developing our product and product candidates. These scientists may have other commitments or conflicts of interest, which could limit our access to their expertise, harm our ability to leverage our discovery platforms, or negatively impact our clinical trials.</w:t>
      </w:r>
    </w:p>
    <w:p>
      <w:pPr>
        <w:spacing w:after="0" w:line="94"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We work with scientific advisors and collaborators at academic research institutions in connection with our product development. These scientists and collaborators are not our employees, but they serve as either independent contractors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9" w:name="page30"/>
    <w:bookmarkEnd w:id="29"/>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spacing w:after="0" w:line="230" w:lineRule="auto"/>
        <w:rPr>
          <w:sz w:val="20"/>
          <w:szCs w:val="20"/>
          <w:color w:val="auto"/>
        </w:rPr>
      </w:pPr>
      <w:r>
        <w:rPr>
          <w:rFonts w:ascii="Arial" w:cs="Arial" w:eastAsia="Arial" w:hAnsi="Arial"/>
          <w:sz w:val="15"/>
          <w:szCs w:val="15"/>
          <w:color w:val="auto"/>
        </w:rPr>
        <w:t>researchers under research agreements that we have with their sponsoring clinic, academic institution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 To the extent these scientists and collaborators may receive cash or equity compensation in connection with such services from time to time, these relationships and any related compensation may result in perceived or actual conflicts of interest, or a regulatory authority to conclude that the financial relationship may have affected the interpretation of the trial, such that the integrity of the data generated at the applicable clinical trial site may be questioned and the utility of the clinical trial itself may be jeopardized, which could result in the delay or rejection of the marketing application we submit.</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Intellectual Property</w:t>
      </w:r>
    </w:p>
    <w:p>
      <w:pPr>
        <w:spacing w:after="0" w:line="154"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If we or our licensors are unable to protect our/their intellectual property, then our financial condition, results of operations and the value of our technology and products could be adversely affected.</w:t>
      </w:r>
    </w:p>
    <w:p>
      <w:pPr>
        <w:spacing w:after="0" w:line="118" w:lineRule="exact"/>
        <w:rPr>
          <w:sz w:val="20"/>
          <w:szCs w:val="20"/>
          <w:color w:val="auto"/>
        </w:rPr>
      </w:pPr>
    </w:p>
    <w:p>
      <w:pPr>
        <w:jc w:val="both"/>
        <w:ind w:firstLine="376"/>
        <w:spacing w:after="0" w:line="246" w:lineRule="auto"/>
        <w:rPr>
          <w:sz w:val="20"/>
          <w:szCs w:val="20"/>
          <w:color w:val="auto"/>
        </w:rPr>
      </w:pPr>
      <w:r>
        <w:rPr>
          <w:rFonts w:ascii="Arial" w:cs="Arial" w:eastAsia="Arial" w:hAnsi="Arial"/>
          <w:sz w:val="14"/>
          <w:szCs w:val="14"/>
          <w:color w:val="auto"/>
        </w:rPr>
        <w:t>Patents and other proprietary rights are essential to our business, and our ability to compete effectively with other companies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and our licensors, may not successfully prosecute or continue to prosecute the patent applications which we have licensed. Even if patents are issued in respect of these patent applications, we or our licensors may fail to maintain these patents, may determine not to pursue litigation against entities that are infringing upon these patents, or may pursue such enforcement less aggressively than we ordinarily would for our own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25"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118"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If we are the target of claims by third parties asserting that our products or intellectual property infringe upon the rights of others, we may be forced to incur substantial expenses or divert substantial employee resources from our business. If successful, those claims could result in our having to pay substantial damages or could prevent us from developing one or more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29" w:lineRule="exact"/>
        <w:rPr>
          <w:sz w:val="20"/>
          <w:szCs w:val="20"/>
          <w:color w:val="auto"/>
        </w:rPr>
      </w:pPr>
    </w:p>
    <w:p>
      <w:pPr>
        <w:jc w:val="both"/>
        <w:ind w:firstLine="376"/>
        <w:spacing w:after="0" w:line="229" w:lineRule="auto"/>
        <w:rPr>
          <w:sz w:val="20"/>
          <w:szCs w:val="20"/>
          <w:color w:val="auto"/>
        </w:rPr>
      </w:pPr>
      <w:r>
        <w:rPr>
          <w:rFonts w:ascii="Arial" w:cs="Arial" w:eastAsia="Arial" w:hAnsi="Arial"/>
          <w:sz w:val="15"/>
          <w:szCs w:val="15"/>
          <w:color w:val="auto"/>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0" w:name="page31"/>
    <w:bookmarkEnd w:id="30"/>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development or commercialization rights to products or technology from third parties, we could lose license rights that are important to our business.</w:t>
      </w:r>
    </w:p>
    <w:p>
      <w:pPr>
        <w:spacing w:after="0" w:line="118" w:lineRule="exact"/>
        <w:rPr>
          <w:sz w:val="20"/>
          <w:szCs w:val="20"/>
          <w:color w:val="auto"/>
        </w:rPr>
      </w:pPr>
    </w:p>
    <w:p>
      <w:pPr>
        <w:jc w:val="both"/>
        <w:ind w:firstLine="376"/>
        <w:spacing w:after="0" w:line="244" w:lineRule="auto"/>
        <w:rPr>
          <w:sz w:val="20"/>
          <w:szCs w:val="20"/>
          <w:color w:val="auto"/>
        </w:rPr>
      </w:pPr>
      <w:r>
        <w:rPr>
          <w:rFonts w:ascii="Arial" w:cs="Arial" w:eastAsia="Arial" w:hAnsi="Arial"/>
          <w:sz w:val="14"/>
          <w:szCs w:val="14"/>
          <w:color w:val="auto"/>
        </w:rPr>
        <w:t>We hold licenses from Old Dominion University Research Foundation (ODURF) and Eastern Virginia Medical School (EVMS) and from Alfred E. Mann Institute for Biomedical Engineering at the University of Southern California to intellectual property relating to the sub-microsecond electric field technology, as well as applicator design and configuration, and pulse generators in addition to the intellectual property that we own for these things. For the continuance of the license with ODURF and EVMS, we must continue to comply with the various obligations set forth in the license. If we fail to meet these obligations, the licensor will have the right to terminate the applicable license or modify certain terms of the license agreement. Generally, the loss of any one of our current licenses, or any other license we may acquire in the future, could harm our business, prospects, financial condition, and results of operation.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assure you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intellectual property rights will not necessarily provide us with competitive advantages.</w:t>
      </w:r>
    </w:p>
    <w:p>
      <w:pPr>
        <w:spacing w:after="0" w:line="150"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18" w:lineRule="exact"/>
        <w:rPr>
          <w:sz w:val="20"/>
          <w:szCs w:val="20"/>
          <w:color w:val="auto"/>
        </w:rPr>
      </w:pPr>
    </w:p>
    <w:p>
      <w:pPr>
        <w:ind w:left="540" w:right="80"/>
        <w:spacing w:after="0" w:line="449" w:lineRule="auto"/>
        <w:rPr>
          <w:sz w:val="20"/>
          <w:szCs w:val="20"/>
          <w:color w:val="auto"/>
        </w:rPr>
      </w:pPr>
      <w:r>
        <w:rPr>
          <w:rFonts w:ascii="Arial" w:cs="Arial" w:eastAsia="Arial" w:hAnsi="Arial"/>
          <w:sz w:val="15"/>
          <w:szCs w:val="15"/>
          <w:color w:val="auto"/>
        </w:rPr>
        <w:t>others may be able to make products that are similar to our product candidates but that are not covered by the claims of the patents that we own or have exclusively licensed; others may independently develop similar or alternative technologies without infringing on our intellectual property rights;</w:t>
      </w:r>
    </w:p>
    <w:p>
      <w:pPr>
        <w:ind w:left="540"/>
        <w:spacing w:after="0" w:line="255" w:lineRule="auto"/>
        <w:rPr>
          <w:sz w:val="20"/>
          <w:szCs w:val="20"/>
          <w:color w:val="auto"/>
        </w:rPr>
      </w:pPr>
      <w:r>
        <w:rPr>
          <w:rFonts w:ascii="Arial" w:cs="Arial" w:eastAsia="Arial" w:hAnsi="Arial"/>
          <w:sz w:val="15"/>
          <w:szCs w:val="15"/>
          <w:color w:val="auto"/>
        </w:rPr>
        <w:t>issued patents that we own or have exclusively licensed may not provide us with any competitive advantages, or may be held invalid or unenforceable, as a result of legal challenges by our competitors;</w:t>
      </w:r>
    </w:p>
    <w:p>
      <w:pPr>
        <w:spacing w:after="0" w:line="118" w:lineRule="exact"/>
        <w:rPr>
          <w:sz w:val="20"/>
          <w:szCs w:val="20"/>
          <w:color w:val="auto"/>
        </w:rPr>
      </w:pPr>
    </w:p>
    <w:p>
      <w:pPr>
        <w:ind w:left="540" w:right="20"/>
        <w:spacing w:after="0" w:line="255" w:lineRule="auto"/>
        <w:rPr>
          <w:sz w:val="20"/>
          <w:szCs w:val="20"/>
          <w:color w:val="auto"/>
        </w:rPr>
      </w:pPr>
      <w:r>
        <w:rPr>
          <w:rFonts w:ascii="Arial" w:cs="Arial" w:eastAsia="Arial" w:hAnsi="Arial"/>
          <w:sz w:val="15"/>
          <w:szCs w:val="15"/>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118" w:lineRule="exact"/>
        <w:rPr>
          <w:sz w:val="20"/>
          <w:szCs w:val="20"/>
          <w:color w:val="auto"/>
        </w:rPr>
      </w:pPr>
    </w:p>
    <w:p>
      <w:pPr>
        <w:ind w:left="540" w:right="20"/>
        <w:spacing w:after="0" w:line="255" w:lineRule="auto"/>
        <w:rPr>
          <w:sz w:val="20"/>
          <w:szCs w:val="20"/>
          <w:color w:val="auto"/>
        </w:rPr>
      </w:pPr>
      <w:r>
        <w:rPr>
          <w:rFonts w:ascii="Arial" w:cs="Arial" w:eastAsia="Arial" w:hAnsi="Arial"/>
          <w:sz w:val="15"/>
          <w:szCs w:val="15"/>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may fail to develop additional proprietary technologies that are patentable;</w:t>
      </w:r>
    </w:p>
    <w:p>
      <w:pPr>
        <w:spacing w:after="0" w:line="150" w:lineRule="exact"/>
        <w:rPr>
          <w:sz w:val="20"/>
          <w:szCs w:val="20"/>
          <w:color w:val="auto"/>
        </w:rPr>
      </w:pPr>
    </w:p>
    <w:p>
      <w:pPr>
        <w:ind w:left="540"/>
        <w:spacing w:after="0" w:line="255" w:lineRule="auto"/>
        <w:rPr>
          <w:sz w:val="20"/>
          <w:szCs w:val="20"/>
          <w:color w:val="auto"/>
        </w:rPr>
      </w:pPr>
      <w:r>
        <w:rPr>
          <w:rFonts w:ascii="Arial" w:cs="Arial" w:eastAsia="Arial" w:hAnsi="Arial"/>
          <w:sz w:val="15"/>
          <w:szCs w:val="15"/>
          <w:color w:val="auto"/>
        </w:rPr>
        <w:t>the laws of certain foreign countries may not protect our intellectual property rights to the same extent as the laws of the U.S., or we may fail to apply for or obtain adequate intellectual property protection in all the jurisdictions in which we operate; and</w:t>
      </w:r>
    </w:p>
    <w:p>
      <w:pPr>
        <w:spacing w:after="0" w:line="118" w:lineRule="exact"/>
        <w:rPr>
          <w:sz w:val="20"/>
          <w:szCs w:val="20"/>
          <w:color w:val="auto"/>
        </w:rPr>
      </w:pPr>
    </w:p>
    <w:p>
      <w:pPr>
        <w:ind w:left="540" w:right="20"/>
        <w:spacing w:after="0" w:line="255" w:lineRule="auto"/>
        <w:rPr>
          <w:sz w:val="20"/>
          <w:szCs w:val="20"/>
          <w:color w:val="auto"/>
        </w:rPr>
      </w:pPr>
      <w:r>
        <w:rPr>
          <w:rFonts w:ascii="Arial" w:cs="Arial" w:eastAsia="Arial" w:hAnsi="Arial"/>
          <w:sz w:val="15"/>
          <w:szCs w:val="15"/>
          <w:color w:val="auto"/>
        </w:rPr>
        <w:t>the patents of others may have an adverse effect on our business, for example by preventing us from marketing one or more of our product candidates for one or more indications.</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Any of the aforementioned threats to our competitive advantage could harm our business.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1" w:name="page32"/>
    <w:bookmarkEnd w:id="31"/>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If we are unable to protect the confidentiality of our proprietary information and know-how, the value of our technology and products could be adversely affected.</w:t>
      </w:r>
    </w:p>
    <w:p>
      <w:pPr>
        <w:spacing w:after="0" w:line="162" w:lineRule="exact"/>
        <w:rPr>
          <w:sz w:val="20"/>
          <w:szCs w:val="20"/>
          <w:color w:val="auto"/>
        </w:rPr>
      </w:pPr>
    </w:p>
    <w:p>
      <w:pPr>
        <w:jc w:val="both"/>
        <w:ind w:firstLine="376"/>
        <w:spacing w:after="0" w:line="246" w:lineRule="auto"/>
        <w:rPr>
          <w:sz w:val="20"/>
          <w:szCs w:val="20"/>
          <w:color w:val="auto"/>
        </w:rPr>
      </w:pPr>
      <w:r>
        <w:rPr>
          <w:rFonts w:ascii="Arial" w:cs="Arial" w:eastAsia="Arial" w:hAnsi="Arial"/>
          <w:sz w:val="14"/>
          <w:szCs w:val="14"/>
          <w:color w:val="auto"/>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or proprietary information in part by confidentiality agreements with our employees, consultants and third parties. While we require all of our employees, consultants, advisors and any third parties who have access to our proprietary know-how, information and technology to enter into confidentiality agreements, we cannot be certain that this know-how, information and technology will not be disclosed or that competitors will not otherwise gain access to our trade secrets or independently develop substantially equivalent information and techniques. These agreements may be terminated or breached, and we may not have adequate remedies for any such termination or breach. Furthermore, these agreements may not provide meaningful protection for our trade secrets and know-how in the event of unauthorized use or disclosure. To the extent that any of our staff were previously employed by other pharmaceutical, medical technology or biotechnology companies, those employers may allege violations of trade secrets and other similar claims in relation to their medical device development activities for us.</w:t>
      </w:r>
    </w:p>
    <w:p>
      <w:pPr>
        <w:spacing w:after="0" w:line="129"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18"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auto"/>
        </w:rPr>
        <w:t>The strength of our patents involves complex legal and scientific questions and can be uncertain. Our patents or patent applications may be challenged or our patent applications may fail to result in issued patents and our existing or future patents may be too narrow to prevent third-parties from developing or designing around our intellectual property and in that event we may lose competitive advantage and our business may suffer. Further, the patent applications that we license or have filed may fail to result in issued patents. The claims may need to be amended. Even after amendment, a patent may not issue and in that event we may not obtain the use of the intellectual property that we seek and may lose competitive advantage which could result in harm to our business.</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We may become involved in future lawsuits to protect or enforce our patents or the patents of our licensors, which could be expensive, time consuming and unsuccessful.</w:t>
      </w:r>
    </w:p>
    <w:p>
      <w:pPr>
        <w:spacing w:after="0" w:line="173" w:lineRule="exact"/>
        <w:rPr>
          <w:sz w:val="20"/>
          <w:szCs w:val="20"/>
          <w:color w:val="auto"/>
        </w:rPr>
      </w:pPr>
    </w:p>
    <w:p>
      <w:pPr>
        <w:jc w:val="both"/>
        <w:ind w:firstLine="376"/>
        <w:spacing w:after="0" w:line="247" w:lineRule="auto"/>
        <w:rPr>
          <w:sz w:val="20"/>
          <w:szCs w:val="20"/>
          <w:color w:val="auto"/>
        </w:rPr>
      </w:pPr>
      <w:r>
        <w:rPr>
          <w:rFonts w:ascii="Arial" w:cs="Arial" w:eastAsia="Arial" w:hAnsi="Arial"/>
          <w:sz w:val="14"/>
          <w:szCs w:val="14"/>
          <w:color w:val="auto"/>
        </w:rPr>
        <w:t>Competitors may infringe our patents or the patents of our licensors. To counter infringement or unauthorized use, we or our licensors may file infringement claims, which can be expensive and time consuming. In addition, in an infringement proceeding, a court may decide that a patent of ours, or of our licensors, is not valid or is unenforceable or may refuse to stop the other party from using the technology at issue on the grounds that our patents do not cover the technology in question. If we or any current licensors or future licensees or licensors with rights to prosecute, assert or defend patents related to our product candidates fail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An adverse result in any litigation or defense proceedings could put one or more of our patents at risk of being invalidated or interpreted narrowly and could put our patent applications at risk of not issuing.</w:t>
      </w:r>
    </w:p>
    <w:p>
      <w:pPr>
        <w:spacing w:after="0" w:line="127"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auto"/>
        </w:rPr>
        <w:t>The U.S. Patent and Trademark Office (USPTO) may initiate interference proceedings to determine the priority of inventions described in or otherwise affecting our patents and patent applications or those of our collaborators or licensors. An unfavorable outcome could require us to cease using the technology or to attempt to license rights to it from the prevailing party. Our business could be harmed if a prevailing party does not offer us a license on terms that are acceptable to us. Litigation or interference proceedings may fail and, even if successful, may result in substantial costs and distraction of our management and other employees. We may not be able to prevent, alone or with our licensors, misappropriation of our proprietary rights, particularly in countries where the laws may not protect those rights as fully as in the U.S.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2" w:name="page33"/>
    <w:bookmarkEnd w:id="32"/>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118" w:lineRule="exact"/>
        <w:rPr>
          <w:sz w:val="20"/>
          <w:szCs w:val="20"/>
          <w:color w:val="auto"/>
        </w:rPr>
      </w:pPr>
    </w:p>
    <w:p>
      <w:pPr>
        <w:jc w:val="both"/>
        <w:ind w:firstLine="376"/>
        <w:spacing w:after="0" w:line="244" w:lineRule="auto"/>
        <w:rPr>
          <w:sz w:val="20"/>
          <w:szCs w:val="20"/>
          <w:color w:val="auto"/>
        </w:rPr>
      </w:pPr>
      <w:r>
        <w:rPr>
          <w:rFonts w:ascii="Arial" w:cs="Arial" w:eastAsia="Arial" w:hAnsi="Arial"/>
          <w:sz w:val="14"/>
          <w:szCs w:val="14"/>
          <w:color w:val="auto"/>
        </w:rPr>
        <w:t>In addition to patents, we rely on trade secrets, technical know-how and proprietary information concerning our business strategy and product candidates in order to protect our competitive position, which are difficult to protect. As we collaborate with various third parties on the research and development of our planned products, we must, at times, share trade secrets with them. In the course of our research and development activities and our business activities, we rely on confidentiality agreements to protect our proprietary information. Such confidentiality agreements are used, for example, when we talk to vendors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and our trade secrets cannot be enforced against such independently developed knowledge.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132"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18" w:lineRule="exact"/>
        <w:rPr>
          <w:sz w:val="20"/>
          <w:szCs w:val="20"/>
          <w:color w:val="auto"/>
        </w:rPr>
      </w:pPr>
    </w:p>
    <w:p>
      <w:pPr>
        <w:jc w:val="both"/>
        <w:ind w:firstLine="376"/>
        <w:spacing w:after="0" w:line="231" w:lineRule="auto"/>
        <w:rPr>
          <w:sz w:val="20"/>
          <w:szCs w:val="20"/>
          <w:color w:val="auto"/>
        </w:rPr>
      </w:pPr>
      <w:r>
        <w:rPr>
          <w:rFonts w:ascii="Arial" w:cs="Arial" w:eastAsia="Arial" w:hAnsi="Arial"/>
          <w:sz w:val="15"/>
          <w:szCs w:val="15"/>
          <w:color w:val="auto"/>
        </w:rPr>
        <w:t>Although we seek to protect our ownership of intellectual property rights by ensuring that our agreements with our independent contractors, collaborators and other third parties with whom we do business include provisions requiring such parties to assign rights in inventions to us,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harm our business. Even if we are successful in defending against such claims, litigation could result in substantial costs and be a distraction to management and other employees.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may not be able to protect our intellectual property rights throughout the world.</w:t>
      </w:r>
    </w:p>
    <w:p>
      <w:pPr>
        <w:spacing w:after="0" w:line="150" w:lineRule="exact"/>
        <w:rPr>
          <w:sz w:val="20"/>
          <w:szCs w:val="20"/>
          <w:color w:val="auto"/>
        </w:rPr>
      </w:pPr>
    </w:p>
    <w:p>
      <w:pPr>
        <w:jc w:val="both"/>
        <w:ind w:firstLine="376"/>
        <w:spacing w:after="0" w:line="231" w:lineRule="auto"/>
        <w:rPr>
          <w:sz w:val="20"/>
          <w:szCs w:val="20"/>
          <w:color w:val="auto"/>
        </w:rPr>
      </w:pPr>
      <w:r>
        <w:rPr>
          <w:rFonts w:ascii="Arial" w:cs="Arial" w:eastAsia="Arial" w:hAnsi="Arial"/>
          <w:sz w:val="15"/>
          <w:szCs w:val="15"/>
          <w:color w:val="auto"/>
        </w:rPr>
        <w:t>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current or future product candidates, if any, and our patents or other intellectual property rights may not be effective or sufficient to prevent them from competing.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3" w:name="page34"/>
    <w:bookmarkEnd w:id="33"/>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jc w:val="both"/>
        <w:ind w:firstLine="376"/>
        <w:spacing w:after="0" w:line="247"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We believe this is caused by both the technical nature of the subject matter and a general enthusiasm for generic competition in developing countries and is not a concern that is specific to any particular foreign jurisdiction.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7" w:lineRule="exact"/>
        <w:rPr>
          <w:sz w:val="20"/>
          <w:szCs w:val="20"/>
          <w:color w:val="auto"/>
        </w:rPr>
      </w:pPr>
    </w:p>
    <w:p>
      <w:pPr>
        <w:jc w:val="both"/>
        <w:ind w:firstLine="376"/>
        <w:spacing w:after="0"/>
        <w:rPr>
          <w:sz w:val="20"/>
          <w:szCs w:val="20"/>
          <w:color w:val="auto"/>
        </w:rPr>
      </w:pPr>
      <w:r>
        <w:rPr>
          <w:rFonts w:ascii="Arial" w:cs="Arial" w:eastAsia="Arial" w:hAnsi="Arial"/>
          <w:sz w:val="15"/>
          <w:szCs w:val="15"/>
          <w:b w:val="1"/>
          <w:bCs w:val="1"/>
          <w:i w:val="1"/>
          <w:iCs w:val="1"/>
          <w:color w:val="auto"/>
        </w:rPr>
        <w:t>We have not yet registered some of our trademarks in all of our potential markets, and failure to secure those registrations could adversely affect our business. If our trademarks and trade names are not adequately protected, then we may not be able to build name recognition in our markets of interest and our business may be adversely affected.</w:t>
      </w:r>
    </w:p>
    <w:p>
      <w:pPr>
        <w:spacing w:after="0" w:line="128" w:lineRule="exact"/>
        <w:rPr>
          <w:sz w:val="20"/>
          <w:szCs w:val="20"/>
          <w:color w:val="auto"/>
        </w:rPr>
      </w:pPr>
    </w:p>
    <w:p>
      <w:pPr>
        <w:jc w:val="both"/>
        <w:ind w:firstLine="376"/>
        <w:spacing w:after="0" w:line="249" w:lineRule="auto"/>
        <w:rPr>
          <w:sz w:val="20"/>
          <w:szCs w:val="20"/>
          <w:color w:val="auto"/>
        </w:rPr>
      </w:pPr>
      <w:r>
        <w:rPr>
          <w:rFonts w:ascii="Arial" w:cs="Arial" w:eastAsia="Arial" w:hAnsi="Arial"/>
          <w:sz w:val="14"/>
          <w:szCs w:val="14"/>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Additionally, if we apply to register our trademarks in all of our potential markets, our applications may not be allowed for registration, and our registered trademarks may not be maintained or enforced.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 In such cases, over the long term, if we are unable to establish name recognition based on our trademarks and trade names, then our marketing abilities may be impacted.</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Changes in patent law could diminish the value of patents in general, thereby impairing our ability to protect our existing and future products.</w:t>
      </w:r>
    </w:p>
    <w:p>
      <w:pPr>
        <w:spacing w:after="0" w:line="150" w:lineRule="exact"/>
        <w:rPr>
          <w:sz w:val="20"/>
          <w:szCs w:val="20"/>
          <w:color w:val="auto"/>
        </w:rPr>
      </w:pPr>
    </w:p>
    <w:p>
      <w:pPr>
        <w:jc w:val="both"/>
        <w:ind w:firstLine="376"/>
        <w:spacing w:after="0" w:line="246" w:lineRule="auto"/>
        <w:rPr>
          <w:sz w:val="20"/>
          <w:szCs w:val="20"/>
          <w:color w:val="auto"/>
        </w:rPr>
      </w:pPr>
      <w:r>
        <w:rPr>
          <w:rFonts w:ascii="Arial" w:cs="Arial" w:eastAsia="Arial" w:hAnsi="Arial"/>
          <w:sz w:val="14"/>
          <w:szCs w:val="14"/>
          <w:color w:val="auto"/>
        </w:rPr>
        <w:t>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25"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4"/>
          <w:szCs w:val="14"/>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4" w:name="page35"/>
    <w:bookmarkEnd w:id="34"/>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Government Regulation</w:t>
      </w:r>
    </w:p>
    <w:p>
      <w:pPr>
        <w:spacing w:after="0" w:line="154"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b w:val="1"/>
          <w:bCs w:val="1"/>
          <w:i w:val="1"/>
          <w:iCs w:val="1"/>
          <w:color w:val="auto"/>
        </w:rPr>
        <w:t>We will be subject to stringent domestic and foreign regulation in respect of our device any potential devices and products. Any unfavorable regulatory action may materially and adversely affect our future financial condition and business operations and prospects.</w:t>
      </w:r>
    </w:p>
    <w:p>
      <w:pPr>
        <w:spacing w:after="0" w:line="118"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4"/>
          <w:szCs w:val="14"/>
          <w:color w:val="auto"/>
        </w:rPr>
        <w:t>Our device and any potential devices and products, further development activities and manufacturing and distribution, once developed and determined, will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take a significant, indeterminate amount of time;</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require the expenditure of substantial resources;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involve rigorous pre-clinical and clinical testing, and possibly post-market surveillance;</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involve modifications, repairs or replacements of our products;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require design changes of our products;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result in limitations on the indicated uses of our products; and</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result in our never being granted the regulatory approval or clearance we seek.</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If we experience any of these occurrences, our operations may suffer, we might experience harm to our competitive standing and result in further losses that adversely affect our financial condition.</w:t>
      </w:r>
    </w:p>
    <w:p>
      <w:pPr>
        <w:spacing w:after="0" w:line="118" w:lineRule="exact"/>
        <w:rPr>
          <w:sz w:val="20"/>
          <w:szCs w:val="20"/>
          <w:color w:val="auto"/>
        </w:rPr>
      </w:pPr>
    </w:p>
    <w:p>
      <w:pPr>
        <w:jc w:val="both"/>
        <w:ind w:firstLine="376"/>
        <w:spacing w:after="0" w:line="246" w:lineRule="auto"/>
        <w:rPr>
          <w:sz w:val="20"/>
          <w:szCs w:val="20"/>
          <w:color w:val="auto"/>
        </w:rPr>
      </w:pPr>
      <w:r>
        <w:rPr>
          <w:rFonts w:ascii="Arial" w:cs="Arial" w:eastAsia="Arial" w:hAnsi="Arial"/>
          <w:sz w:val="14"/>
          <w:szCs w:val="14"/>
          <w:color w:val="auto"/>
        </w:rPr>
        <w:t>We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and assess civil or criminal penalties against our officers, employees, or us. The FDA and similar foreign regulatory authorities have been increasing its scrutiny of the industry and the government is expected to continue to scrutinize the industry closely with inspections and possibly enforcement actions. Any adverse regulatory action, depending on its magnitude, may restrict us from effectively manufacturing, marketing and selling our devices and products. In addition, negative publicity and product liability claims resulting from any adverse regulatory action could have a material adverse effect on our financial condition and results of operations.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The continuing development of our CellFX System and other products depends upon maintaining strong working relationships with physicians.</w:t>
      </w:r>
    </w:p>
    <w:p>
      <w:pPr>
        <w:spacing w:after="0" w:line="150" w:lineRule="exact"/>
        <w:rPr>
          <w:sz w:val="20"/>
          <w:szCs w:val="20"/>
          <w:color w:val="auto"/>
        </w:rPr>
      </w:pPr>
    </w:p>
    <w:p>
      <w:pPr>
        <w:jc w:val="both"/>
        <w:ind w:firstLine="343"/>
        <w:spacing w:after="0" w:line="231" w:lineRule="auto"/>
        <w:rPr>
          <w:sz w:val="20"/>
          <w:szCs w:val="20"/>
          <w:color w:val="auto"/>
        </w:rPr>
      </w:pPr>
      <w:r>
        <w:rPr>
          <w:rFonts w:ascii="Arial" w:cs="Arial" w:eastAsia="Arial" w:hAnsi="Arial"/>
          <w:sz w:val="15"/>
          <w:szCs w:val="15"/>
          <w:color w:val="auto"/>
        </w:rPr>
        <w:t>The development, marketing, and sale of our product, and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35" w:name="page36"/>
    <w:bookmarkEnd w:id="35"/>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state attorneys general and other government agencies, could significantly harm our business, including compromising the use or integrity of our clinical data in regulatory submissions to the FDA or similar regulatory authorities.</w:t>
      </w:r>
    </w:p>
    <w:p>
      <w:pPr>
        <w:spacing w:after="0" w:line="118"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We are subject to healthcare and other laws and regulations relating to our business and could face substantial penalties if we are determined not to have fully complied with such laws, which would have an adverse impact on our business.</w:t>
      </w:r>
    </w:p>
    <w:p>
      <w:pPr>
        <w:spacing w:after="0" w:line="118" w:lineRule="exact"/>
        <w:rPr>
          <w:sz w:val="20"/>
          <w:szCs w:val="20"/>
          <w:color w:val="auto"/>
        </w:rPr>
      </w:pPr>
    </w:p>
    <w:p>
      <w:pPr>
        <w:jc w:val="both"/>
        <w:ind w:firstLine="376"/>
        <w:spacing w:after="0" w:line="277" w:lineRule="auto"/>
        <w:rPr>
          <w:sz w:val="20"/>
          <w:szCs w:val="20"/>
          <w:color w:val="auto"/>
        </w:rPr>
      </w:pPr>
      <w:r>
        <w:rPr>
          <w:rFonts w:ascii="Arial" w:cs="Arial" w:eastAsia="Arial" w:hAnsi="Arial"/>
          <w:sz w:val="13"/>
          <w:szCs w:val="13"/>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106" w:lineRule="exact"/>
        <w:rPr>
          <w:sz w:val="20"/>
          <w:szCs w:val="20"/>
          <w:color w:val="auto"/>
        </w:rPr>
      </w:pPr>
    </w:p>
    <w:p>
      <w:pPr>
        <w:jc w:val="both"/>
        <w:ind w:left="540"/>
        <w:spacing w:after="0" w:line="232" w:lineRule="auto"/>
        <w:rPr>
          <w:sz w:val="20"/>
          <w:szCs w:val="20"/>
          <w:color w:val="auto"/>
        </w:rPr>
      </w:pPr>
      <w:r>
        <w:rPr>
          <w:rFonts w:ascii="Arial" w:cs="Arial" w:eastAsia="Arial" w:hAnsi="Arial"/>
          <w:sz w:val="15"/>
          <w:szCs w:val="15"/>
          <w:color w:val="auto"/>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In addition, the government may assert that a claim including items or services resulting from a violation of the U.S. federal Anti-Kickback Statute constitutes a false or fraudulent claim for purposes of the civil False Claims Act;</w:t>
      </w:r>
    </w:p>
    <w:p>
      <w:pPr>
        <w:spacing w:after="0" w:line="129" w:lineRule="exact"/>
        <w:rPr>
          <w:sz w:val="20"/>
          <w:szCs w:val="20"/>
          <w:color w:val="auto"/>
        </w:rPr>
      </w:pPr>
    </w:p>
    <w:p>
      <w:pPr>
        <w:jc w:val="both"/>
        <w:ind w:left="540"/>
        <w:spacing w:after="0" w:line="257" w:lineRule="auto"/>
        <w:rPr>
          <w:sz w:val="20"/>
          <w:szCs w:val="20"/>
          <w:color w:val="auto"/>
        </w:rPr>
      </w:pPr>
      <w:r>
        <w:rPr>
          <w:rFonts w:ascii="Arial" w:cs="Arial" w:eastAsia="Arial" w:hAnsi="Arial"/>
          <w:sz w:val="14"/>
          <w:szCs w:val="14"/>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17" w:lineRule="exact"/>
        <w:rPr>
          <w:sz w:val="20"/>
          <w:szCs w:val="20"/>
          <w:color w:val="auto"/>
        </w:rPr>
      </w:pPr>
    </w:p>
    <w:p>
      <w:pPr>
        <w:jc w:val="both"/>
        <w:ind w:left="540"/>
        <w:spacing w:after="0" w:line="236" w:lineRule="auto"/>
        <w:rPr>
          <w:sz w:val="20"/>
          <w:szCs w:val="20"/>
          <w:color w:val="auto"/>
        </w:rPr>
      </w:pPr>
      <w:r>
        <w:rPr>
          <w:rFonts w:ascii="Arial" w:cs="Arial" w:eastAsia="Arial" w:hAnsi="Arial"/>
          <w:sz w:val="15"/>
          <w:szCs w:val="15"/>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29" w:lineRule="exact"/>
        <w:rPr>
          <w:sz w:val="20"/>
          <w:szCs w:val="20"/>
          <w:color w:val="auto"/>
        </w:rPr>
      </w:pPr>
    </w:p>
    <w:p>
      <w:pPr>
        <w:jc w:val="both"/>
        <w:ind w:left="540"/>
        <w:spacing w:after="0" w:line="236" w:lineRule="auto"/>
        <w:rPr>
          <w:sz w:val="20"/>
          <w:szCs w:val="20"/>
          <w:color w:val="auto"/>
        </w:rPr>
      </w:pPr>
      <w:r>
        <w:rPr>
          <w:rFonts w:ascii="Arial" w:cs="Arial" w:eastAsia="Arial" w:hAnsi="Arial"/>
          <w:sz w:val="15"/>
          <w:szCs w:val="15"/>
          <w:color w:val="auto"/>
        </w:rPr>
        <w:t>HIPAA, as amended by HITECH, and its implementing regulations, which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29" w:lineRule="exact"/>
        <w:rPr>
          <w:sz w:val="20"/>
          <w:szCs w:val="20"/>
          <w:color w:val="auto"/>
        </w:rPr>
      </w:pPr>
    </w:p>
    <w:p>
      <w:pPr>
        <w:jc w:val="both"/>
        <w:ind w:left="540"/>
        <w:spacing w:after="0" w:line="233" w:lineRule="auto"/>
        <w:rPr>
          <w:sz w:val="20"/>
          <w:szCs w:val="20"/>
          <w:color w:val="auto"/>
        </w:rPr>
      </w:pPr>
      <w:r>
        <w:rPr>
          <w:rFonts w:ascii="Arial" w:cs="Arial" w:eastAsia="Arial" w:hAnsi="Arial"/>
          <w:sz w:val="15"/>
          <w:szCs w:val="15"/>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w:t>
      </w:r>
    </w:p>
    <w:p>
      <w:pPr>
        <w:spacing w:after="0" w:line="131" w:lineRule="exact"/>
        <w:rPr>
          <w:sz w:val="20"/>
          <w:szCs w:val="20"/>
          <w:color w:val="auto"/>
        </w:rPr>
      </w:pPr>
    </w:p>
    <w:p>
      <w:pPr>
        <w:jc w:val="both"/>
        <w:ind w:left="540"/>
        <w:spacing w:after="0" w:line="265" w:lineRule="auto"/>
        <w:rPr>
          <w:sz w:val="20"/>
          <w:szCs w:val="20"/>
          <w:color w:val="auto"/>
        </w:rPr>
      </w:pPr>
      <w:r>
        <w:rPr>
          <w:rFonts w:ascii="Arial" w:cs="Arial" w:eastAsia="Arial" w:hAnsi="Arial"/>
          <w:sz w:val="14"/>
          <w:szCs w:val="14"/>
          <w:color w:val="auto"/>
        </w:rPr>
        <w:t>the CCPA, which went into effect in January 2020, requires covered companies to, among other things provide new disclosures to California consumers and afford such consumers new abilities to opt-out of certain sales of personal information. We cannot yet predict the impact of the CCPA or the recently approved CPRA on our business or operations, but it may require us to modify our data processing practices and policies to incur substantial costs and expenses in an effort to comply;</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36" w:name="page37"/>
    <w:bookmarkEnd w:id="36"/>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federal consumer protection and unfair competition laws, which broadly regulate marketplace activities and activities that potentially harm consumers; and</w:t>
      </w:r>
    </w:p>
    <w:p>
      <w:pPr>
        <w:spacing w:after="0" w:line="150" w:lineRule="exact"/>
        <w:rPr>
          <w:sz w:val="20"/>
          <w:szCs w:val="20"/>
          <w:color w:val="auto"/>
        </w:rPr>
      </w:pPr>
    </w:p>
    <w:p>
      <w:pPr>
        <w:jc w:val="both"/>
        <w:ind w:left="540"/>
        <w:spacing w:after="0" w:line="231" w:lineRule="auto"/>
        <w:rPr>
          <w:sz w:val="20"/>
          <w:szCs w:val="20"/>
          <w:color w:val="auto"/>
        </w:rPr>
      </w:pPr>
      <w:r>
        <w:rPr>
          <w:rFonts w:ascii="Arial" w:cs="Arial" w:eastAsia="Arial" w:hAnsi="Arial"/>
          <w:sz w:val="15"/>
          <w:szCs w:val="15"/>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29" w:lineRule="exact"/>
        <w:rPr>
          <w:sz w:val="20"/>
          <w:szCs w:val="20"/>
          <w:color w:val="auto"/>
        </w:rPr>
      </w:pPr>
    </w:p>
    <w:p>
      <w:pPr>
        <w:jc w:val="both"/>
        <w:ind w:firstLine="376"/>
        <w:spacing w:after="0" w:line="246" w:lineRule="auto"/>
        <w:rPr>
          <w:sz w:val="20"/>
          <w:szCs w:val="20"/>
          <w:color w:val="auto"/>
        </w:rPr>
      </w:pPr>
      <w:r>
        <w:rPr>
          <w:rFonts w:ascii="Arial" w:cs="Arial" w:eastAsia="Arial" w:hAnsi="Arial"/>
          <w:sz w:val="14"/>
          <w:szCs w:val="14"/>
          <w:color w:val="auto"/>
        </w:rPr>
        <w:t>We have implemented a compliance program to help identify and deter healthcare and other violations by employees and other third parties that perform services for us. Notwithstanding our efforts, it is possible that governmental authorities may conclude that our business practices do not comply with current or future statutes, regulations, agency guidance or case law involving applicable healthcare and other laws. In addition, we are subject to the risk that a person or government could allege violations of such laws, regulations and other obligations, or that fraud or other misconduct has taken place, even if none occurred. If any such actions are instituted against us,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individual imprisonment, other sanctions, contractual damages, reputational harm, diminished profits and future earnings and curtailment of our operations if we are not successful in defending ourselves or asserting our rights.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have a material adverse effect on our liquidity and financial condition.</w:t>
      </w:r>
    </w:p>
    <w:p>
      <w:pPr>
        <w:spacing w:after="0" w:line="129" w:lineRule="exact"/>
        <w:rPr>
          <w:sz w:val="20"/>
          <w:szCs w:val="20"/>
          <w:color w:val="auto"/>
        </w:rPr>
      </w:pPr>
    </w:p>
    <w:p>
      <w:pPr>
        <w:jc w:val="both"/>
        <w:ind w:right="20" w:firstLine="376"/>
        <w:spacing w:after="0" w:line="291" w:lineRule="auto"/>
        <w:rPr>
          <w:sz w:val="20"/>
          <w:szCs w:val="20"/>
          <w:color w:val="auto"/>
        </w:rPr>
      </w:pPr>
      <w:r>
        <w:rPr>
          <w:rFonts w:ascii="Arial" w:cs="Arial" w:eastAsia="Arial" w:hAnsi="Arial"/>
          <w:sz w:val="14"/>
          <w:szCs w:val="14"/>
          <w:b w:val="1"/>
          <w:bCs w:val="1"/>
          <w:i w:val="1"/>
          <w:iCs w:val="1"/>
          <w:color w:val="auto"/>
        </w:rPr>
        <w:t>To obtain the necessary device approvals or clearances from regulatory authorities for our future product candidates, we will have to conduct various pre-clinical and clinical tests, which may be costly and time consuming, and may not provide results that will allow us to seek regulatory approval or clearance.</w:t>
      </w:r>
    </w:p>
    <w:p>
      <w:pPr>
        <w:spacing w:after="0" w:line="94"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U.S., Canada, Europe and other countries where medical devices and products are regulated, can delay, limit or deny approval of a product for many reasons. For example, regulatory agencies:</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may not deem a technology or device to be reasonably safe or effective for any intended use or indication;</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may interpret data from pre-clinical and clinical testing differently than we do;</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may determine our manufacturing facility or processes do not comply with Quality System regulations;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may conclude that our device does not meet quality standards for durability, long-term reliability, biocompatibility, electromagnetic compatibility, or electrical safety; and</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may change their approval or clearance policies or adopt new regulations.</w:t>
      </w:r>
    </w:p>
    <w:p>
      <w:pPr>
        <w:spacing w:after="0" w:line="150"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The FDA may make requests or disagree with us regarding the design or conduct of our clinical trials, resulting in an increased risk of difficulties or delays in obtaining regulatory approval or clearance on future product candidates in the U.S. and increased costs.</w:t>
      </w:r>
    </w:p>
    <w:p>
      <w:pPr>
        <w:spacing w:after="0" w:line="118"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b w:val="1"/>
          <w:bCs w:val="1"/>
          <w:i w:val="1"/>
          <w:iCs w:val="1"/>
          <w:color w:val="auto"/>
        </w:rPr>
        <w:t>Even if a potential device or product ultimately is cleared or approved by the different regulatory authorities, it may be cleared or approved only for narrow indications which may render it commercially less viable.</w:t>
      </w:r>
    </w:p>
    <w:p>
      <w:pPr>
        <w:spacing w:after="0" w:line="118"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Even if we complete clinical testing and a potential device or product of ours is cleared or approved, it may not be cleared or approved for the indications that are necessary or desirable for a successful commercialization. The FDA may grant marketing authorization contingent on the performance of costly additional clinical trials which may be required after approval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37" w:name="page38"/>
    <w:bookmarkEnd w:id="37"/>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spacing w:after="0" w:line="233" w:lineRule="auto"/>
        <w:rPr>
          <w:sz w:val="20"/>
          <w:szCs w:val="20"/>
          <w:color w:val="auto"/>
        </w:rPr>
      </w:pPr>
      <w:r>
        <w:rPr>
          <w:rFonts w:ascii="Arial" w:cs="Arial" w:eastAsia="Arial" w:hAnsi="Arial"/>
          <w:sz w:val="15"/>
          <w:szCs w:val="15"/>
          <w:color w:val="auto"/>
        </w:rPr>
        <w:t>or clearance. The FDA also may approve or clear our lead product candidates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The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will be subject to ongoing requirements and inspections that could lead to the restriction, suspension or revocation of our clearance.</w:t>
      </w:r>
    </w:p>
    <w:p>
      <w:pPr>
        <w:spacing w:after="0" w:line="150" w:lineRule="exact"/>
        <w:rPr>
          <w:sz w:val="20"/>
          <w:szCs w:val="20"/>
          <w:color w:val="auto"/>
        </w:rPr>
      </w:pPr>
    </w:p>
    <w:p>
      <w:pPr>
        <w:jc w:val="both"/>
        <w:ind w:firstLine="376"/>
        <w:spacing w:after="0" w:line="247" w:lineRule="auto"/>
        <w:rPr>
          <w:sz w:val="20"/>
          <w:szCs w:val="20"/>
          <w:color w:val="auto"/>
        </w:rPr>
      </w:pPr>
      <w:r>
        <w:rPr>
          <w:rFonts w:ascii="Arial" w:cs="Arial" w:eastAsia="Arial" w:hAnsi="Arial"/>
          <w:sz w:val="14"/>
          <w:szCs w:val="14"/>
          <w:color w:val="auto"/>
        </w:rPr>
        <w:t>We, as well as any potential third-party manufacturer, will be required to adhere to FDA Quality System,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will limit our ability to operate and could increase our costs.</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Any failure or delay in completing clinical trials or studies for our devices and products and the expense of those trials may adversely affect our business.</w:t>
      </w:r>
    </w:p>
    <w:p>
      <w:pPr>
        <w:spacing w:after="0" w:line="162" w:lineRule="exact"/>
        <w:rPr>
          <w:sz w:val="20"/>
          <w:szCs w:val="20"/>
          <w:color w:val="auto"/>
        </w:rPr>
      </w:pPr>
    </w:p>
    <w:p>
      <w:pPr>
        <w:jc w:val="both"/>
        <w:ind w:firstLine="376"/>
        <w:spacing w:after="0" w:line="245" w:lineRule="auto"/>
        <w:rPr>
          <w:sz w:val="20"/>
          <w:szCs w:val="20"/>
          <w:color w:val="auto"/>
        </w:rPr>
      </w:pPr>
      <w:r>
        <w:rPr>
          <w:rFonts w:ascii="Arial" w:cs="Arial" w:eastAsia="Arial" w:hAnsi="Arial"/>
          <w:sz w:val="14"/>
          <w:szCs w:val="14"/>
          <w:color w:val="auto"/>
        </w:rPr>
        <w:t>Pre-clinical studies, clinical trials and post-clinical monitoring and trials required to demonstrate the reasonable safety and efficacy of our potential devices and products are and will be time consuming and expensive. If we must conduct additional clinical trials or other studies with respect to any of our proposed product candidates to those that are initially contemplated, if we are unable to successfully complete any clinical trials or other studies, or if the results of these trials or studies are not positive or are only modestly positive, we may be delayed in obtaining marketing approval for the planned products, we may not be able to obtain marketing approval, or we may obtain approval for indications that are not as broad as we seek. Our research and product development costs also will increase if we experience delays in testing or approvals. The completion of clinical trials for our proposed therapies, devices and products could be delayed because of our inability to manufacture or obtain from third-parties materials sufficient for use in pre-clinical studies and clinical trials; delays in patient enrollment and variability in the number and types of patients available for clinical trials; difficulty in maintaining contact with patients after treatment, resulting in incomplete data; poor effectiveness of proposed devices and products during clinical trials; unforeseen safety issues or side effects; and governmental or regulatory delays and changes in regulatory requirements and guidelines. If we incur significant delays in our clinical trials, our competitors may be able to bring their products to market before we do, which could result in harming our ability to commercialize our planned products. If we experience any of these occurrences our business will be materially harmed. Our clinical trials may be affected by the COVID-19 pandemic. Site initiation and patient enrollment may be delayed, for example, due to prioritization of hospital resources toward the COVID-19 pandemic, travel restrictions imposed by governments, and the inability to access sites for initiation and monitoring.</w:t>
      </w:r>
    </w:p>
    <w:p>
      <w:pPr>
        <w:spacing w:after="0" w:line="126"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118" w:lineRule="exact"/>
        <w:rPr>
          <w:sz w:val="20"/>
          <w:szCs w:val="20"/>
          <w:color w:val="auto"/>
        </w:rPr>
      </w:pPr>
    </w:p>
    <w:p>
      <w:pPr>
        <w:jc w:val="both"/>
        <w:ind w:firstLine="376"/>
        <w:spacing w:after="0" w:line="231" w:lineRule="auto"/>
        <w:rPr>
          <w:sz w:val="20"/>
          <w:szCs w:val="20"/>
          <w:color w:val="auto"/>
        </w:rPr>
      </w:pPr>
      <w:r>
        <w:rPr>
          <w:rFonts w:ascii="Arial" w:cs="Arial" w:eastAsia="Arial" w:hAnsi="Arial"/>
          <w:sz w:val="15"/>
          <w:szCs w:val="15"/>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 subject of some of our patents, the company could be subject to the march-in right and lose its exclusivity of those patents, and may suffer direct competition if any license is granted by the government under the march-in right to a competitor.</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38" w:name="page39"/>
    <w:bookmarkEnd w:id="38"/>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18" w:lineRule="exact"/>
        <w:rPr>
          <w:sz w:val="20"/>
          <w:szCs w:val="20"/>
          <w:color w:val="auto"/>
        </w:rPr>
      </w:pPr>
    </w:p>
    <w:p>
      <w:pPr>
        <w:jc w:val="both"/>
        <w:ind w:firstLine="376"/>
        <w:spacing w:after="0" w:line="249" w:lineRule="auto"/>
        <w:rPr>
          <w:sz w:val="20"/>
          <w:szCs w:val="20"/>
          <w:color w:val="auto"/>
        </w:rPr>
      </w:pPr>
      <w:r>
        <w:rPr>
          <w:rFonts w:ascii="Arial" w:cs="Arial" w:eastAsia="Arial" w:hAnsi="Arial"/>
          <w:sz w:val="14"/>
          <w:szCs w:val="14"/>
          <w:color w:val="auto"/>
        </w:rPr>
        <w:t>We are exposed to the risk of fraud or other misconduct by or employees, collaborators and other personnel, which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or (iii) healthcare fraud and abuse laws in the U.S.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22"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Healthcare policy changes, including recent federal legislation to reform the U.S. healthcare system, may have a material adverse effect on us.</w:t>
      </w:r>
    </w:p>
    <w:p>
      <w:pPr>
        <w:spacing w:after="0" w:line="150" w:lineRule="exact"/>
        <w:rPr>
          <w:sz w:val="20"/>
          <w:szCs w:val="20"/>
          <w:color w:val="auto"/>
        </w:rPr>
      </w:pPr>
    </w:p>
    <w:p>
      <w:pPr>
        <w:jc w:val="both"/>
        <w:ind w:firstLine="376"/>
        <w:spacing w:after="0" w:line="250" w:lineRule="auto"/>
        <w:rPr>
          <w:sz w:val="20"/>
          <w:szCs w:val="20"/>
          <w:color w:val="auto"/>
        </w:rPr>
      </w:pPr>
      <w:r>
        <w:rPr>
          <w:rFonts w:ascii="Arial" w:cs="Arial" w:eastAsia="Arial" w:hAnsi="Arial"/>
          <w:sz w:val="14"/>
          <w:szCs w:val="14"/>
          <w:color w:val="auto"/>
        </w:rPr>
        <w:t>Proposals by the federal government, state governments, regulators, and third-party payors to control or manage the increased costs of healthcare and to reform the U.S. healthcare system may impact our business significantly. Certain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and financial condition. We cannot predict the initiatives that may be adopted in the future or their full impact on our business. The continuing efforts of the government, insurance companies, managed care organizations and other payors of healthcare services to contain or reduce costs of healthcare may negatively impact our ability to set a price that we believe is fair for our products, our ability to generate revenue and achieve profitability, and the availability of capital.</w:t>
      </w:r>
    </w:p>
    <w:p>
      <w:pPr>
        <w:spacing w:after="0" w:line="124"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Our operations may be impacted by the Patient Protection and Affordable Care Act (PPACA). For example, the PPACA imposed, among other things, a 2.3% federal excise tax, with limited exceptions, on any entity that manufactures or imports Class I, II and III medical devices offered for sale in the U.S. that began on January 1, 2013. The excise tax was suspended for a two year period beginning January 1, 2016 and was further suspended through December 31, 2019. In December 2019, this excise tax was permanently repealed, effective after December 31, 2019.</w:t>
      </w:r>
    </w:p>
    <w:p>
      <w:pPr>
        <w:spacing w:after="0" w:line="129"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On January 2, 2013, the American Taxpayer Relief Act of 2012, came into effect, which, among other things, further reduced Medicare payments to several providers, including hospitals, and increased the statute of limitations period for the government to recover overpayments to providers from three to five years. We expect that additional state and federal healthcare reform measures will be adopted in the future, any of which could limit the amounts that federal and state governments will pay for healthcare devices and services, which could result in reduced demand for our devices or additional pricing pressures.</w:t>
      </w:r>
    </w:p>
    <w:p>
      <w:pPr>
        <w:spacing w:after="0" w:line="129"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4"/>
          <w:szCs w:val="14"/>
          <w:color w:val="auto"/>
        </w:rPr>
        <w:t>We face uncertainties that might result from modification or repeal of any of the provisions of the PPACA, including as a result of current and future executive orders and legislative actions. The impact of those changes on us and potential effect on the medical device industry as a whole is currently unknown. Any changes to the PPACA are likely to have an impact on our results of operations, and may have a material adverse effect on our results of operations. We cannot predict what other healthcare programs and regulations will ultimately be implemented at the federal or state level or the effect of any future legislation or regulation in the U.S. may have on our business.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39" w:name="page40"/>
    <w:bookmarkEnd w:id="39"/>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Owning Our Common Stock</w:t>
      </w:r>
    </w:p>
    <w:p>
      <w:pPr>
        <w:spacing w:after="0" w:line="154" w:lineRule="exact"/>
        <w:rPr>
          <w:sz w:val="20"/>
          <w:szCs w:val="20"/>
          <w:color w:val="auto"/>
        </w:rPr>
      </w:pPr>
    </w:p>
    <w:p>
      <w:pPr>
        <w:ind w:firstLine="376"/>
        <w:spacing w:after="0" w:line="255" w:lineRule="auto"/>
        <w:rPr>
          <w:sz w:val="20"/>
          <w:szCs w:val="20"/>
          <w:color w:val="auto"/>
        </w:rPr>
      </w:pPr>
      <w:r>
        <w:rPr>
          <w:rFonts w:ascii="Arial" w:cs="Arial" w:eastAsia="Arial" w:hAnsi="Arial"/>
          <w:sz w:val="15"/>
          <w:szCs w:val="15"/>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18" w:lineRule="exact"/>
        <w:rPr>
          <w:sz w:val="20"/>
          <w:szCs w:val="20"/>
          <w:color w:val="auto"/>
        </w:rPr>
      </w:pPr>
    </w:p>
    <w:p>
      <w:pPr>
        <w:ind w:firstLine="376"/>
        <w:spacing w:after="0" w:line="255" w:lineRule="auto"/>
        <w:rPr>
          <w:sz w:val="20"/>
          <w:szCs w:val="20"/>
          <w:color w:val="auto"/>
        </w:rPr>
      </w:pPr>
      <w:r>
        <w:rPr>
          <w:rFonts w:ascii="Arial" w:cs="Arial" w:eastAsia="Arial" w:hAnsi="Arial"/>
          <w:sz w:val="15"/>
          <w:szCs w:val="15"/>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results of clinical trials of our planned products or those of our competitors;</w:t>
      </w:r>
    </w:p>
    <w:p>
      <w:pPr>
        <w:spacing w:after="0" w:line="150" w:lineRule="exact"/>
        <w:rPr>
          <w:sz w:val="20"/>
          <w:szCs w:val="20"/>
          <w:color w:val="auto"/>
        </w:rPr>
      </w:pPr>
    </w:p>
    <w:p>
      <w:pPr>
        <w:ind w:left="540" w:right="900"/>
        <w:spacing w:after="0" w:line="449" w:lineRule="auto"/>
        <w:rPr>
          <w:sz w:val="20"/>
          <w:szCs w:val="20"/>
          <w:color w:val="auto"/>
        </w:rPr>
      </w:pPr>
      <w:r>
        <w:rPr>
          <w:rFonts w:ascii="Arial" w:cs="Arial" w:eastAsia="Arial" w:hAnsi="Arial"/>
          <w:sz w:val="15"/>
          <w:szCs w:val="15"/>
          <w:color w:val="auto"/>
        </w:rPr>
        <w:t>actions by regulatory bodies, such as the FDA, that affect our business or have the effect of delaying or rejecting approval or clearance of our planned products; actual or anticipated fluctuations in our financial condition and operating results;</w:t>
      </w:r>
    </w:p>
    <w:p>
      <w:pPr>
        <w:ind w:left="540" w:right="2960"/>
        <w:spacing w:after="0" w:line="449" w:lineRule="auto"/>
        <w:rPr>
          <w:sz w:val="20"/>
          <w:szCs w:val="20"/>
          <w:color w:val="auto"/>
        </w:rPr>
      </w:pPr>
      <w:r>
        <w:rPr>
          <w:rFonts w:ascii="Arial" w:cs="Arial" w:eastAsia="Arial" w:hAnsi="Arial"/>
          <w:sz w:val="15"/>
          <w:szCs w:val="15"/>
          <w:color w:val="auto"/>
        </w:rPr>
        <w:t>announcements by our customers, partners or suppliers relating directly or indirectly to our products, services or technologies; announcements of technological innovations by us or our competitors; changes in laws or regulations applicable to our planned products;</w:t>
      </w:r>
    </w:p>
    <w:p>
      <w:pPr>
        <w:ind w:left="540" w:right="360"/>
        <w:spacing w:after="0" w:line="449" w:lineRule="auto"/>
        <w:rPr>
          <w:sz w:val="20"/>
          <w:szCs w:val="20"/>
          <w:color w:val="auto"/>
        </w:rPr>
      </w:pPr>
      <w:r>
        <w:rPr>
          <w:rFonts w:ascii="Arial" w:cs="Arial" w:eastAsia="Arial" w:hAnsi="Arial"/>
          <w:sz w:val="15"/>
          <w:szCs w:val="15"/>
          <w:color w:val="auto"/>
        </w:rPr>
        <w:t>announcements by us or our competitors of significant acquisitions, strategic partnerships, joint ventures, capital commitments or achievement of significant milestones; additions or departures of key personnel;</w:t>
      </w:r>
    </w:p>
    <w:p>
      <w:pPr>
        <w:ind w:left="540"/>
        <w:spacing w:after="0"/>
        <w:rPr>
          <w:sz w:val="20"/>
          <w:szCs w:val="20"/>
          <w:color w:val="auto"/>
        </w:rPr>
      </w:pPr>
      <w:r>
        <w:rPr>
          <w:rFonts w:ascii="Arial" w:cs="Arial" w:eastAsia="Arial" w:hAnsi="Arial"/>
          <w:sz w:val="15"/>
          <w:szCs w:val="15"/>
          <w:color w:val="auto"/>
        </w:rPr>
        <w:t>competition from existing products or new products that may emerge;</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fluctuations in the valuation of companies perceived by investors to be comparable to us;</w:t>
      </w:r>
    </w:p>
    <w:p>
      <w:pPr>
        <w:spacing w:after="0" w:line="150" w:lineRule="exact"/>
        <w:rPr>
          <w:sz w:val="20"/>
          <w:szCs w:val="20"/>
          <w:color w:val="auto"/>
        </w:rPr>
      </w:pPr>
    </w:p>
    <w:p>
      <w:pPr>
        <w:ind w:left="540" w:right="140"/>
        <w:spacing w:after="0" w:line="449" w:lineRule="auto"/>
        <w:rPr>
          <w:sz w:val="20"/>
          <w:szCs w:val="20"/>
          <w:color w:val="auto"/>
        </w:rPr>
      </w:pPr>
      <w:r>
        <w:rPr>
          <w:rFonts w:ascii="Arial" w:cs="Arial" w:eastAsia="Arial" w:hAnsi="Arial"/>
          <w:sz w:val="15"/>
          <w:szCs w:val="15"/>
          <w:color w:val="auto"/>
        </w:rPr>
        <w:t>disputes or other developments related to proprietary rights, including patents, litigation matters or our ability to obtain intellectual property protection for our technologies; actual or alleged security breaches;</w:t>
      </w:r>
    </w:p>
    <w:p>
      <w:pPr>
        <w:ind w:left="540"/>
        <w:spacing w:after="0"/>
        <w:rPr>
          <w:sz w:val="20"/>
          <w:szCs w:val="20"/>
          <w:color w:val="auto"/>
        </w:rPr>
      </w:pPr>
      <w:r>
        <w:rPr>
          <w:rFonts w:ascii="Arial" w:cs="Arial" w:eastAsia="Arial" w:hAnsi="Arial"/>
          <w:sz w:val="15"/>
          <w:szCs w:val="15"/>
          <w:color w:val="auto"/>
        </w:rPr>
        <w:t>announcements or expectations of additional financing efforts;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sales of our common stock by us or our stockholders;</w:t>
      </w:r>
    </w:p>
    <w:p>
      <w:pPr>
        <w:spacing w:after="0" w:line="150" w:lineRule="exact"/>
        <w:rPr>
          <w:sz w:val="20"/>
          <w:szCs w:val="20"/>
          <w:color w:val="auto"/>
        </w:rPr>
      </w:pPr>
    </w:p>
    <w:p>
      <w:pPr>
        <w:ind w:left="540" w:right="4600"/>
        <w:spacing w:after="0" w:line="449" w:lineRule="auto"/>
        <w:rPr>
          <w:sz w:val="20"/>
          <w:szCs w:val="20"/>
          <w:color w:val="auto"/>
        </w:rPr>
      </w:pPr>
      <w:r>
        <w:rPr>
          <w:rFonts w:ascii="Arial" w:cs="Arial" w:eastAsia="Arial" w:hAnsi="Arial"/>
          <w:sz w:val="15"/>
          <w:szCs w:val="15"/>
          <w:color w:val="auto"/>
        </w:rPr>
        <w:t>stock price and volume fluctuations attributable to inconsistent trading volume levels of our shares; reports, guidance and ratings issued by securities or industry analysts;</w:t>
      </w:r>
    </w:p>
    <w:p>
      <w:pPr>
        <w:ind w:left="540" w:right="2660"/>
        <w:spacing w:after="0" w:line="449" w:lineRule="auto"/>
        <w:rPr>
          <w:sz w:val="20"/>
          <w:szCs w:val="20"/>
          <w:color w:val="auto"/>
        </w:rPr>
      </w:pPr>
      <w:r>
        <w:rPr>
          <w:rFonts w:ascii="Arial" w:cs="Arial" w:eastAsia="Arial" w:hAnsi="Arial"/>
          <w:sz w:val="15"/>
          <w:szCs w:val="15"/>
          <w:color w:val="auto"/>
        </w:rPr>
        <w:t>overall conditions in our industry and market including the negative impact of COVID-19 on the global economy and markets; and general economic and market conditions.</w:t>
      </w: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40" w:name="page41"/>
    <w:bookmarkEnd w:id="40"/>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jc w:val="both"/>
        <w:ind w:firstLine="376"/>
        <w:spacing w:after="0" w:line="249" w:lineRule="auto"/>
        <w:rPr>
          <w:sz w:val="20"/>
          <w:szCs w:val="20"/>
          <w:color w:val="auto"/>
        </w:rPr>
      </w:pPr>
      <w:r>
        <w:rPr>
          <w:rFonts w:ascii="Arial" w:cs="Arial" w:eastAsia="Arial" w:hAnsi="Arial"/>
          <w:sz w:val="14"/>
          <w:szCs w:val="14"/>
          <w:color w:val="auto"/>
        </w:rPr>
        <w:t>If any of the foregoing occurs, it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Sales or purchases of shares of our common stock may adversely affect the market for our common stock.</w:t>
      </w:r>
    </w:p>
    <w:p>
      <w:pPr>
        <w:spacing w:after="0" w:line="150"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4"/>
          <w:szCs w:val="14"/>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is not subject to any contractual restrictions with us on his ability to sell or transfer our common stock, and these sales or transfers could create substantial declines in the price of our securities or, if these sales or transfers were made to a single buyer or group of buyers, could contribute to a transfer of control of our company to a third party. Sales by Mr. Duggan of a substantial number of shares, or the expectation of such sales, could cause a significant reduction in the market price of our common stock.</w:t>
      </w:r>
    </w:p>
    <w:p>
      <w:pPr>
        <w:spacing w:after="0" w:line="120"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We may issue shares of common stock or securities convertible into, exchangeable or exercisable for our common stock from time to time in connection with financings, acquisitions, investments or otherwise. Any such issuances would result in dilution to some or all of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spacing w:after="0" w:line="129"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b w:val="1"/>
          <w:bCs w:val="1"/>
          <w:i w:val="1"/>
          <w:iCs w:val="1"/>
          <w:color w:val="auto"/>
        </w:rPr>
        <w:t>We do not know whether an active, liquid and orderly trading market will be maintained for our common stock and as a result it may be difficult for you to sell your common stock.</w:t>
      </w:r>
    </w:p>
    <w:p>
      <w:pPr>
        <w:spacing w:after="0" w:line="118"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or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29"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b w:val="1"/>
          <w:bCs w:val="1"/>
          <w:i w:val="1"/>
          <w:iCs w:val="1"/>
          <w:color w:val="auto"/>
        </w:rPr>
        <w:t>Concentration of ownership by our principal stockholder may limit your ability to influence the outcome of director elections and other transactions requiring stockholder approval, and our Loan Agreement with our principal stockholder contains certain covenants</w:t>
      </w:r>
      <w:r>
        <w:rPr>
          <w:rFonts w:ascii="Arial" w:cs="Arial" w:eastAsia="Arial" w:hAnsi="Arial"/>
          <w:sz w:val="15"/>
          <w:szCs w:val="15"/>
          <w:color w:val="auto"/>
        </w:rPr>
        <w:t>.</w:t>
      </w:r>
    </w:p>
    <w:p>
      <w:pPr>
        <w:spacing w:after="0" w:line="118" w:lineRule="exact"/>
        <w:rPr>
          <w:sz w:val="20"/>
          <w:szCs w:val="20"/>
          <w:color w:val="auto"/>
        </w:rPr>
      </w:pPr>
    </w:p>
    <w:p>
      <w:pPr>
        <w:jc w:val="both"/>
        <w:ind w:right="20" w:firstLine="376"/>
        <w:spacing w:after="0"/>
        <w:rPr>
          <w:sz w:val="20"/>
          <w:szCs w:val="20"/>
          <w:color w:val="auto"/>
        </w:rPr>
      </w:pPr>
      <w:r>
        <w:rPr>
          <w:rFonts w:ascii="Arial" w:cs="Arial" w:eastAsia="Arial" w:hAnsi="Arial"/>
          <w:sz w:val="15"/>
          <w:szCs w:val="15"/>
          <w:color w:val="auto"/>
        </w:rPr>
        <w:t>A significant percentage of our outstanding stock is held by Robert W. Duggan, Chairman of our board of directors, who beneficially owns approximately 47% of our common stock outstanding as of the date of this Annual Report. As a result, Mr. Duggan has significant influence over corporate actions requiring stockholder approval, including the following actions:</w:t>
      </w:r>
    </w:p>
    <w:p>
      <w:pPr>
        <w:spacing w:after="0" w:line="1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to elect or defeat the election of our directors;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to amend or prevent amendment of our certificate of incorporation or bylaws;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to effect or prevent a merger, sale of assets or other corporate transaction; and</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to control the outcome of any other matter submitted to our stockholders for vote.</w:t>
      </w:r>
    </w:p>
    <w:p>
      <w:pPr>
        <w:spacing w:after="0" w:line="150"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Mr. Duggan’s stock ownership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41" w:name="page42"/>
    <w:bookmarkEnd w:id="41"/>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majority of our common stock. If this were to occur, we would be considered a “controlled” company under the Nasdaq rules and would be exempt from the obligation to comply with certain Nasdaq corporate governance requirements.</w:t>
      </w:r>
    </w:p>
    <w:p>
      <w:pPr>
        <w:spacing w:after="0" w:line="118"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Mr. Duggan is the lender to us under our Loan Agreement, which contains certain covenants.</w:t>
      </w:r>
    </w:p>
    <w:p>
      <w:pPr>
        <w:spacing w:after="0" w:line="150"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Robert W. Duggan’s significant ownership position may impact our stock price and may deter or prevent efforts by other companies to acquire us, which could prevent our stockholders from realizing a control premium.</w:t>
      </w:r>
    </w:p>
    <w:p>
      <w:pPr>
        <w:spacing w:after="0" w:line="118" w:lineRule="exact"/>
        <w:rPr>
          <w:sz w:val="20"/>
          <w:szCs w:val="20"/>
          <w:color w:val="auto"/>
        </w:rPr>
      </w:pPr>
    </w:p>
    <w:p>
      <w:pPr>
        <w:jc w:val="both"/>
        <w:ind w:firstLine="376"/>
        <w:spacing w:after="0" w:line="231" w:lineRule="auto"/>
        <w:rPr>
          <w:sz w:val="20"/>
          <w:szCs w:val="20"/>
          <w:color w:val="auto"/>
        </w:rPr>
      </w:pPr>
      <w:r>
        <w:rPr>
          <w:rFonts w:ascii="Arial" w:cs="Arial" w:eastAsia="Arial" w:hAnsi="Arial"/>
          <w:sz w:val="15"/>
          <w:szCs w:val="15"/>
          <w:color w:val="auto"/>
        </w:rPr>
        <w:t>Robert W. Duggan is the Chairman of our board of directors, and beneficially owns approximately 47% of our common stock outstanding as of the date of this Annual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Robert W. Duggan’s significant ownership and position as Chairman of the board of directors, other companies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129"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18" w:lineRule="exact"/>
        <w:rPr>
          <w:sz w:val="20"/>
          <w:szCs w:val="20"/>
          <w:color w:val="auto"/>
        </w:rPr>
      </w:pPr>
    </w:p>
    <w:p>
      <w:pPr>
        <w:jc w:val="both"/>
        <w:ind w:firstLine="376"/>
        <w:spacing w:after="0" w:line="265" w:lineRule="auto"/>
        <w:rPr>
          <w:sz w:val="20"/>
          <w:szCs w:val="20"/>
          <w:color w:val="auto"/>
        </w:rPr>
      </w:pPr>
      <w:r>
        <w:rPr>
          <w:rFonts w:ascii="Arial" w:cs="Arial" w:eastAsia="Arial" w:hAnsi="Arial"/>
          <w:sz w:val="14"/>
          <w:szCs w:val="14"/>
          <w:color w:val="auto"/>
        </w:rPr>
        <w:t>As a public company, listed in the U.S.,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spacing w:after="0" w:line="112" w:lineRule="exact"/>
        <w:rPr>
          <w:sz w:val="20"/>
          <w:szCs w:val="20"/>
          <w:color w:val="auto"/>
        </w:rPr>
      </w:pPr>
    </w:p>
    <w:p>
      <w:pPr>
        <w:jc w:val="both"/>
        <w:ind w:firstLine="376"/>
        <w:spacing w:after="0" w:line="269" w:lineRule="auto"/>
        <w:rPr>
          <w:sz w:val="20"/>
          <w:szCs w:val="20"/>
          <w:color w:val="auto"/>
        </w:rPr>
      </w:pPr>
      <w:r>
        <w:rPr>
          <w:rFonts w:ascii="Arial" w:cs="Arial" w:eastAsia="Arial" w:hAnsi="Arial"/>
          <w:sz w:val="13"/>
          <w:szCs w:val="13"/>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12"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For example, we determined not to renew our director and officer liability insurance this year due to disproportionately high premiums quoted by insurance companies. Instead, we and Robert W. Duggan, Chairman of our board of directors, have entered into a letter agreement pursuant to which Mr. Duggan has agreed with us to personally provide indemnity coverage on substantially the same terms as our prior coverage program for a one-year period. The impact of these requirements could also make it more difficult for us to attract and retain qualified persons to serve on our board of directors, our board committees or as our executive officers.</w:t>
      </w:r>
    </w:p>
    <w:p>
      <w:pPr>
        <w:spacing w:after="0" w:line="129"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publish inaccurate or unfavorable research about our business, our market price and trading volume could decline.</w:t>
      </w:r>
    </w:p>
    <w:p>
      <w:pPr>
        <w:spacing w:after="0" w:line="118"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The trading market for our common stock will depend on the research and reports that securities or industry analysts publish about us or our business. We do not have any control over these analysts. We currently have only limited analyst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42" w:name="page43"/>
    <w:bookmarkEnd w:id="42"/>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spacing w:after="0"/>
        <w:rPr>
          <w:sz w:val="20"/>
          <w:szCs w:val="20"/>
          <w:color w:val="auto"/>
        </w:rPr>
      </w:pPr>
      <w:r>
        <w:rPr>
          <w:rFonts w:ascii="Arial" w:cs="Arial" w:eastAsia="Arial" w:hAnsi="Arial"/>
          <w:sz w:val="15"/>
          <w:szCs w:val="15"/>
          <w:color w:val="auto"/>
        </w:rPr>
        <w:t>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have not paid dividends in the past and have no plans to pay dividends</w:t>
      </w:r>
      <w:r>
        <w:rPr>
          <w:rFonts w:ascii="Arial" w:cs="Arial" w:eastAsia="Arial" w:hAnsi="Arial"/>
          <w:sz w:val="15"/>
          <w:szCs w:val="15"/>
          <w:color w:val="auto"/>
        </w:rPr>
        <w:t>.</w:t>
      </w:r>
    </w:p>
    <w:p>
      <w:pPr>
        <w:spacing w:after="0" w:line="150"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We plan to reinvest all of our earnings, to the extent we have earnings, into our product research and development. We do not plan to pay any cash dividends with respect to our securities in the foreseeable future.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28" w:lineRule="exact"/>
        <w:rPr>
          <w:sz w:val="20"/>
          <w:szCs w:val="20"/>
          <w:color w:val="auto"/>
        </w:rPr>
      </w:pPr>
    </w:p>
    <w:p>
      <w:pPr>
        <w:jc w:val="both"/>
        <w:ind w:firstLine="376"/>
        <w:spacing w:after="0" w:line="291" w:lineRule="auto"/>
        <w:rPr>
          <w:sz w:val="20"/>
          <w:szCs w:val="20"/>
          <w:color w:val="auto"/>
        </w:rPr>
      </w:pPr>
      <w:r>
        <w:rPr>
          <w:rFonts w:ascii="Arial" w:cs="Arial" w:eastAsia="Arial" w:hAnsi="Arial"/>
          <w:sz w:val="14"/>
          <w:szCs w:val="14"/>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94" w:lineRule="exact"/>
        <w:rPr>
          <w:sz w:val="20"/>
          <w:szCs w:val="20"/>
          <w:color w:val="auto"/>
        </w:rPr>
      </w:pPr>
    </w:p>
    <w:p>
      <w:pPr>
        <w:jc w:val="both"/>
        <w:ind w:firstLine="376"/>
        <w:spacing w:after="0" w:line="265" w:lineRule="auto"/>
        <w:rPr>
          <w:sz w:val="20"/>
          <w:szCs w:val="20"/>
          <w:color w:val="auto"/>
        </w:rPr>
      </w:pPr>
      <w:r>
        <w:rPr>
          <w:rFonts w:ascii="Arial" w:cs="Arial" w:eastAsia="Arial" w:hAnsi="Arial"/>
          <w:sz w:val="14"/>
          <w:szCs w:val="14"/>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12" w:lineRule="exact"/>
        <w:rPr>
          <w:sz w:val="20"/>
          <w:szCs w:val="20"/>
          <w:color w:val="auto"/>
        </w:rPr>
      </w:pPr>
    </w:p>
    <w:p>
      <w:pPr>
        <w:ind w:left="540" w:right="20"/>
        <w:spacing w:after="0" w:line="255" w:lineRule="auto"/>
        <w:rPr>
          <w:sz w:val="20"/>
          <w:szCs w:val="20"/>
          <w:color w:val="auto"/>
        </w:rPr>
      </w:pPr>
      <w:r>
        <w:rPr>
          <w:rFonts w:ascii="Arial" w:cs="Arial" w:eastAsia="Arial" w:hAnsi="Arial"/>
          <w:sz w:val="15"/>
          <w:szCs w:val="15"/>
          <w:color w:val="auto"/>
        </w:rPr>
        <w:t>authorize our board of directors to issue, without further action by the stockholders, up to 50,000,000 shares of preferred stock and up to approximately 500,000,000 shares of authorized but unissued shares of common stock;</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require that any action to be taken by our stockholders be effected at a duly called annual or special meeting and not by written consent;</w:t>
      </w:r>
    </w:p>
    <w:p>
      <w:pPr>
        <w:spacing w:after="0" w:line="150" w:lineRule="exact"/>
        <w:rPr>
          <w:sz w:val="20"/>
          <w:szCs w:val="20"/>
          <w:color w:val="auto"/>
        </w:rPr>
      </w:pPr>
    </w:p>
    <w:p>
      <w:pPr>
        <w:ind w:left="540" w:right="20"/>
        <w:spacing w:after="0" w:line="255" w:lineRule="auto"/>
        <w:rPr>
          <w:sz w:val="20"/>
          <w:szCs w:val="20"/>
          <w:color w:val="auto"/>
        </w:rPr>
      </w:pPr>
      <w:r>
        <w:rPr>
          <w:rFonts w:ascii="Arial" w:cs="Arial" w:eastAsia="Arial" w:hAnsi="Arial"/>
          <w:sz w:val="15"/>
          <w:szCs w:val="15"/>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118" w:lineRule="exact"/>
        <w:rPr>
          <w:sz w:val="20"/>
          <w:szCs w:val="20"/>
          <w:color w:val="auto"/>
        </w:rPr>
      </w:pPr>
    </w:p>
    <w:p>
      <w:pPr>
        <w:ind w:left="540" w:right="20"/>
        <w:spacing w:after="0" w:line="255" w:lineRule="auto"/>
        <w:rPr>
          <w:sz w:val="20"/>
          <w:szCs w:val="20"/>
          <w:color w:val="auto"/>
        </w:rPr>
      </w:pPr>
      <w:r>
        <w:rPr>
          <w:rFonts w:ascii="Arial" w:cs="Arial" w:eastAsia="Arial" w:hAnsi="Arial"/>
          <w:sz w:val="15"/>
          <w:szCs w:val="15"/>
          <w:color w:val="auto"/>
        </w:rPr>
        <w:t>establish an advance notice procedure for stockholder approvals to be brought before an annual meeting of our stockholders, including proposed nominations of persons for election to our board of directors;</w:t>
      </w:r>
    </w:p>
    <w:p>
      <w:pPr>
        <w:spacing w:after="0" w:line="118" w:lineRule="exact"/>
        <w:rPr>
          <w:sz w:val="20"/>
          <w:szCs w:val="20"/>
          <w:color w:val="auto"/>
        </w:rPr>
      </w:pPr>
    </w:p>
    <w:p>
      <w:pPr>
        <w:ind w:left="540"/>
        <w:spacing w:after="0" w:line="255" w:lineRule="auto"/>
        <w:rPr>
          <w:sz w:val="20"/>
          <w:szCs w:val="20"/>
          <w:color w:val="auto"/>
        </w:rPr>
      </w:pPr>
      <w:r>
        <w:rPr>
          <w:rFonts w:ascii="Arial" w:cs="Arial" w:eastAsia="Arial" w:hAnsi="Arial"/>
          <w:sz w:val="15"/>
          <w:szCs w:val="15"/>
          <w:color w:val="auto"/>
        </w:rPr>
        <w:t>the requirement for the affirmative vote of holders of at least 66 2/3% of the voting power of all the then outstanding shares of our voting stock, voting together as a single class, to amend provisions of our certificate of incorporation or our bylaws;</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ability of our board of directors by majority vote, to amend the bylaws; and</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provide that vacancies on our board of directors may be filled only by a majority of directors then in office, even though less than a quorum.</w:t>
      </w:r>
    </w:p>
    <w:p>
      <w:pPr>
        <w:spacing w:after="0" w:line="150" w:lineRule="exact"/>
        <w:rPr>
          <w:sz w:val="20"/>
          <w:szCs w:val="20"/>
          <w:color w:val="auto"/>
        </w:rPr>
      </w:pPr>
    </w:p>
    <w:p>
      <w:pPr>
        <w:jc w:val="both"/>
        <w:ind w:firstLine="376"/>
        <w:spacing w:after="0" w:line="245" w:lineRule="auto"/>
        <w:rPr>
          <w:sz w:val="20"/>
          <w:szCs w:val="20"/>
          <w:color w:val="auto"/>
        </w:rPr>
      </w:pPr>
      <w:r>
        <w:rPr>
          <w:rFonts w:ascii="Arial" w:cs="Arial" w:eastAsia="Arial" w:hAnsi="Arial"/>
          <w:sz w:val="14"/>
          <w:szCs w:val="14"/>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43" w:name="page44"/>
    <w:bookmarkEnd w:id="43"/>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ind w:right="20"/>
        <w:spacing w:after="0" w:line="232" w:lineRule="auto"/>
        <w:rPr>
          <w:sz w:val="20"/>
          <w:szCs w:val="20"/>
          <w:color w:val="auto"/>
        </w:rPr>
      </w:pPr>
      <w:r>
        <w:rPr>
          <w:rFonts w:ascii="Arial" w:cs="Arial" w:eastAsia="Arial" w:hAnsi="Arial"/>
          <w:sz w:val="15"/>
          <w:szCs w:val="15"/>
          <w:color w:val="auto"/>
        </w:rPr>
        <w:t>203 of the Delaware General Corporation Law, which limits the ability of stockholders owning in excess of 15% of our outstanding voting stock to engage in certain types of transactions with us.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General Risk Factors</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Unfavorable global economic or political conditions could adversely affect our business, financial condition or results of operations.</w:t>
      </w:r>
    </w:p>
    <w:p>
      <w:pPr>
        <w:spacing w:after="0" w:line="150" w:lineRule="exact"/>
        <w:rPr>
          <w:sz w:val="20"/>
          <w:szCs w:val="20"/>
          <w:color w:val="auto"/>
        </w:rPr>
      </w:pPr>
    </w:p>
    <w:p>
      <w:pPr>
        <w:jc w:val="both"/>
        <w:ind w:firstLine="376"/>
        <w:spacing w:after="0" w:line="249" w:lineRule="auto"/>
        <w:rPr>
          <w:sz w:val="20"/>
          <w:szCs w:val="20"/>
          <w:color w:val="auto"/>
        </w:rPr>
      </w:pPr>
      <w:r>
        <w:rPr>
          <w:rFonts w:ascii="Arial" w:cs="Arial" w:eastAsia="Arial" w:hAnsi="Arial"/>
          <w:sz w:val="14"/>
          <w:szCs w:val="14"/>
          <w:color w:val="auto"/>
        </w:rPr>
        <w:t>Our results of operations could be adversely affected by general conditions in the global economy and in the global financial markets including the negative impact of COVID-19 on the global economy and markets. Furthermore, the market for aesthetic medical treatments may be particularly vulnerable to unfavorable economic conditions. A global financial crisis or a global or regional political disruption could cause extreme volatility in the capital and credit markets as has recently been the case due to COVID-19. A severe or prolonged economic downturn or political disruption could result in a variety of risks to our business, including weakened demand for our lead product candidates or any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122" w:lineRule="exact"/>
        <w:rPr>
          <w:sz w:val="20"/>
          <w:szCs w:val="20"/>
          <w:color w:val="auto"/>
        </w:rPr>
      </w:pPr>
    </w:p>
    <w:p>
      <w:pPr>
        <w:jc w:val="both"/>
        <w:ind w:firstLine="376"/>
        <w:spacing w:after="0"/>
        <w:rPr>
          <w:sz w:val="20"/>
          <w:szCs w:val="20"/>
          <w:color w:val="auto"/>
        </w:rPr>
      </w:pPr>
      <w:r>
        <w:rPr>
          <w:rFonts w:ascii="Arial" w:cs="Arial" w:eastAsia="Arial" w:hAnsi="Arial"/>
          <w:sz w:val="15"/>
          <w:szCs w:val="15"/>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128" w:lineRule="exact"/>
        <w:rPr>
          <w:sz w:val="20"/>
          <w:szCs w:val="20"/>
          <w:color w:val="auto"/>
        </w:rPr>
      </w:pPr>
    </w:p>
    <w:p>
      <w:pPr>
        <w:jc w:val="both"/>
        <w:ind w:firstLine="376"/>
        <w:spacing w:after="0" w:line="246" w:lineRule="auto"/>
        <w:rPr>
          <w:sz w:val="20"/>
          <w:szCs w:val="20"/>
          <w:color w:val="auto"/>
        </w:rPr>
      </w:pPr>
      <w:r>
        <w:rPr>
          <w:rFonts w:ascii="Arial" w:cs="Arial" w:eastAsia="Arial" w:hAnsi="Arial"/>
          <w:sz w:val="14"/>
          <w:szCs w:val="14"/>
          <w:color w:val="auto"/>
        </w:rPr>
        <w:t>As a public company, we are required to maintain internal control over financial reporting and to report any material weaknesses in such internal controls. Section 404 of the Sarbanes -Oxley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Generally Accepted Accounting Principles.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25" w:lineRule="exact"/>
        <w:rPr>
          <w:sz w:val="20"/>
          <w:szCs w:val="20"/>
          <w:color w:val="auto"/>
        </w:rPr>
      </w:pPr>
    </w:p>
    <w:p>
      <w:pPr>
        <w:jc w:val="both"/>
        <w:ind w:firstLine="376"/>
        <w:spacing w:after="0" w:line="229" w:lineRule="auto"/>
        <w:rPr>
          <w:sz w:val="20"/>
          <w:szCs w:val="20"/>
          <w:color w:val="auto"/>
        </w:rPr>
      </w:pPr>
      <w:r>
        <w:rPr>
          <w:rFonts w:ascii="Arial" w:cs="Arial" w:eastAsia="Arial" w:hAnsi="Arial"/>
          <w:sz w:val="15"/>
          <w:szCs w:val="15"/>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an “emerging growth company” as defined in the Jumpstart Our Business Startups Act (JOBS Act) if we continue to take advantage of the exemptions contained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44" w:name="page45"/>
    <w:bookmarkEnd w:id="44"/>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may become involved in litigation that may materially adversely affect us.</w:t>
      </w:r>
    </w:p>
    <w:p>
      <w:pPr>
        <w:spacing w:after="0" w:line="150" w:lineRule="exact"/>
        <w:rPr>
          <w:sz w:val="20"/>
          <w:szCs w:val="20"/>
          <w:color w:val="auto"/>
        </w:rPr>
      </w:pPr>
    </w:p>
    <w:p>
      <w:pPr>
        <w:jc w:val="both"/>
        <w:ind w:firstLine="376"/>
        <w:spacing w:after="0" w:line="249" w:lineRule="auto"/>
        <w:rPr>
          <w:sz w:val="20"/>
          <w:szCs w:val="20"/>
          <w:color w:val="auto"/>
        </w:rPr>
      </w:pPr>
      <w:r>
        <w:rPr>
          <w:rFonts w:ascii="Arial" w:cs="Arial" w:eastAsia="Arial" w:hAnsi="Arial"/>
          <w:sz w:val="14"/>
          <w:szCs w:val="14"/>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business may be adversely affected by health epidemics including the coronavirus pandemic.</w:t>
      </w:r>
    </w:p>
    <w:p>
      <w:pPr>
        <w:spacing w:after="0" w:line="150"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The COVID-19 pandemic has resulted in government authorities implementing numerous measures to try to contain the virus, such as travel bans and restrictions, quarantines, shelter-in-place or stay-at-home orders, and business shutdowns.</w:t>
      </w:r>
    </w:p>
    <w:p>
      <w:pPr>
        <w:spacing w:after="0" w:line="118"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auto"/>
        </w:rPr>
        <w:t>In accordance with local and state guidelines regarding the COVID-19 pandemic, we are requiring all of our employees to work remotely unless they cannot perform their essential functions remotely and have also suspended all non-essential travel for our employees. While many of our employees are accustomed to working remotely or working with other remote employees, much of our workforce has not historically been remote. Although we continue to monitor the situation and may adjust our current policies as more information and public health guidance becomes available, temporarily suspending travel and restricting the ability to do business in person may create operational or other challenges, any of which could harm our business, financial condition and results of operations.</w:t>
      </w:r>
    </w:p>
    <w:p>
      <w:pPr>
        <w:spacing w:after="0" w:line="131" w:lineRule="exact"/>
        <w:rPr>
          <w:sz w:val="20"/>
          <w:szCs w:val="20"/>
          <w:color w:val="auto"/>
        </w:rPr>
      </w:pPr>
    </w:p>
    <w:p>
      <w:pPr>
        <w:jc w:val="both"/>
        <w:ind w:firstLine="376"/>
        <w:spacing w:after="0" w:line="247" w:lineRule="auto"/>
        <w:rPr>
          <w:sz w:val="20"/>
          <w:szCs w:val="20"/>
          <w:color w:val="auto"/>
        </w:rPr>
      </w:pPr>
      <w:r>
        <w:rPr>
          <w:rFonts w:ascii="Arial" w:cs="Arial" w:eastAsia="Arial" w:hAnsi="Arial"/>
          <w:sz w:val="14"/>
          <w:szCs w:val="14"/>
          <w:color w:val="auto"/>
        </w:rPr>
        <w:t>In addition, our clinical trials may be affected by the COVID-19 pandemic. Site initiation and patient enrollment may be delayed, for example, due to prioritization of hospital resources toward the COVID-19 pandemic, travel restrictions imposed by governments, and the inability to access sites for initiation and monitoring. Also, some of our suppliers of certain materials used in the production of our product candidates are located in areas impacted by COVID-19 which could limit our ability to obtain sufficient materials for our product candidates. COVID-19 has and will continue to adversely affect global economies and financial markets of many countries, resulting in an economic downturn that could affect demand for our product candidates, if approved, and impact our operating results. Even after the COVID-19 pandemic has subsided, we may continue to experience an adverse impact to our business as a result of the continued global economic impact of the pandemic. We could harm our business and we cannot anticipate all of the ways in which health epidemics such as COVID-19 could adversely impact our business. Although we are continuing to monitor and assess the effects of the COVID-19 pandemic on our business, the ultimate impact of the COVID-19 pandemic or a similar health epidemic is highly uncertain and subject to change.</w:t>
      </w:r>
    </w:p>
    <w:p>
      <w:pPr>
        <w:spacing w:after="0" w:line="127"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118"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45" w:name="page46"/>
    <w:bookmarkEnd w:id="45"/>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b w:val="1"/>
          <w:bCs w:val="1"/>
          <w:i w:val="1"/>
          <w:iCs w:val="1"/>
          <w:color w:val="auto"/>
        </w:rPr>
        <w:t>We are an “emerging growth company” under the JOBS Act as well as a “smaller reporting company”; as a result, we cannot be certain if the applicable reduced disclosure requirements will make our common stock less attractive to investors.</w:t>
      </w:r>
    </w:p>
    <w:p>
      <w:pPr>
        <w:spacing w:after="0" w:line="118"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also qualify as a “smaller reporting company,” as defined in the Exchange Act, and so long as we remain a smaller reporting company, we benefit from and may take advantage of scaled disclosure requirements.</w:t>
      </w:r>
    </w:p>
    <w:p>
      <w:pPr>
        <w:spacing w:after="0" w:line="129"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 We will remain an “emerging growth company” until the end of 2021.</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1B. Unresolved Staff Comments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Properties</w:t>
      </w:r>
    </w:p>
    <w:p>
      <w:pPr>
        <w:spacing w:after="0" w:line="154"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4"/>
          <w:szCs w:val="14"/>
          <w:color w:val="auto"/>
        </w:rPr>
        <w:t>We currently lease approximately 50,300 square feet of premises located in Hayward, California, which is used for our corporate headquarters and principal operating facility. The term of the original lease included approximately 15,700 square feet for 62 months and commenced on July 1, 2017. In May 2019, we entered into an amendment which enabled us to expand the lease by approximately 34,600 additional square feet, for a total of approximately 50,300 square feet. The amendment also included an option to extend the term of the lease. Approximately 13,300 square feet of the additional space was occupied in November 2019 as part of the first phase, and the remaining approximately 21,300 square feet was occupied in May 2020 as part of the second phase. The term of the total lease was extended through October 2029.</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believe that our existing and expanded facilities will be sufficient to meet our needs for the foreseeable future.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Legal Proceedings.</w:t>
      </w:r>
    </w:p>
    <w:p>
      <w:pPr>
        <w:spacing w:after="0" w:line="154" w:lineRule="exact"/>
        <w:rPr>
          <w:sz w:val="20"/>
          <w:szCs w:val="20"/>
          <w:color w:val="auto"/>
        </w:rPr>
      </w:pPr>
    </w:p>
    <w:p>
      <w:pPr>
        <w:jc w:val="both"/>
        <w:ind w:right="20" w:firstLine="376"/>
        <w:spacing w:after="0"/>
        <w:rPr>
          <w:sz w:val="20"/>
          <w:szCs w:val="20"/>
          <w:color w:val="auto"/>
        </w:rPr>
      </w:pPr>
      <w:r>
        <w:rPr>
          <w:rFonts w:ascii="Arial" w:cs="Arial" w:eastAsia="Arial" w:hAnsi="Arial"/>
          <w:sz w:val="15"/>
          <w:szCs w:val="15"/>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w:t>
      </w:r>
    </w:p>
    <w:p>
      <w:pPr>
        <w:spacing w:after="0" w:line="128"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The results of legal proceedings and claims are inherently unpredictable. We do not believe any currently pending matters will have a material adverse effect on our business based on our current understanding of such matters.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Mine Safety Disclosures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46" w:name="page47"/>
    <w:bookmarkEnd w:id="46"/>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79" w:lineRule="exact"/>
        <w:rPr>
          <w:sz w:val="20"/>
          <w:szCs w:val="20"/>
          <w:color w:val="auto"/>
        </w:rPr>
      </w:pPr>
    </w:p>
    <w:p>
      <w:pPr>
        <w:ind w:left="5400"/>
        <w:spacing w:after="0"/>
        <w:rPr>
          <w:sz w:val="20"/>
          <w:szCs w:val="20"/>
          <w:color w:val="auto"/>
        </w:rPr>
      </w:pPr>
      <w:r>
        <w:rPr>
          <w:rFonts w:ascii="Arial" w:cs="Arial" w:eastAsia="Arial" w:hAnsi="Arial"/>
          <w:sz w:val="15"/>
          <w:szCs w:val="15"/>
          <w:b w:val="1"/>
          <w:bCs w:val="1"/>
          <w:color w:val="auto"/>
        </w:rPr>
        <w:t>Part II</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 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Information</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Our common stock is listed on Nasdaq and has been traded under the symbol “PLSE” since May 18, 2016.</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Holders of Record</w:t>
      </w:r>
    </w:p>
    <w:p>
      <w:pPr>
        <w:spacing w:after="0" w:line="154"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As of February 28, 2021, there were approximately 12 stockholders of record of our common stock. We believe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 Policy</w:t>
      </w:r>
    </w:p>
    <w:p>
      <w:pPr>
        <w:spacing w:after="0" w:line="154"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We have never declared or paid any cash dividend on our common stock and have no present plans to do so. We intend to retain earnings for use in the operation and expansion of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of Unregistered Securities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Graph</w:t>
      </w:r>
    </w:p>
    <w:p>
      <w:pPr>
        <w:spacing w:after="0" w:line="154"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The performance graph included in this Annual Report on Form 10-K shall not be deemed “filed” for purposes of Section 18 of the Securities Exchange Act of 1934, as amended (Exchange Act), or incorporated by reference into any filing of Pulse Biosciences, Inc. under the Securities Act of 1933, as amended, or the Exchange Act, except as shall be expressly set forth by specific reference in such filing.</w:t>
      </w:r>
    </w:p>
    <w:p>
      <w:pPr>
        <w:spacing w:after="0" w:line="128"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The following graph matches our cumulative 55-month total shareholder return on common stock with the cumulative total returns of the Nasdaq Composite Index and the Nasdaq Biotechnology Index. The graph tracks the performance of a $100 investment in our common stock and in each index (with the reinvestment of all dividends) from May 18, 2016 (the date our common stock commenced trading on Nasdaq) to December 31, 2020.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191135</wp:posOffset>
            </wp:positionV>
            <wp:extent cx="4655820" cy="3872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55820" cy="3872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48" w:name="page49"/>
    <w:bookmarkEnd w:id="48"/>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Selected Financial Data</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is a smaller reporting company as defined by Rule 12b-2 of the Exchange Act and is not required to provide the information required under this item.</w:t>
      </w: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 Management’s Discussion and Analysis of Financial Condition and Results of Operations</w:t>
      </w:r>
    </w:p>
    <w:p>
      <w:pPr>
        <w:spacing w:after="0" w:line="154" w:lineRule="exact"/>
        <w:rPr>
          <w:sz w:val="20"/>
          <w:szCs w:val="20"/>
          <w:color w:val="auto"/>
        </w:rPr>
      </w:pPr>
    </w:p>
    <w:p>
      <w:pPr>
        <w:jc w:val="both"/>
        <w:spacing w:after="0" w:line="229"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our consolidated financial statements and the related notes thereto included in Item 8 under the heading “Financial Statements and Supplementary Data”. Some of the information contained in this discussion and analysis or set forth elsewhere in this Form 10-K contains forward-looking statements that involve risks and uncertainties, including statements regarding our expected financial results in future periods. The words “anticipates,” “believes,” “could,” “estimates,” “expects,” “intends,” “may,” “might,”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Form 10-K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54" w:lineRule="exact"/>
        <w:rPr>
          <w:sz w:val="20"/>
          <w:szCs w:val="20"/>
          <w:color w:val="auto"/>
        </w:rPr>
      </w:pPr>
    </w:p>
    <w:p>
      <w:pPr>
        <w:jc w:val="both"/>
        <w:ind w:right="20" w:firstLine="376"/>
        <w:spacing w:after="0"/>
        <w:rPr>
          <w:sz w:val="20"/>
          <w:szCs w:val="20"/>
          <w:color w:val="auto"/>
        </w:rPr>
      </w:pPr>
      <w:r>
        <w:rPr>
          <w:rFonts w:ascii="Arial" w:cs="Arial" w:eastAsia="Arial" w:hAnsi="Arial"/>
          <w:sz w:val="15"/>
          <w:szCs w:val="15"/>
          <w:color w:val="auto"/>
        </w:rPr>
        <w:t>We are a novel bioelectric medicine company committed to health innovation that has the potential to improve the lives of patients. The CellFX System is the first commercial product to harness the distinctive advantages of the Company’s proprietary NPS technology, such as the ability to non-thermally clear cells while sparing non-cellular tissue, to treat a variety of applications for which an optimal solution remains unfulfilled.</w:t>
      </w:r>
    </w:p>
    <w:p>
      <w:pPr>
        <w:spacing w:after="0" w:line="128"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In February 2021, we received 510(k) clearance from the FDA for the CellFX System with initial clearance for a general dermatologic indication. With FDA clearance, we will commence a controlled launch in the U.S. with KOLs in dermatology. Following this general dermatologic indication, we plan to pursue specific indications for the CellFX System, starting with an indication for the treatment of SH lesions. This will require an additional 510(k) submission, as will each subsequent indication, and will likely be based on comparative clinical data.</w:t>
      </w:r>
    </w:p>
    <w:p>
      <w:pPr>
        <w:spacing w:after="0" w:line="129"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In January 2021, we received CE marking approval for the CellFX System, which allows us to market the system in the EU. With CE mark approval, we will initiate a controlled launch to medical practices within the EU for the treatment of general dermatologic conditions, including SH, SK, and cutaneous non-genital warts.</w:t>
      </w:r>
    </w:p>
    <w:p>
      <w:pPr>
        <w:spacing w:after="0" w:line="118"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In February 2021, we initiated the CellFX System controlled launch program in the U.S. and Europe, including system implementations and completion of the first procedures performed by participating KOL aesthetic dermatologists.</w:t>
      </w:r>
    </w:p>
    <w:p>
      <w:pPr>
        <w:spacing w:after="0" w:line="118" w:lineRule="exact"/>
        <w:rPr>
          <w:sz w:val="20"/>
          <w:szCs w:val="20"/>
          <w:color w:val="auto"/>
        </w:rPr>
      </w:pPr>
    </w:p>
    <w:p>
      <w:pPr>
        <w:ind w:right="960" w:firstLine="376"/>
        <w:spacing w:after="0" w:line="449" w:lineRule="auto"/>
        <w:rPr>
          <w:sz w:val="20"/>
          <w:szCs w:val="20"/>
          <w:color w:val="auto"/>
        </w:rPr>
      </w:pPr>
      <w:r>
        <w:rPr>
          <w:rFonts w:ascii="Arial" w:cs="Arial" w:eastAsia="Arial" w:hAnsi="Arial"/>
          <w:sz w:val="15"/>
          <w:szCs w:val="15"/>
          <w:color w:val="auto"/>
        </w:rPr>
        <w:t xml:space="preserve">We have also submitted a Medical Device License application to Health Canada for the distribution of our CellFX System after receiving the MSAP certification. </w:t>
      </w:r>
      <w:r>
        <w:rPr>
          <w:rFonts w:ascii="Arial" w:cs="Arial" w:eastAsia="Arial" w:hAnsi="Arial"/>
          <w:sz w:val="15"/>
          <w:szCs w:val="15"/>
          <w:b w:val="1"/>
          <w:bCs w:val="1"/>
          <w:color w:val="auto"/>
        </w:rPr>
        <w:t>Plan of Operation</w:t>
      </w:r>
    </w:p>
    <w:p>
      <w:pPr>
        <w:jc w:val="both"/>
        <w:ind w:firstLine="376"/>
        <w:spacing w:after="0" w:line="255" w:lineRule="auto"/>
        <w:rPr>
          <w:sz w:val="20"/>
          <w:szCs w:val="20"/>
          <w:color w:val="auto"/>
        </w:rPr>
      </w:pPr>
      <w:r>
        <w:rPr>
          <w:rFonts w:ascii="Arial" w:cs="Arial" w:eastAsia="Arial" w:hAnsi="Arial"/>
          <w:sz w:val="15"/>
          <w:szCs w:val="15"/>
          <w:color w:val="auto"/>
        </w:rPr>
        <w:t>We plan to establish ourselves as a medical therapy company with a local, non-thermal, and drug-free treatment platform that initiates cell death in targeted tissue by a process of cell signaling and also induces an adaptive immune response to the targeted tissue. In order to accomplish this, we plan to:</w:t>
      </w:r>
    </w:p>
    <w:p>
      <w:pPr>
        <w:spacing w:after="0" w:line="118" w:lineRule="exact"/>
        <w:rPr>
          <w:sz w:val="20"/>
          <w:szCs w:val="20"/>
          <w:color w:val="auto"/>
        </w:rPr>
      </w:pPr>
    </w:p>
    <w:p>
      <w:pPr>
        <w:ind w:left="540" w:right="20"/>
        <w:spacing w:after="0" w:line="255" w:lineRule="auto"/>
        <w:rPr>
          <w:sz w:val="20"/>
          <w:szCs w:val="20"/>
          <w:color w:val="auto"/>
        </w:rPr>
      </w:pPr>
      <w:r>
        <w:rPr>
          <w:rFonts w:ascii="Arial" w:cs="Arial" w:eastAsia="Arial" w:hAnsi="Arial"/>
          <w:sz w:val="15"/>
          <w:szCs w:val="15"/>
          <w:color w:val="auto"/>
        </w:rPr>
        <w:t>Improve our technology by continuing our research and product development efforts. We expect to develop interchangeable tissue applicators to target different tissue types that will leverage the novel characteristics of our technology platform.</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49" w:name="page50"/>
    <w:bookmarkEnd w:id="49"/>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jc w:val="both"/>
        <w:ind w:left="540"/>
        <w:spacing w:after="0"/>
        <w:rPr>
          <w:sz w:val="20"/>
          <w:szCs w:val="20"/>
          <w:color w:val="auto"/>
        </w:rPr>
      </w:pPr>
      <w:r>
        <w:rPr>
          <w:rFonts w:ascii="Arial" w:cs="Arial" w:eastAsia="Arial" w:hAnsi="Arial"/>
          <w:sz w:val="15"/>
          <w:szCs w:val="15"/>
          <w:color w:val="auto"/>
        </w:rPr>
        <w:t>Further explore and understand the benefits of NPS technology platform with the objectives of broadening the currently planned cosmetic and therapeutic applications and identifying new applications. We anticipate that results of our clinical studies will enable us to recognize certain unmet medical needs that may be addressed by our technology.</w:t>
      </w:r>
    </w:p>
    <w:p>
      <w:pPr>
        <w:spacing w:after="0" w:line="128" w:lineRule="exact"/>
        <w:rPr>
          <w:sz w:val="20"/>
          <w:szCs w:val="20"/>
          <w:color w:val="auto"/>
        </w:rPr>
      </w:pPr>
    </w:p>
    <w:p>
      <w:pPr>
        <w:jc w:val="both"/>
        <w:ind w:left="540" w:right="20"/>
        <w:spacing w:after="0" w:line="255" w:lineRule="auto"/>
        <w:rPr>
          <w:sz w:val="20"/>
          <w:szCs w:val="20"/>
          <w:color w:val="auto"/>
        </w:rPr>
      </w:pPr>
      <w:r>
        <w:rPr>
          <w:rFonts w:ascii="Arial" w:cs="Arial" w:eastAsia="Arial" w:hAnsi="Arial"/>
          <w:sz w:val="15"/>
          <w:szCs w:val="15"/>
          <w:color w:val="auto"/>
        </w:rPr>
        <w:t>Continue to protect and expand our intellectual property portfolio with respect to NPS technology, which we expect will increase our ability to deter competitors and position our company for favorable licensing and partnering opportunities.</w:t>
      </w:r>
    </w:p>
    <w:p>
      <w:pPr>
        <w:spacing w:after="0" w:line="118" w:lineRule="exact"/>
        <w:rPr>
          <w:sz w:val="20"/>
          <w:szCs w:val="20"/>
          <w:color w:val="auto"/>
        </w:rPr>
      </w:pPr>
    </w:p>
    <w:p>
      <w:pPr>
        <w:jc w:val="both"/>
        <w:ind w:left="540"/>
        <w:spacing w:after="0" w:line="255" w:lineRule="auto"/>
        <w:rPr>
          <w:sz w:val="20"/>
          <w:szCs w:val="20"/>
          <w:color w:val="auto"/>
        </w:rPr>
      </w:pPr>
      <w:r>
        <w:rPr>
          <w:rFonts w:ascii="Arial" w:cs="Arial" w:eastAsia="Arial" w:hAnsi="Arial"/>
          <w:sz w:val="15"/>
          <w:szCs w:val="15"/>
          <w:color w:val="auto"/>
        </w:rPr>
        <w:t>Partner with medical or biomedical device companies for certain applications which we anticipate may accelerate product development and acceptance into target market areas and allow us to gain the sales and marketing advantages of the distribution infrastructure.</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COVID-19 Pandemic</w:t>
      </w:r>
    </w:p>
    <w:p>
      <w:pPr>
        <w:spacing w:after="0" w:line="154"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The COVID-19 pandemic has resulted in government authorities implementing numerous measures to try to contain the virus, such as travel bans and restrictions, quarantines, shelter-in-place or stay-at-home orders, and business shutdowns. In accordance with these measures, we are requiring all of our employees to work remotely unless they cannot perform their essential functions remotely, and have also suspended all non-essential travel for our employees. While many of our employees are accustomed to working remotely, much of our workforce has not historically been remote. Although we continue to monitor the situation and may adjust our current policies as more information and public health guidance becomes available, temporarily suspending travel and restricting the ability to do business in person may create operational or other challenges, any of which could harm our business, financial condition and results of operations.</w:t>
      </w:r>
    </w:p>
    <w:p>
      <w:pPr>
        <w:spacing w:after="0" w:line="129" w:lineRule="exact"/>
        <w:rPr>
          <w:sz w:val="20"/>
          <w:szCs w:val="20"/>
          <w:color w:val="auto"/>
        </w:rPr>
      </w:pPr>
    </w:p>
    <w:p>
      <w:pPr>
        <w:jc w:val="both"/>
        <w:ind w:firstLine="376"/>
        <w:spacing w:after="0" w:line="229" w:lineRule="auto"/>
        <w:rPr>
          <w:sz w:val="20"/>
          <w:szCs w:val="20"/>
          <w:color w:val="auto"/>
        </w:rPr>
      </w:pPr>
      <w:r>
        <w:rPr>
          <w:rFonts w:ascii="Arial" w:cs="Arial" w:eastAsia="Arial" w:hAnsi="Arial"/>
          <w:sz w:val="15"/>
          <w:szCs w:val="15"/>
          <w:color w:val="auto"/>
        </w:rPr>
        <w:t>In addition, our clinical trials may be affected by the COVID-19 pandemic. Site initiation and patient enrollment may be delayed, for example, due to prioritization of hospital resources toward the COVID-19 pandemic, travel restrictions imposed by governments, and the inability to access sites for initiation and monitoring. Also, it is possible that delivery from some of our suppliers of certain materials used in the production of our product candidates could be delayed due to COVID-19 which could affect our ability to obtain sufficient materials for our product candidates. COVID-19 has and will continue to adversely affect global economies and financial markets, resulting in an economic downturn that could affect demand for our product candidates and impact our operating results. Even after the COVID-19 pandemic has subsided, we may continue to experience an adverse impact to our business as a result of the continued global economic impact of the pandemic. We cannot anticipate all of the ways in which health epidemics such as COVID-19 could adversely impact our business. Although we are continuing to monitor and assess the effects of the COVID-19 pandemic on our business, the ultimate impact of the COVID-19 pandemic or a similar health epidemic is highly uncertain and subject to change. See the Risk Factors section for further discussion of the possible impact of the COVID-19 pandemic on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Significant Judgments</w:t>
      </w:r>
    </w:p>
    <w:p>
      <w:pPr>
        <w:spacing w:after="0" w:line="154" w:lineRule="exact"/>
        <w:rPr>
          <w:sz w:val="20"/>
          <w:szCs w:val="20"/>
          <w:color w:val="auto"/>
        </w:rPr>
      </w:pPr>
    </w:p>
    <w:p>
      <w:pPr>
        <w:jc w:val="both"/>
        <w:ind w:firstLine="376"/>
        <w:spacing w:after="0" w:line="250" w:lineRule="auto"/>
        <w:rPr>
          <w:sz w:val="20"/>
          <w:szCs w:val="20"/>
          <w:color w:val="auto"/>
        </w:rPr>
      </w:pPr>
      <w:r>
        <w:rPr>
          <w:rFonts w:ascii="Arial" w:cs="Arial" w:eastAsia="Arial" w:hAnsi="Arial"/>
          <w:sz w:val="14"/>
          <w:szCs w:val="14"/>
          <w:color w:val="auto"/>
        </w:rPr>
        <w:t>The discussion and analysis of financial condition and results of operations is based upon our consolidated financial statements, which have been prepared in accordance with the rules and regulations of the SEC. Certain accounting policies and estimates are particularly important to the understanding of our financial position and results of operations and require the application of significant judgment by management or can be materially affected by changes from period to period in economic factors or conditions that are outside of the company’s control. As a result, these issues are subject to an inherent degree of uncertainty. In applying these policies, management uses its judgment to determine the appropriate assumptions to be used in the determination of certain estimates. Those estimates are based on our historical operations, future business plans and the projected financial results, the terms of existing contracts, trends in the industry and information available from other outside sources.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Long-Lived Assets</w:t>
      </w:r>
    </w:p>
    <w:p>
      <w:pPr>
        <w:spacing w:after="0" w:line="150"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4"/>
          <w:szCs w:val="14"/>
          <w:color w:val="auto"/>
        </w:rPr>
        <w:t>We review long-lived assets, consisting of property and equipment and intangible assets, for impairment at each fiscal year end or when events or changes in circumstances indicate the carrying value of these assets may exceed their current fair values.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assets. Assets to be disposed of are separately presented in the consolidated balance sheet, reported at the lower of the carrying amount or fair value less costs to sell, and are no longer depreciated.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0" w:name="page51"/>
    <w:bookmarkEnd w:id="50"/>
    <w:p>
      <w:pPr>
        <w:ind w:left="8"/>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ind w:left="368"/>
        <w:spacing w:after="0"/>
        <w:rPr>
          <w:sz w:val="20"/>
          <w:szCs w:val="20"/>
          <w:color w:val="auto"/>
        </w:rPr>
      </w:pPr>
      <w:r>
        <w:rPr>
          <w:rFonts w:ascii="Arial" w:cs="Arial" w:eastAsia="Arial" w:hAnsi="Arial"/>
          <w:sz w:val="15"/>
          <w:szCs w:val="15"/>
          <w:b w:val="1"/>
          <w:bCs w:val="1"/>
          <w:i w:val="1"/>
          <w:iCs w:val="1"/>
          <w:color w:val="auto"/>
        </w:rPr>
        <w:t>Goodwill</w:t>
      </w:r>
    </w:p>
    <w:p>
      <w:pPr>
        <w:spacing w:after="0" w:line="150" w:lineRule="exact"/>
        <w:rPr>
          <w:sz w:val="20"/>
          <w:szCs w:val="20"/>
          <w:color w:val="auto"/>
        </w:rPr>
      </w:pPr>
    </w:p>
    <w:p>
      <w:pPr>
        <w:jc w:val="both"/>
        <w:ind w:left="8" w:right="20" w:firstLine="376"/>
        <w:spacing w:after="0" w:line="249" w:lineRule="auto"/>
        <w:rPr>
          <w:sz w:val="20"/>
          <w:szCs w:val="20"/>
          <w:color w:val="auto"/>
        </w:rPr>
      </w:pPr>
      <w:r>
        <w:rPr>
          <w:rFonts w:ascii="Arial" w:cs="Arial" w:eastAsia="Arial" w:hAnsi="Arial"/>
          <w:sz w:val="14"/>
          <w:szCs w:val="14"/>
          <w:color w:val="auto"/>
        </w:rPr>
        <w:t>We record goodwill when the consideration paid in a business acquisition exceeds the fair value of the net tangible assets and the identified intangible assets acquired. We review goodwill for impairment at least annually or whenever changes in circumstances indicate that the carrying value of the goodwill may not be recoverable based on the fair value of the reporting units. If events or circumstances do not indicate that the fair value of a reporting unit is below its carrying amount, goodwill is not considered impaired and no further testing is required. If further testing is required, we perform a two step-process. The first step involves comparing the fair value of the reporting unit to its carrying value, including goodwill. If the carrying value of the reporting unit exceeds its fair value, the second step of the test is performed by comparing the carrying value of the goodwill in the reporting unit to its implied fair value. An impairment charge is recognized for the excess of the carrying value of goodwill over its implied fair value. For the purpose of impairment testing, we have determined that the Company has one reporting unit. To date, there has been no impairment of goodwill.</w:t>
      </w:r>
    </w:p>
    <w:p>
      <w:pPr>
        <w:spacing w:after="0" w:line="122" w:lineRule="exact"/>
        <w:rPr>
          <w:sz w:val="20"/>
          <w:szCs w:val="20"/>
          <w:color w:val="auto"/>
        </w:rPr>
      </w:pPr>
    </w:p>
    <w:p>
      <w:pPr>
        <w:ind w:left="368"/>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50" w:lineRule="exact"/>
        <w:rPr>
          <w:sz w:val="20"/>
          <w:szCs w:val="20"/>
          <w:color w:val="auto"/>
        </w:rPr>
      </w:pPr>
    </w:p>
    <w:p>
      <w:pPr>
        <w:jc w:val="both"/>
        <w:ind w:left="8" w:firstLine="376"/>
        <w:spacing w:after="0" w:line="257" w:lineRule="auto"/>
        <w:rPr>
          <w:sz w:val="20"/>
          <w:szCs w:val="20"/>
          <w:color w:val="auto"/>
        </w:rPr>
      </w:pPr>
      <w:r>
        <w:rPr>
          <w:rFonts w:ascii="Arial" w:cs="Arial" w:eastAsia="Arial" w:hAnsi="Arial"/>
          <w:sz w:val="14"/>
          <w:szCs w:val="14"/>
          <w:color w:val="auto"/>
        </w:rPr>
        <w:t>We periodically issue stock options and restricted stock units (RSUs)to officers, directors, employees and consultants for services rendered. Such issuances vest and expire according to terms established at the issuance date. Stock-based payments to officers, directors and employees, including grants of employee stock options, are recognized in the financial statements based on their fair values. Stock option grants, which are generally time vested, are measured at the grant date fair value and charged to operations on a straight-line basis over the vesting period. We estimate the grant date fair value of stock options, using the Black-Scholes option-pricing model.</w:t>
      </w:r>
    </w:p>
    <w:p>
      <w:pPr>
        <w:spacing w:after="0" w:line="117" w:lineRule="exact"/>
        <w:rPr>
          <w:sz w:val="20"/>
          <w:szCs w:val="20"/>
          <w:color w:val="auto"/>
        </w:rPr>
      </w:pPr>
    </w:p>
    <w:p>
      <w:pPr>
        <w:jc w:val="both"/>
        <w:ind w:left="8" w:firstLine="376"/>
        <w:spacing w:after="0" w:line="236" w:lineRule="auto"/>
        <w:rPr>
          <w:sz w:val="20"/>
          <w:szCs w:val="20"/>
          <w:color w:val="auto"/>
        </w:rPr>
      </w:pPr>
      <w:r>
        <w:rPr>
          <w:rFonts w:ascii="Arial" w:cs="Arial" w:eastAsia="Arial" w:hAnsi="Arial"/>
          <w:sz w:val="15"/>
          <w:szCs w:val="15"/>
          <w:color w:val="auto"/>
        </w:rPr>
        <w:t>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so that they are inherently subjective. If factors change and different assumptions are used, our stock-based compensation expense could be materially different in the future.</w:t>
      </w:r>
    </w:p>
    <w:p>
      <w:pPr>
        <w:spacing w:after="0" w:line="129" w:lineRule="exact"/>
        <w:rPr>
          <w:sz w:val="20"/>
          <w:szCs w:val="20"/>
          <w:color w:val="auto"/>
        </w:rPr>
      </w:pPr>
    </w:p>
    <w:p>
      <w:pPr>
        <w:ind w:left="368"/>
        <w:spacing w:after="0"/>
        <w:rPr>
          <w:sz w:val="20"/>
          <w:szCs w:val="20"/>
          <w:color w:val="auto"/>
        </w:rPr>
      </w:pPr>
      <w:r>
        <w:rPr>
          <w:rFonts w:ascii="Arial" w:cs="Arial" w:eastAsia="Arial" w:hAnsi="Arial"/>
          <w:sz w:val="15"/>
          <w:szCs w:val="15"/>
          <w:b w:val="1"/>
          <w:bCs w:val="1"/>
          <w:i w:val="1"/>
          <w:iCs w:val="1"/>
          <w:color w:val="auto"/>
        </w:rPr>
        <w:t>Income Taxes</w:t>
      </w:r>
    </w:p>
    <w:p>
      <w:pPr>
        <w:spacing w:after="0" w:line="150" w:lineRule="exact"/>
        <w:rPr>
          <w:sz w:val="20"/>
          <w:szCs w:val="20"/>
          <w:color w:val="auto"/>
        </w:rPr>
      </w:pPr>
    </w:p>
    <w:p>
      <w:pPr>
        <w:jc w:val="both"/>
        <w:ind w:left="8" w:right="20" w:firstLine="376"/>
        <w:spacing w:after="0" w:line="291" w:lineRule="auto"/>
        <w:rPr>
          <w:sz w:val="20"/>
          <w:szCs w:val="20"/>
          <w:color w:val="auto"/>
        </w:rPr>
      </w:pPr>
      <w:r>
        <w:rPr>
          <w:rFonts w:ascii="Arial" w:cs="Arial" w:eastAsia="Arial" w:hAnsi="Arial"/>
          <w:sz w:val="14"/>
          <w:szCs w:val="14"/>
          <w:color w:val="auto"/>
        </w:rPr>
        <w:t>We account for income taxes using the asset and liability method, whereby deferred tax assets and liability account balances are determined based on differences between the financial reporting and tax bases of assets and liabilities, and are measured using the enacted rates and laws that will be in effect when the differences are expected to reverse.</w:t>
      </w:r>
    </w:p>
    <w:p>
      <w:pPr>
        <w:spacing w:after="0" w:line="94" w:lineRule="exact"/>
        <w:rPr>
          <w:sz w:val="20"/>
          <w:szCs w:val="20"/>
          <w:color w:val="auto"/>
        </w:rPr>
      </w:pPr>
    </w:p>
    <w:p>
      <w:pPr>
        <w:jc w:val="both"/>
        <w:ind w:left="8" w:firstLine="376"/>
        <w:spacing w:after="0" w:line="236" w:lineRule="auto"/>
        <w:rPr>
          <w:sz w:val="20"/>
          <w:szCs w:val="20"/>
          <w:color w:val="auto"/>
        </w:rPr>
      </w:pPr>
      <w:r>
        <w:rPr>
          <w:rFonts w:ascii="Arial" w:cs="Arial" w:eastAsia="Arial" w:hAnsi="Arial"/>
          <w:sz w:val="15"/>
          <w:szCs w:val="15"/>
          <w:color w:val="auto"/>
        </w:rPr>
        <w:t>We provide a valuation allowance to reduce its deferred tax assets to the amount that is more likely than not to be realized. If we determine that we would be able to realize deferred tax assets in the future in excess of the recorded amount, an adjustment to the deferred tax assets would be credited to operations in the period such determination was made. Likewise, should we determine that we would not be able to realize all or part of its deferred tax assets in the future, an adjustment to the deferred tax assets would be charged to operations in the period such determination was made.</w:t>
      </w:r>
    </w:p>
    <w:p>
      <w:pPr>
        <w:spacing w:after="0" w:line="129" w:lineRule="exact"/>
        <w:rPr>
          <w:sz w:val="20"/>
          <w:szCs w:val="20"/>
          <w:color w:val="auto"/>
        </w:rPr>
      </w:pPr>
    </w:p>
    <w:p>
      <w:pPr>
        <w:jc w:val="both"/>
        <w:ind w:left="8" w:right="20" w:firstLine="376"/>
        <w:spacing w:after="0" w:line="268" w:lineRule="auto"/>
        <w:rPr>
          <w:sz w:val="20"/>
          <w:szCs w:val="20"/>
          <w:color w:val="auto"/>
        </w:rPr>
      </w:pPr>
      <w:r>
        <w:rPr>
          <w:rFonts w:ascii="Arial" w:cs="Arial" w:eastAsia="Arial" w:hAnsi="Arial"/>
          <w:sz w:val="13"/>
          <w:szCs w:val="13"/>
          <w:color w:val="auto"/>
        </w:rPr>
        <w:t>We account for uncertainties in income tax law under a comprehensive model for the financial statement recognition, measurement, presentation and disclosure of uncertain tax positions taken or expected to be taken in income tax returns as prescribed by Financial Accounting Standards Board (FASB) issued Accounting Standards Codification (ASC) 740-10</w:t>
      </w:r>
    </w:p>
    <w:p>
      <w:pPr>
        <w:spacing w:after="0" w:line="1" w:lineRule="exact"/>
        <w:rPr>
          <w:sz w:val="20"/>
          <w:szCs w:val="20"/>
          <w:color w:val="auto"/>
        </w:rPr>
      </w:pPr>
    </w:p>
    <w:p>
      <w:pPr>
        <w:ind w:left="8" w:hanging="8"/>
        <w:spacing w:after="0" w:line="239" w:lineRule="auto"/>
        <w:tabs>
          <w:tab w:leader="none" w:pos="97"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Accounting for Uncertainty in Income Taxes</w:t>
      </w:r>
      <w:r>
        <w:rPr>
          <w:rFonts w:ascii="Arial" w:cs="Arial" w:eastAsia="Arial" w:hAnsi="Arial"/>
          <w:sz w:val="15"/>
          <w:szCs w:val="15"/>
          <w:color w:val="auto"/>
        </w:rPr>
        <w:t>. The tax effects of a position are recognized only if it is “more-likely-than-not” to be sustained by the taxing authority as of the reporting</w:t>
      </w:r>
      <w:r>
        <w:rPr>
          <w:rFonts w:ascii="Arial" w:cs="Arial" w:eastAsia="Arial" w:hAnsi="Arial"/>
          <w:sz w:val="15"/>
          <w:szCs w:val="15"/>
          <w:i w:val="1"/>
          <w:iCs w:val="1"/>
          <w:color w:val="auto"/>
        </w:rPr>
        <w:t xml:space="preserve"> </w:t>
      </w:r>
      <w:r>
        <w:rPr>
          <w:rFonts w:ascii="Arial" w:cs="Arial" w:eastAsia="Arial" w:hAnsi="Arial"/>
          <w:sz w:val="15"/>
          <w:szCs w:val="15"/>
          <w:color w:val="auto"/>
        </w:rPr>
        <w:t>date. If the tax position is not considered “more-likely-than-not” to be sustained, then no benefits of the position are recognized.</w:t>
      </w:r>
    </w:p>
    <w:p>
      <w:pPr>
        <w:spacing w:after="0" w:line="94" w:lineRule="exact"/>
        <w:rPr>
          <w:sz w:val="20"/>
          <w:szCs w:val="20"/>
          <w:color w:val="auto"/>
        </w:rPr>
      </w:pPr>
    </w:p>
    <w:p>
      <w:pPr>
        <w:ind w:left="8" w:firstLine="376"/>
        <w:spacing w:after="0" w:line="291" w:lineRule="auto"/>
        <w:rPr>
          <w:sz w:val="20"/>
          <w:szCs w:val="20"/>
          <w:color w:val="auto"/>
        </w:rPr>
      </w:pPr>
      <w:r>
        <w:rPr>
          <w:rFonts w:ascii="Arial" w:cs="Arial" w:eastAsia="Arial" w:hAnsi="Arial"/>
          <w:sz w:val="14"/>
          <w:szCs w:val="14"/>
          <w:color w:val="auto"/>
        </w:rPr>
        <w:t>We are subject to U.S. federal income taxes and income taxes in California. As our net operating losses have yet to be utilized, previous tax years remain open to examination by federal authorities and other jurisdictions in which we currently operate or have operated in the past. We are not currently under examination by any tax authority.</w:t>
      </w:r>
    </w:p>
    <w:p>
      <w:pPr>
        <w:spacing w:after="0" w:line="25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715264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2" w:right="319" w:bottom="1440" w:gutter="0" w:footer="0" w:header="0"/>
        </w:sectPr>
      </w:pPr>
    </w:p>
    <w:bookmarkStart w:id="51" w:name="page52"/>
    <w:bookmarkEnd w:id="51"/>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Components of Results of Operations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50"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We generally recognize operating expenses as general and administrative costs and research and development costs, as well as non-cash amortization of intangible assets. Our operating expenses also include non-cash components related to depreciation and amortization of property and equipment and stock-based compensation costs, which are allocated, as appropriate, to general and administrative costs and research and development costs.</w:t>
      </w:r>
    </w:p>
    <w:p>
      <w:pPr>
        <w:spacing w:after="0" w:line="128" w:lineRule="exact"/>
        <w:rPr>
          <w:sz w:val="20"/>
          <w:szCs w:val="20"/>
          <w:color w:val="auto"/>
        </w:rPr>
      </w:pPr>
    </w:p>
    <w:p>
      <w:pPr>
        <w:jc w:val="both"/>
        <w:ind w:left="540"/>
        <w:spacing w:after="0" w:line="236" w:lineRule="auto"/>
        <w:rPr>
          <w:sz w:val="20"/>
          <w:szCs w:val="20"/>
          <w:color w:val="auto"/>
        </w:rPr>
      </w:pPr>
      <w:r>
        <w:rPr>
          <w:rFonts w:ascii="Arial" w:cs="Arial" w:eastAsia="Arial" w:hAnsi="Arial"/>
          <w:sz w:val="15"/>
          <w:szCs w:val="15"/>
          <w:color w:val="auto"/>
        </w:rPr>
        <w:t>General and administrative expenses consist of salaries and related expenses for executives, marketing, sales, finance, legal, human resources, information technology and administrative personnel, professional fees, patent filing fees and costs, insurance costs and other general corporate expenses. We expect general and administrative expenses to increase in the future as we hire personnel and incur additional costs to support our commercialization efforts, research and development activities and our operation as a public company, including higher legal, accounting, insurance, compliance, compensation and other costs.</w:t>
      </w:r>
    </w:p>
    <w:p>
      <w:pPr>
        <w:spacing w:after="0" w:line="129" w:lineRule="exact"/>
        <w:rPr>
          <w:sz w:val="20"/>
          <w:szCs w:val="20"/>
          <w:color w:val="auto"/>
        </w:rPr>
      </w:pPr>
    </w:p>
    <w:p>
      <w:pPr>
        <w:jc w:val="both"/>
        <w:ind w:left="540" w:right="20"/>
        <w:spacing w:after="0"/>
        <w:rPr>
          <w:sz w:val="20"/>
          <w:szCs w:val="20"/>
          <w:color w:val="auto"/>
        </w:rPr>
      </w:pPr>
      <w:r>
        <w:rPr>
          <w:rFonts w:ascii="Arial" w:cs="Arial" w:eastAsia="Arial" w:hAnsi="Arial"/>
          <w:sz w:val="15"/>
          <w:szCs w:val="15"/>
          <w:color w:val="auto"/>
        </w:rPr>
        <w:t>Research and development expenses consist of salaries and related expenses and consulting costs related to the design, development and enhancement of our current and potential future products, prototype material and devices, and regulatory and clinical costs. We expect research and development costs to increase in the future as we initiate additional clinical trials and pursue additional commercial applications of our NPS technology.</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the Years ended December 31, 2020 and 2019</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Our consolidated statements of operations as discussed herein are presented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4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gridSpan w:val="3"/>
          </w:tcPr>
          <w:p>
            <w:pPr>
              <w:jc w:val="right"/>
              <w:ind w:right="143"/>
              <w:spacing w:after="0"/>
              <w:rPr>
                <w:sz w:val="20"/>
                <w:szCs w:val="20"/>
                <w:color w:val="auto"/>
              </w:rPr>
            </w:pPr>
            <w:r>
              <w:rPr>
                <w:rFonts w:ascii="Arial" w:cs="Arial" w:eastAsia="Arial" w:hAnsi="Arial"/>
                <w:sz w:val="12"/>
                <w:szCs w:val="12"/>
                <w:b w:val="1"/>
                <w:bCs w:val="1"/>
                <w:color w:val="auto"/>
              </w:rPr>
              <w:t>Year Ended</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w w:val="87"/>
              </w:rPr>
              <w:t>(in thousands)</w:t>
            </w:r>
          </w:p>
        </w:tc>
        <w:tc>
          <w:tcPr>
            <w:tcW w:w="5740" w:type="dxa"/>
            <w:vAlign w:val="bottom"/>
            <w:vMerge w:val="restart"/>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2"/>
                <w:szCs w:val="12"/>
                <w:b w:val="1"/>
                <w:bCs w:val="1"/>
                <w:color w:val="auto"/>
              </w:rPr>
              <w:t>December 31,</w:t>
            </w:r>
          </w:p>
        </w:tc>
        <w:tc>
          <w:tcPr>
            <w:tcW w:w="10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vMerge w:val="restart"/>
          </w:tcPr>
          <w:p>
            <w:pPr>
              <w:jc w:val="right"/>
              <w:ind w:right="424"/>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27"/>
        </w:trPr>
        <w:tc>
          <w:tcPr>
            <w:tcW w:w="740" w:type="dxa"/>
            <w:vAlign w:val="bottom"/>
            <w:tcBorders>
              <w:bottom w:val="single" w:sz="8" w:color="auto"/>
            </w:tcBorders>
            <w:vMerge w:val="continue"/>
          </w:tcPr>
          <w:p>
            <w:pPr>
              <w:spacing w:after="0"/>
              <w:rPr>
                <w:sz w:val="11"/>
                <w:szCs w:val="11"/>
                <w:color w:val="auto"/>
              </w:rPr>
            </w:pPr>
          </w:p>
        </w:tc>
        <w:tc>
          <w:tcPr>
            <w:tcW w:w="57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526"/>
              <w:spacing w:after="0" w:line="107" w:lineRule="exact"/>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jc w:val="right"/>
              <w:ind w:right="544"/>
              <w:spacing w:after="0" w:line="107" w:lineRule="exact"/>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80" w:type="dxa"/>
            <w:vAlign w:val="bottom"/>
            <w:tcBorders>
              <w:top w:val="single" w:sz="8" w:color="CCEEFF"/>
            </w:tcBorders>
            <w:gridSpan w:val="2"/>
            <w:shd w:val="clear" w:color="auto" w:fill="CCEEFF"/>
          </w:tcPr>
          <w:p>
            <w:pPr>
              <w:spacing w:after="0" w:line="145" w:lineRule="exact"/>
              <w:rPr>
                <w:sz w:val="20"/>
                <w:szCs w:val="20"/>
                <w:color w:val="auto"/>
              </w:rPr>
            </w:pPr>
            <w:r>
              <w:rPr>
                <w:rFonts w:ascii="Arial" w:cs="Arial" w:eastAsia="Arial" w:hAnsi="Arial"/>
                <w:sz w:val="15"/>
                <w:szCs w:val="15"/>
                <w:color w:val="auto"/>
              </w:rPr>
              <w:t>Revenue</w:t>
            </w:r>
          </w:p>
        </w:tc>
        <w:tc>
          <w:tcPr>
            <w:tcW w:w="34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ind w:right="283"/>
              <w:spacing w:after="0" w:line="145"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43"/>
              <w:spacing w:after="0" w:line="145" w:lineRule="exact"/>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4"/>
        </w:trPr>
        <w:tc>
          <w:tcPr>
            <w:tcW w:w="6480" w:type="dxa"/>
            <w:vAlign w:val="bottom"/>
            <w:gridSpan w:val="2"/>
          </w:tcPr>
          <w:p>
            <w:pPr>
              <w:spacing w:after="0" w:line="164" w:lineRule="exact"/>
              <w:rPr>
                <w:sz w:val="20"/>
                <w:szCs w:val="20"/>
                <w:color w:val="auto"/>
              </w:rPr>
            </w:pPr>
            <w:r>
              <w:rPr>
                <w:rFonts w:ascii="Arial" w:cs="Arial" w:eastAsia="Arial" w:hAnsi="Arial"/>
                <w:sz w:val="15"/>
                <w:szCs w:val="15"/>
                <w:color w:val="auto"/>
              </w:rPr>
              <w:t>Operating expenses: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80" w:type="dxa"/>
            <w:vAlign w:val="bottom"/>
            <w:gridSpan w:val="2"/>
            <w:shd w:val="clear" w:color="auto" w:fill="CCEEFF"/>
          </w:tcPr>
          <w:p>
            <w:pPr>
              <w:ind w:left="180"/>
              <w:spacing w:after="0" w:line="161" w:lineRule="exact"/>
              <w:rPr>
                <w:sz w:val="20"/>
                <w:szCs w:val="20"/>
                <w:color w:val="auto"/>
              </w:rPr>
            </w:pPr>
            <w:r>
              <w:rPr>
                <w:rFonts w:ascii="Arial" w:cs="Arial" w:eastAsia="Arial" w:hAnsi="Arial"/>
                <w:sz w:val="15"/>
                <w:szCs w:val="15"/>
                <w:color w:val="auto"/>
              </w:rPr>
              <w:t>General and administrative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22,856</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22,327</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529</w:t>
            </w:r>
          </w:p>
        </w:tc>
        <w:tc>
          <w:tcPr>
            <w:tcW w:w="0" w:type="dxa"/>
            <w:vAlign w:val="bottom"/>
          </w:tcPr>
          <w:p>
            <w:pPr>
              <w:spacing w:after="0"/>
              <w:rPr>
                <w:sz w:val="1"/>
                <w:szCs w:val="1"/>
                <w:color w:val="auto"/>
              </w:rPr>
            </w:pPr>
          </w:p>
        </w:tc>
      </w:tr>
      <w:tr>
        <w:trPr>
          <w:trHeight w:val="161"/>
        </w:trPr>
        <w:tc>
          <w:tcPr>
            <w:tcW w:w="6480" w:type="dxa"/>
            <w:vAlign w:val="bottom"/>
            <w:gridSpan w:val="2"/>
          </w:tcPr>
          <w:p>
            <w:pPr>
              <w:ind w:left="180"/>
              <w:spacing w:after="0" w:line="161" w:lineRule="exact"/>
              <w:rPr>
                <w:sz w:val="20"/>
                <w:szCs w:val="20"/>
                <w:color w:val="auto"/>
              </w:rPr>
            </w:pPr>
            <w:r>
              <w:rPr>
                <w:rFonts w:ascii="Arial" w:cs="Arial" w:eastAsia="Arial" w:hAnsi="Arial"/>
                <w:sz w:val="15"/>
                <w:szCs w:val="15"/>
                <w:color w:val="auto"/>
              </w:rPr>
              <w:t>Research and development</w:t>
            </w:r>
          </w:p>
        </w:tc>
        <w:tc>
          <w:tcPr>
            <w:tcW w:w="340" w:type="dxa"/>
            <w:vAlign w:val="bottom"/>
          </w:tcPr>
          <w:p>
            <w:pPr>
              <w:spacing w:after="0"/>
              <w:rPr>
                <w:sz w:val="14"/>
                <w:szCs w:val="14"/>
                <w:color w:val="auto"/>
              </w:rPr>
            </w:pPr>
          </w:p>
        </w:tc>
        <w:tc>
          <w:tcPr>
            <w:tcW w:w="1120" w:type="dxa"/>
            <w:vAlign w:val="bottom"/>
          </w:tcPr>
          <w:p>
            <w:pPr>
              <w:jc w:val="right"/>
              <w:spacing w:after="0" w:line="161" w:lineRule="exact"/>
              <w:rPr>
                <w:sz w:val="20"/>
                <w:szCs w:val="20"/>
                <w:color w:val="auto"/>
              </w:rPr>
            </w:pPr>
            <w:r>
              <w:rPr>
                <w:rFonts w:ascii="Arial" w:cs="Arial" w:eastAsia="Arial" w:hAnsi="Arial"/>
                <w:sz w:val="15"/>
                <w:szCs w:val="15"/>
                <w:color w:val="auto"/>
              </w:rPr>
              <w:t>26,444</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5"/>
                <w:szCs w:val="15"/>
                <w:color w:val="auto"/>
              </w:rPr>
              <w:t>24,961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line="161" w:lineRule="exact"/>
              <w:rPr>
                <w:sz w:val="20"/>
                <w:szCs w:val="20"/>
                <w:color w:val="auto"/>
              </w:rPr>
            </w:pPr>
            <w:r>
              <w:rPr>
                <w:rFonts w:ascii="Arial" w:cs="Arial" w:eastAsia="Arial" w:hAnsi="Arial"/>
                <w:sz w:val="15"/>
                <w:szCs w:val="15"/>
                <w:color w:val="auto"/>
              </w:rPr>
              <w:t>1,483</w:t>
            </w:r>
          </w:p>
        </w:tc>
        <w:tc>
          <w:tcPr>
            <w:tcW w:w="0" w:type="dxa"/>
            <w:vAlign w:val="bottom"/>
          </w:tcPr>
          <w:p>
            <w:pPr>
              <w:spacing w:after="0"/>
              <w:rPr>
                <w:sz w:val="1"/>
                <w:szCs w:val="1"/>
                <w:color w:val="auto"/>
              </w:rPr>
            </w:pPr>
          </w:p>
        </w:tc>
      </w:tr>
      <w:tr>
        <w:trPr>
          <w:trHeight w:val="161"/>
        </w:trPr>
        <w:tc>
          <w:tcPr>
            <w:tcW w:w="6480" w:type="dxa"/>
            <w:vAlign w:val="bottom"/>
            <w:gridSpan w:val="2"/>
            <w:shd w:val="clear" w:color="auto" w:fill="CCEEFF"/>
          </w:tcPr>
          <w:p>
            <w:pPr>
              <w:ind w:left="180"/>
              <w:spacing w:after="0" w:line="161" w:lineRule="exact"/>
              <w:rPr>
                <w:sz w:val="20"/>
                <w:szCs w:val="20"/>
                <w:color w:val="auto"/>
              </w:rPr>
            </w:pPr>
            <w:r>
              <w:rPr>
                <w:rFonts w:ascii="Arial" w:cs="Arial" w:eastAsia="Arial" w:hAnsi="Arial"/>
                <w:sz w:val="15"/>
                <w:szCs w:val="15"/>
                <w:color w:val="auto"/>
              </w:rPr>
              <w:t>Amortization of intangible assets</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665</w:t>
            </w:r>
          </w:p>
        </w:tc>
        <w:tc>
          <w:tcPr>
            <w:tcW w:w="1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666</w:t>
            </w:r>
          </w:p>
        </w:tc>
        <w:tc>
          <w:tcPr>
            <w:tcW w:w="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3"/>
        </w:trPr>
        <w:tc>
          <w:tcPr>
            <w:tcW w:w="6480" w:type="dxa"/>
            <w:vAlign w:val="bottom"/>
            <w:tcBorders>
              <w:bottom w:val="single" w:sz="8" w:color="CCEEFF"/>
            </w:tcBorders>
            <w:gridSpan w:val="2"/>
          </w:tcPr>
          <w:p>
            <w:pPr>
              <w:ind w:left="360"/>
              <w:spacing w:after="0" w:line="153" w:lineRule="exact"/>
              <w:rPr>
                <w:sz w:val="20"/>
                <w:szCs w:val="20"/>
                <w:color w:val="auto"/>
              </w:rPr>
            </w:pPr>
            <w:r>
              <w:rPr>
                <w:rFonts w:ascii="Arial" w:cs="Arial" w:eastAsia="Arial" w:hAnsi="Arial"/>
                <w:sz w:val="15"/>
                <w:szCs w:val="15"/>
                <w:color w:val="auto"/>
              </w:rPr>
              <w:t>Total operating expenses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49,965</w:t>
            </w: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47,954</w:t>
            </w: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2,011</w:t>
            </w:r>
          </w:p>
        </w:tc>
        <w:tc>
          <w:tcPr>
            <w:tcW w:w="0" w:type="dxa"/>
            <w:vAlign w:val="bottom"/>
          </w:tcPr>
          <w:p>
            <w:pPr>
              <w:spacing w:after="0"/>
              <w:rPr>
                <w:sz w:val="1"/>
                <w:szCs w:val="1"/>
                <w:color w:val="auto"/>
              </w:rPr>
            </w:pPr>
          </w:p>
        </w:tc>
      </w:tr>
      <w:tr>
        <w:trPr>
          <w:trHeight w:val="153"/>
        </w:trPr>
        <w:tc>
          <w:tcPr>
            <w:tcW w:w="648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Other income (expense):</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480" w:type="dxa"/>
            <w:vAlign w:val="bottom"/>
            <w:gridSpan w:val="2"/>
          </w:tcPr>
          <w:p>
            <w:pPr>
              <w:ind w:left="180"/>
              <w:spacing w:after="0" w:line="161" w:lineRule="exact"/>
              <w:rPr>
                <w:sz w:val="20"/>
                <w:szCs w:val="20"/>
                <w:color w:val="auto"/>
              </w:rPr>
            </w:pPr>
            <w:r>
              <w:rPr>
                <w:rFonts w:ascii="Arial" w:cs="Arial" w:eastAsia="Arial" w:hAnsi="Arial"/>
                <w:sz w:val="15"/>
                <w:szCs w:val="15"/>
                <w:color w:val="auto"/>
              </w:rPr>
              <w:t>Interest income</w:t>
            </w:r>
          </w:p>
        </w:tc>
        <w:tc>
          <w:tcPr>
            <w:tcW w:w="340" w:type="dxa"/>
            <w:vAlign w:val="bottom"/>
          </w:tcPr>
          <w:p>
            <w:pPr>
              <w:spacing w:after="0"/>
              <w:rPr>
                <w:sz w:val="14"/>
                <w:szCs w:val="14"/>
                <w:color w:val="auto"/>
              </w:rPr>
            </w:pPr>
          </w:p>
        </w:tc>
        <w:tc>
          <w:tcPr>
            <w:tcW w:w="1120" w:type="dxa"/>
            <w:vAlign w:val="bottom"/>
          </w:tcPr>
          <w:p>
            <w:pPr>
              <w:jc w:val="right"/>
              <w:spacing w:after="0" w:line="161" w:lineRule="exact"/>
              <w:rPr>
                <w:sz w:val="20"/>
                <w:szCs w:val="20"/>
                <w:color w:val="auto"/>
              </w:rPr>
            </w:pPr>
            <w:r>
              <w:rPr>
                <w:rFonts w:ascii="Arial" w:cs="Arial" w:eastAsia="Arial" w:hAnsi="Arial"/>
                <w:sz w:val="15"/>
                <w:szCs w:val="15"/>
                <w:color w:val="auto"/>
              </w:rPr>
              <w:t>114</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5"/>
                <w:szCs w:val="15"/>
                <w:color w:val="auto"/>
              </w:rPr>
              <w:t>983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line="161" w:lineRule="exact"/>
              <w:rPr>
                <w:sz w:val="20"/>
                <w:szCs w:val="20"/>
                <w:color w:val="auto"/>
              </w:rPr>
            </w:pPr>
            <w:r>
              <w:rPr>
                <w:rFonts w:ascii="Arial" w:cs="Arial" w:eastAsia="Arial" w:hAnsi="Arial"/>
                <w:sz w:val="15"/>
                <w:szCs w:val="15"/>
                <w:color w:val="auto"/>
              </w:rPr>
              <w:t>(869)</w:t>
            </w:r>
          </w:p>
        </w:tc>
        <w:tc>
          <w:tcPr>
            <w:tcW w:w="0" w:type="dxa"/>
            <w:vAlign w:val="bottom"/>
          </w:tcPr>
          <w:p>
            <w:pPr>
              <w:spacing w:after="0"/>
              <w:rPr>
                <w:sz w:val="1"/>
                <w:szCs w:val="1"/>
                <w:color w:val="auto"/>
              </w:rPr>
            </w:pPr>
          </w:p>
        </w:tc>
      </w:tr>
      <w:tr>
        <w:trPr>
          <w:trHeight w:val="161"/>
        </w:trPr>
        <w:tc>
          <w:tcPr>
            <w:tcW w:w="6480" w:type="dxa"/>
            <w:vAlign w:val="bottom"/>
            <w:gridSpan w:val="2"/>
            <w:shd w:val="clear" w:color="auto" w:fill="CCEEFF"/>
          </w:tcPr>
          <w:p>
            <w:pPr>
              <w:ind w:left="180"/>
              <w:spacing w:after="0" w:line="161" w:lineRule="exact"/>
              <w:rPr>
                <w:sz w:val="20"/>
                <w:szCs w:val="20"/>
                <w:color w:val="auto"/>
              </w:rPr>
            </w:pPr>
            <w:r>
              <w:rPr>
                <w:rFonts w:ascii="Arial" w:cs="Arial" w:eastAsia="Arial" w:hAnsi="Arial"/>
                <w:sz w:val="15"/>
                <w:szCs w:val="15"/>
                <w:color w:val="auto"/>
              </w:rPr>
              <w:t>Other expense</w:t>
            </w:r>
          </w:p>
        </w:tc>
        <w:tc>
          <w:tcPr>
            <w:tcW w:w="3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880"/>
              <w:spacing w:after="0" w:line="161"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6480" w:type="dxa"/>
            <w:vAlign w:val="bottom"/>
            <w:tcBorders>
              <w:bottom w:val="single" w:sz="8" w:color="CCEEFF"/>
            </w:tcBorders>
            <w:gridSpan w:val="2"/>
          </w:tcPr>
          <w:p>
            <w:pPr>
              <w:spacing w:after="0" w:line="153" w:lineRule="exact"/>
              <w:rPr>
                <w:sz w:val="20"/>
                <w:szCs w:val="20"/>
                <w:color w:val="auto"/>
              </w:rPr>
            </w:pPr>
            <w:r>
              <w:rPr>
                <w:rFonts w:ascii="Arial" w:cs="Arial" w:eastAsia="Arial" w:hAnsi="Arial"/>
                <w:sz w:val="15"/>
                <w:szCs w:val="15"/>
                <w:color w:val="auto"/>
              </w:rPr>
              <w:t>Total other income</w:t>
            </w: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114</w:t>
            </w:r>
          </w:p>
        </w:tc>
        <w:tc>
          <w:tcPr>
            <w:tcW w:w="18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983</w:t>
            </w:r>
          </w:p>
        </w:tc>
        <w:tc>
          <w:tcPr>
            <w:tcW w:w="16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(869)</w:t>
            </w:r>
          </w:p>
        </w:tc>
        <w:tc>
          <w:tcPr>
            <w:tcW w:w="0" w:type="dxa"/>
            <w:vAlign w:val="bottom"/>
          </w:tcPr>
          <w:p>
            <w:pPr>
              <w:spacing w:after="0"/>
              <w:rPr>
                <w:sz w:val="1"/>
                <w:szCs w:val="1"/>
                <w:color w:val="auto"/>
              </w:rPr>
            </w:pPr>
          </w:p>
        </w:tc>
      </w:tr>
      <w:tr>
        <w:trPr>
          <w:trHeight w:val="153"/>
        </w:trPr>
        <w:tc>
          <w:tcPr>
            <w:tcW w:w="648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Loss from operations, before income taxes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(49,851)</w:t>
            </w: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(46,971)</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(2,880)</w:t>
            </w:r>
          </w:p>
        </w:tc>
        <w:tc>
          <w:tcPr>
            <w:tcW w:w="0" w:type="dxa"/>
            <w:vAlign w:val="bottom"/>
          </w:tcPr>
          <w:p>
            <w:pPr>
              <w:spacing w:after="0"/>
              <w:rPr>
                <w:sz w:val="1"/>
                <w:szCs w:val="1"/>
                <w:color w:val="auto"/>
              </w:rPr>
            </w:pPr>
          </w:p>
        </w:tc>
      </w:tr>
      <w:tr>
        <w:trPr>
          <w:trHeight w:val="161"/>
        </w:trPr>
        <w:tc>
          <w:tcPr>
            <w:tcW w:w="6480" w:type="dxa"/>
            <w:vAlign w:val="bottom"/>
            <w:gridSpan w:val="2"/>
          </w:tcPr>
          <w:p>
            <w:pPr>
              <w:ind w:left="180"/>
              <w:spacing w:after="0" w:line="161" w:lineRule="exact"/>
              <w:rPr>
                <w:sz w:val="20"/>
                <w:szCs w:val="20"/>
                <w:color w:val="auto"/>
              </w:rPr>
            </w:pPr>
            <w:r>
              <w:rPr>
                <w:rFonts w:ascii="Arial" w:cs="Arial" w:eastAsia="Arial" w:hAnsi="Arial"/>
                <w:sz w:val="15"/>
                <w:szCs w:val="15"/>
                <w:color w:val="auto"/>
              </w:rPr>
              <w:t>Income tax benefit</w:t>
            </w:r>
          </w:p>
        </w:tc>
        <w:tc>
          <w:tcPr>
            <w:tcW w:w="340" w:type="dxa"/>
            <w:vAlign w:val="bottom"/>
          </w:tcPr>
          <w:p>
            <w:pPr>
              <w:spacing w:after="0"/>
              <w:rPr>
                <w:sz w:val="14"/>
                <w:szCs w:val="14"/>
                <w:color w:val="auto"/>
              </w:rPr>
            </w:pPr>
          </w:p>
        </w:tc>
        <w:tc>
          <w:tcPr>
            <w:tcW w:w="1300" w:type="dxa"/>
            <w:vAlign w:val="bottom"/>
            <w:gridSpan w:val="2"/>
          </w:tcPr>
          <w:p>
            <w:pPr>
              <w:ind w:left="980"/>
              <w:spacing w:after="0" w:line="161" w:lineRule="exact"/>
              <w:rPr>
                <w:sz w:val="20"/>
                <w:szCs w:val="20"/>
                <w:color w:val="auto"/>
              </w:rPr>
            </w:pPr>
            <w:r>
              <w:rPr>
                <w:rFonts w:ascii="Arial" w:cs="Arial" w:eastAsia="Arial" w:hAnsi="Arial"/>
                <w:sz w:val="15"/>
                <w:szCs w:val="15"/>
                <w:color w:val="auto"/>
              </w:rPr>
              <w:t>—</w:t>
            </w:r>
          </w:p>
        </w:tc>
        <w:tc>
          <w:tcPr>
            <w:tcW w:w="440" w:type="dxa"/>
            <w:vAlign w:val="bottom"/>
          </w:tcPr>
          <w:p>
            <w:pPr>
              <w:spacing w:after="0"/>
              <w:rPr>
                <w:sz w:val="14"/>
                <w:szCs w:val="14"/>
                <w:color w:val="auto"/>
              </w:rPr>
            </w:pPr>
          </w:p>
        </w:tc>
        <w:tc>
          <w:tcPr>
            <w:tcW w:w="1200" w:type="dxa"/>
            <w:vAlign w:val="bottom"/>
            <w:gridSpan w:val="2"/>
          </w:tcPr>
          <w:p>
            <w:pPr>
              <w:ind w:left="880"/>
              <w:spacing w:after="0" w:line="161"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120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6480" w:type="dxa"/>
            <w:vAlign w:val="bottom"/>
            <w:tcBorders>
              <w:top w:val="single" w:sz="8" w:color="CCEEFF"/>
              <w:bottom w:val="single" w:sz="8" w:color="CCEEFF"/>
            </w:tcBorders>
            <w:gridSpan w:val="2"/>
            <w:shd w:val="clear" w:color="auto" w:fill="CCEEFF"/>
          </w:tcPr>
          <w:p>
            <w:pPr>
              <w:spacing w:after="0" w:line="153" w:lineRule="exact"/>
              <w:rPr>
                <w:sz w:val="20"/>
                <w:szCs w:val="20"/>
                <w:color w:val="auto"/>
              </w:rPr>
            </w:pPr>
            <w:r>
              <w:rPr>
                <w:rFonts w:ascii="Arial" w:cs="Arial" w:eastAsia="Arial" w:hAnsi="Arial"/>
                <w:sz w:val="15"/>
                <w:szCs w:val="15"/>
                <w:color w:val="auto"/>
              </w:rPr>
              <w:t>Net loss</w:t>
            </w:r>
          </w:p>
        </w:tc>
        <w:tc>
          <w:tcPr>
            <w:tcW w:w="34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(49,851)</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ind w:right="283"/>
              <w:spacing w:after="0" w:line="153"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(46,971)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(2,880)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General and Administrative</w:t>
      </w:r>
    </w:p>
    <w:p>
      <w:pPr>
        <w:spacing w:after="0" w:line="150" w:lineRule="exact"/>
        <w:rPr>
          <w:sz w:val="20"/>
          <w:szCs w:val="20"/>
          <w:color w:val="auto"/>
        </w:rPr>
      </w:pPr>
    </w:p>
    <w:p>
      <w:pPr>
        <w:jc w:val="both"/>
        <w:ind w:firstLine="376"/>
        <w:spacing w:after="0" w:line="250" w:lineRule="auto"/>
        <w:rPr>
          <w:sz w:val="20"/>
          <w:szCs w:val="20"/>
          <w:color w:val="auto"/>
        </w:rPr>
      </w:pPr>
      <w:r>
        <w:rPr>
          <w:rFonts w:ascii="Arial" w:cs="Arial" w:eastAsia="Arial" w:hAnsi="Arial"/>
          <w:sz w:val="14"/>
          <w:szCs w:val="14"/>
          <w:color w:val="auto"/>
        </w:rPr>
        <w:t>General and administrative expenses consist of salaries and related expenses for executives, marketing, sales, finance, legal, human resources, information technology and administrative personnel. General and administrative expenses increased by $0.5 million to $22.9 million in 2020 from $22.3 million in 2019 due to $2.1 million of increased compensation and other employee related costs primarily related to headcount growth, $0.6 million of increased administrative costs primarily due to D&amp;O insurance, and $0.3 million of increased facilities related costs due to the lease expansion of our headquarters in Hayward, California. These increases were offset by decreases of $1.4 million in stock-based compensation, $0.6 million in travel expenses, and $0.5 million in paid services and supplies. General and administrative expenses are expected to increase during 2021 with the buildout of additional operational infrastructure to support the commercialization efforts of our CellFX System in the aesthetic dermatology market.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2" w:name="page53"/>
    <w:bookmarkEnd w:id="52"/>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Research and Development</w:t>
      </w:r>
    </w:p>
    <w:p>
      <w:pPr>
        <w:spacing w:after="0" w:line="150"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Research and development expenses consist of salaries and related expenses for research and development personnel, clinical trials, professional fees and consulting costs related to the design, development and enhancement of our current and potential future products, engineering prototypes supplies and pre-commercial manufacturing supplies. Research and development expenses increased by $1.5 million to $26.4 million in 2020 from $25.0 million in 2019 due to $1.9 million of increased compensation costs related to headcount growth, $1.6 million of increased paid services, and $1.0 million of increased facilities related costs due to our lease expansion, all offset by decreases of $1.9 million in external research driven by the timing and stage of clinical studies, $1.0 million in prototype equipment, materials and supplies related to our initial product builds, and $0.4 million in travel expenses.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Other Income (Expense)</w:t>
      </w:r>
    </w:p>
    <w:p>
      <w:pPr>
        <w:spacing w:after="0" w:line="150"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Other income decreased by approximately $0.9 million to $0.1 million in 2020 from $1.0 million due primarily to lower interest income earned as a result of lower average monthly investment balances.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the Years ended December 31, 2019 and 2018</w:t>
      </w:r>
    </w:p>
    <w:p>
      <w:pPr>
        <w:spacing w:after="0" w:line="150" w:lineRule="exact"/>
        <w:rPr>
          <w:sz w:val="20"/>
          <w:szCs w:val="20"/>
          <w:color w:val="auto"/>
        </w:rPr>
      </w:pPr>
    </w:p>
    <w:p>
      <w:pPr>
        <w:jc w:val="both"/>
        <w:ind w:firstLine="553"/>
        <w:spacing w:after="0"/>
        <w:rPr>
          <w:sz w:val="20"/>
          <w:szCs w:val="20"/>
          <w:color w:val="auto"/>
        </w:rPr>
      </w:pPr>
      <w:r>
        <w:rPr>
          <w:rFonts w:ascii="Arial" w:cs="Arial" w:eastAsia="Arial" w:hAnsi="Arial"/>
          <w:sz w:val="15"/>
          <w:szCs w:val="15"/>
          <w:color w:val="212529"/>
        </w:rPr>
        <w:t>Refer to Item 7. Management’s Discussion and Analysis of Financial Condition and Results of Operations located in our Form 10-K for the fiscal year ended December 31, 2019, filed on March 16, 2020, for the discussion of the comparison of the fiscal year ended December 31, 2019 to the fiscal year ended December 31, 2018, the earliest of the three fiscal years presented in the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54" w:lineRule="exact"/>
        <w:rPr>
          <w:sz w:val="20"/>
          <w:szCs w:val="20"/>
          <w:color w:val="auto"/>
        </w:rPr>
      </w:pPr>
    </w:p>
    <w:p>
      <w:pPr>
        <w:jc w:val="both"/>
        <w:ind w:firstLine="376"/>
        <w:spacing w:after="0" w:line="265" w:lineRule="auto"/>
        <w:rPr>
          <w:sz w:val="20"/>
          <w:szCs w:val="20"/>
          <w:color w:val="auto"/>
        </w:rPr>
      </w:pPr>
      <w:r>
        <w:rPr>
          <w:rFonts w:ascii="Arial" w:cs="Arial" w:eastAsia="Arial" w:hAnsi="Arial"/>
          <w:sz w:val="14"/>
          <w:szCs w:val="14"/>
          <w:color w:val="auto"/>
        </w:rPr>
        <w:t>To date, we have not generated any revenues from product sales. Since inception, we have funded our business plan through the issuance of equity securities and grants from governmental agencies. We intend to invest in research and development to develop commercially viable products and to assess the feasibility of potential future products. Additionally, we expect that our general and administrative expenses will increase as we continue to incur substantial incremental costs associated with being a public company.</w:t>
      </w:r>
    </w:p>
    <w:p>
      <w:pPr>
        <w:spacing w:after="0" w:line="112"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In December 2018, we completed a rights offering pursuant to which we issued an aggregate of 3,581,148 shares of our common stock, par value $0.001 per share, at a price per share of $12.57, for net proceeds of approximately $44.8 million.</w:t>
      </w:r>
    </w:p>
    <w:p>
      <w:pPr>
        <w:spacing w:after="0" w:line="118" w:lineRule="exact"/>
        <w:rPr>
          <w:sz w:val="20"/>
          <w:szCs w:val="20"/>
          <w:color w:val="auto"/>
        </w:rPr>
      </w:pPr>
    </w:p>
    <w:p>
      <w:pPr>
        <w:jc w:val="both"/>
        <w:ind w:right="20" w:firstLine="376"/>
        <w:spacing w:after="0" w:line="291" w:lineRule="auto"/>
        <w:rPr>
          <w:sz w:val="20"/>
          <w:szCs w:val="20"/>
          <w:color w:val="auto"/>
        </w:rPr>
      </w:pPr>
      <w:r>
        <w:rPr>
          <w:rFonts w:ascii="Arial" w:cs="Arial" w:eastAsia="Arial" w:hAnsi="Arial"/>
          <w:sz w:val="14"/>
          <w:szCs w:val="14"/>
          <w:color w:val="auto"/>
        </w:rPr>
        <w:t>In June 2020, we completed a rights offering pursuant to which we issued an aggregate of 4,279,600 shares of our common stock and 641,571 warrants, par value $0.001 per share, at a price per share of $7.01, for net proceeds of approximately $29.4 million, excluding any potential future proceeds from the exercise of the warrants issued.</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Our consolidated statements of cash flows as discussed herein are presented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w w:val="87"/>
              </w:rPr>
              <w:t>(in thousands)</w:t>
            </w:r>
          </w:p>
        </w:tc>
        <w:tc>
          <w:tcPr>
            <w:tcW w:w="5740" w:type="dxa"/>
            <w:vAlign w:val="bottom"/>
            <w:vMerge w:val="restart"/>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Year Ended December 31,</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40" w:type="dxa"/>
            <w:vAlign w:val="bottom"/>
            <w:tcBorders>
              <w:bottom w:val="single" w:sz="8" w:color="auto"/>
            </w:tcBorders>
            <w:vMerge w:val="continue"/>
          </w:tcPr>
          <w:p>
            <w:pPr>
              <w:spacing w:after="0"/>
              <w:rPr>
                <w:sz w:val="11"/>
                <w:szCs w:val="11"/>
                <w:color w:val="auto"/>
              </w:rPr>
            </w:pPr>
          </w:p>
        </w:tc>
        <w:tc>
          <w:tcPr>
            <w:tcW w:w="5740" w:type="dxa"/>
            <w:vAlign w:val="bottom"/>
            <w:vMerge w:val="continue"/>
          </w:tcPr>
          <w:p>
            <w:pPr>
              <w:spacing w:after="0"/>
              <w:rPr>
                <w:sz w:val="11"/>
                <w:szCs w:val="11"/>
                <w:color w:val="auto"/>
              </w:rPr>
            </w:pPr>
          </w:p>
        </w:tc>
        <w:tc>
          <w:tcPr>
            <w:tcW w:w="90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2020</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546"/>
              <w:spacing w:after="0" w:line="107" w:lineRule="exact"/>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ind w:right="546"/>
              <w:spacing w:after="0" w:line="107" w:lineRule="exact"/>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144"/>
        </w:trPr>
        <w:tc>
          <w:tcPr>
            <w:tcW w:w="6480" w:type="dxa"/>
            <w:vAlign w:val="bottom"/>
            <w:tcBorders>
              <w:top w:val="single" w:sz="8" w:color="CCEEFF"/>
            </w:tcBorders>
            <w:gridSpan w:val="2"/>
            <w:shd w:val="clear" w:color="auto" w:fill="CCEEFF"/>
          </w:tcPr>
          <w:p>
            <w:pPr>
              <w:spacing w:after="0" w:line="145" w:lineRule="exact"/>
              <w:rPr>
                <w:sz w:val="20"/>
                <w:szCs w:val="20"/>
                <w:color w:val="auto"/>
              </w:rPr>
            </w:pPr>
            <w:r>
              <w:rPr>
                <w:rFonts w:ascii="Arial" w:cs="Arial" w:eastAsia="Arial" w:hAnsi="Arial"/>
                <w:sz w:val="15"/>
                <w:szCs w:val="15"/>
                <w:color w:val="auto"/>
              </w:rPr>
              <w:t>Net cash used in operating activities</w:t>
            </w:r>
          </w:p>
        </w:tc>
        <w:tc>
          <w:tcPr>
            <w:tcW w:w="900" w:type="dxa"/>
            <w:vAlign w:val="bottom"/>
            <w:tcBorders>
              <w:top w:val="single" w:sz="8" w:color="auto"/>
            </w:tcBorders>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w w:val="96"/>
              </w:rPr>
              <w:t>(35,365)</w:t>
            </w:r>
          </w:p>
        </w:tc>
        <w:tc>
          <w:tcPr>
            <w:tcW w:w="1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186"/>
              <w:spacing w:after="0" w:line="145"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rPr>
              <w:t>(34,185)</w:t>
            </w:r>
          </w:p>
        </w:tc>
        <w:tc>
          <w:tcPr>
            <w:tcW w:w="1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03"/>
              <w:spacing w:after="0" w:line="145"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rPr>
              <w:t>(23,896)</w:t>
            </w:r>
          </w:p>
        </w:tc>
        <w:tc>
          <w:tcPr>
            <w:tcW w:w="0" w:type="dxa"/>
            <w:vAlign w:val="bottom"/>
          </w:tcPr>
          <w:p>
            <w:pPr>
              <w:spacing w:after="0"/>
              <w:rPr>
                <w:sz w:val="1"/>
                <w:szCs w:val="1"/>
                <w:color w:val="auto"/>
              </w:rPr>
            </w:pPr>
          </w:p>
        </w:tc>
      </w:tr>
      <w:tr>
        <w:trPr>
          <w:trHeight w:val="161"/>
        </w:trPr>
        <w:tc>
          <w:tcPr>
            <w:tcW w:w="6480" w:type="dxa"/>
            <w:vAlign w:val="bottom"/>
            <w:gridSpan w:val="2"/>
          </w:tcPr>
          <w:p>
            <w:pPr>
              <w:spacing w:after="0" w:line="161" w:lineRule="exact"/>
              <w:rPr>
                <w:sz w:val="20"/>
                <w:szCs w:val="20"/>
                <w:color w:val="auto"/>
              </w:rPr>
            </w:pPr>
            <w:r>
              <w:rPr>
                <w:rFonts w:ascii="Arial" w:cs="Arial" w:eastAsia="Arial" w:hAnsi="Arial"/>
                <w:sz w:val="15"/>
                <w:szCs w:val="15"/>
                <w:color w:val="auto"/>
              </w:rPr>
              <w:t>Net cash provided by (used in) investing activities</w:t>
            </w: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61" w:lineRule="exact"/>
              <w:rPr>
                <w:sz w:val="20"/>
                <w:szCs w:val="20"/>
                <w:color w:val="auto"/>
              </w:rPr>
            </w:pPr>
            <w:r>
              <w:rPr>
                <w:rFonts w:ascii="Arial" w:cs="Arial" w:eastAsia="Arial" w:hAnsi="Arial"/>
                <w:sz w:val="15"/>
                <w:szCs w:val="15"/>
                <w:color w:val="auto"/>
              </w:rPr>
              <w:t>10,044</w:t>
            </w:r>
          </w:p>
        </w:tc>
        <w:tc>
          <w:tcPr>
            <w:tcW w:w="180" w:type="dxa"/>
            <w:vAlign w:val="bottom"/>
          </w:tcPr>
          <w:p>
            <w:pPr>
              <w:spacing w:after="0"/>
              <w:rPr>
                <w:sz w:val="14"/>
                <w:szCs w:val="14"/>
                <w:color w:val="auto"/>
              </w:rPr>
            </w:pPr>
          </w:p>
        </w:tc>
        <w:tc>
          <w:tcPr>
            <w:tcW w:w="340" w:type="dxa"/>
            <w:vAlign w:val="bottom"/>
          </w:tcPr>
          <w:p>
            <w:pPr>
              <w:jc w:val="right"/>
              <w:ind w:right="186"/>
              <w:spacing w:after="0" w:line="161" w:lineRule="exact"/>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(10,101)</w:t>
            </w:r>
          </w:p>
        </w:tc>
        <w:tc>
          <w:tcPr>
            <w:tcW w:w="160" w:type="dxa"/>
            <w:vAlign w:val="bottom"/>
          </w:tcPr>
          <w:p>
            <w:pPr>
              <w:spacing w:after="0"/>
              <w:rPr>
                <w:sz w:val="14"/>
                <w:szCs w:val="14"/>
                <w:color w:val="auto"/>
              </w:rPr>
            </w:pPr>
          </w:p>
        </w:tc>
        <w:tc>
          <w:tcPr>
            <w:tcW w:w="360" w:type="dxa"/>
            <w:vAlign w:val="bottom"/>
          </w:tcPr>
          <w:p>
            <w:pPr>
              <w:jc w:val="right"/>
              <w:ind w:right="203"/>
              <w:spacing w:after="0" w:line="161" w:lineRule="exact"/>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26,117</w:t>
            </w:r>
          </w:p>
        </w:tc>
        <w:tc>
          <w:tcPr>
            <w:tcW w:w="0" w:type="dxa"/>
            <w:vAlign w:val="bottom"/>
          </w:tcPr>
          <w:p>
            <w:pPr>
              <w:spacing w:after="0"/>
              <w:rPr>
                <w:sz w:val="1"/>
                <w:szCs w:val="1"/>
                <w:color w:val="auto"/>
              </w:rPr>
            </w:pPr>
          </w:p>
        </w:tc>
      </w:tr>
      <w:tr>
        <w:trPr>
          <w:trHeight w:val="161"/>
        </w:trPr>
        <w:tc>
          <w:tcPr>
            <w:tcW w:w="648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Net cash provided by financing activities</w:t>
            </w:r>
          </w:p>
        </w:tc>
        <w:tc>
          <w:tcPr>
            <w:tcW w:w="900" w:type="dxa"/>
            <w:vAlign w:val="bottom"/>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30,885</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6"/>
              <w:spacing w:after="0" w:line="161" w:lineRule="exact"/>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82</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3"/>
              <w:spacing w:after="0" w:line="161" w:lineRule="exact"/>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45,496</w:t>
            </w:r>
          </w:p>
        </w:tc>
        <w:tc>
          <w:tcPr>
            <w:tcW w:w="0" w:type="dxa"/>
            <w:vAlign w:val="bottom"/>
          </w:tcPr>
          <w:p>
            <w:pPr>
              <w:spacing w:after="0"/>
              <w:rPr>
                <w:sz w:val="1"/>
                <w:szCs w:val="1"/>
                <w:color w:val="auto"/>
              </w:rPr>
            </w:pPr>
          </w:p>
        </w:tc>
      </w:tr>
      <w:tr>
        <w:trPr>
          <w:trHeight w:val="195"/>
        </w:trPr>
        <w:tc>
          <w:tcPr>
            <w:tcW w:w="6480" w:type="dxa"/>
            <w:vAlign w:val="bottom"/>
            <w:gridSpan w:val="2"/>
          </w:tcPr>
          <w:p>
            <w:pPr>
              <w:spacing w:after="0"/>
              <w:rPr>
                <w:sz w:val="20"/>
                <w:szCs w:val="20"/>
                <w:color w:val="auto"/>
              </w:rPr>
            </w:pPr>
            <w:r>
              <w:rPr>
                <w:rFonts w:ascii="Arial" w:cs="Arial" w:eastAsia="Arial" w:hAnsi="Arial"/>
                <w:sz w:val="15"/>
                <w:szCs w:val="15"/>
                <w:color w:val="auto"/>
              </w:rPr>
              <w:t>Net increase (decrease) in cash and cash equivalents</w:t>
            </w: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5,564</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(44,204)</w:t>
            </w:r>
          </w:p>
        </w:tc>
        <w:tc>
          <w:tcPr>
            <w:tcW w:w="160" w:type="dxa"/>
            <w:vAlign w:val="bottom"/>
          </w:tcPr>
          <w:p>
            <w:pPr>
              <w:spacing w:after="0"/>
              <w:rPr>
                <w:sz w:val="16"/>
                <w:szCs w:val="16"/>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47,717</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ind w:firstLine="376"/>
        <w:spacing w:after="0" w:line="229" w:lineRule="auto"/>
        <w:rPr>
          <w:sz w:val="20"/>
          <w:szCs w:val="20"/>
          <w:color w:val="auto"/>
        </w:rPr>
      </w:pPr>
      <w:r>
        <w:rPr>
          <w:rFonts w:ascii="Arial" w:cs="Arial" w:eastAsia="Arial" w:hAnsi="Arial"/>
          <w:sz w:val="15"/>
          <w:szCs w:val="15"/>
          <w:color w:val="auto"/>
        </w:rPr>
        <w:t>At December 31, 2020, we had cash, cash equivalents and investments of $20.5 million. We believe that our existing cash, cash equivalents and investments will be sufficient to fund our projected operating requirements for at least the next twelve months from the filing date of this Annual Report on Form 10-K. However, we plan to raise additional capital in the future. In February 2021, we filed an at-the-market equity offering with the SEC, having an aggregate offering price of up to $60 million under which we may offer and sell shares of our common stock from time to time, although we have no obligation to make sales pursuant such at-the-market equity offering. There is no assurance that the at-the-market equity offering will be successful. Additionally, in March 2021 we entered into the Loan Agreement with Mr. Duggan. The Loan Agreement matures on June 11, 2022. Under the Loan Agreement, Mr. Duggan has provided us, subject to certain conditions, an unsecured term loan facility in an original aggregate principal amount of $41.0 million. The Loan Agreement will bear interest at a rate per annum equal to 5.0%, payable quarterly commencing on July 1, 2021. The interest rate payable under the Loan Agreement increases to 7.0% upon the occurrence of an Event of Default or a Material Adverse Effect, each as defined in the Loan Agreement. The Loan Agreement contains certain covenants and Events of Default (Note 13). There is no assurance that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3" w:name="page54"/>
    <w:bookmarkEnd w:id="53"/>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additional financing will be available when needed or that management will be able to obtain financing on terms acceptable to us.</w:t>
      </w:r>
    </w:p>
    <w:p>
      <w:pPr>
        <w:spacing w:after="0" w:line="150" w:lineRule="exact"/>
        <w:rPr>
          <w:sz w:val="20"/>
          <w:szCs w:val="20"/>
          <w:color w:val="auto"/>
        </w:rPr>
      </w:pPr>
    </w:p>
    <w:p>
      <w:pPr>
        <w:jc w:val="both"/>
        <w:ind w:firstLine="376"/>
        <w:spacing w:after="0" w:line="250" w:lineRule="auto"/>
        <w:rPr>
          <w:sz w:val="20"/>
          <w:szCs w:val="20"/>
          <w:color w:val="auto"/>
        </w:rPr>
      </w:pPr>
      <w:r>
        <w:rPr>
          <w:rFonts w:ascii="Arial" w:cs="Arial" w:eastAsia="Arial" w:hAnsi="Arial"/>
          <w:sz w:val="14"/>
          <w:szCs w:val="14"/>
          <w:color w:val="auto"/>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our at-the-market equity offering program, licensing fees for our technology, joint ventures with capital partners and project type financing. Such additional funds may not be available on terms acceptable to us or at all. If we raise funds by issuing equity or equity-linked securities, the ownership of certain of our stockholders will be diluted and the holders of new equity securities may have priority rights over our existing stockholders. If adequate funds are not available, we may be required to curtail operations significantly or to obtain funds by entering into agreements on unattractive terms. Our inability to raise capital could have a material adverse effect on our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Activities</w:t>
      </w:r>
    </w:p>
    <w:p>
      <w:pPr>
        <w:spacing w:after="0" w:line="150" w:lineRule="exact"/>
        <w:rPr>
          <w:sz w:val="20"/>
          <w:szCs w:val="20"/>
          <w:color w:val="auto"/>
        </w:rPr>
      </w:pPr>
    </w:p>
    <w:p>
      <w:pPr>
        <w:jc w:val="both"/>
        <w:ind w:right="20" w:firstLine="354"/>
        <w:spacing w:after="0" w:line="291" w:lineRule="auto"/>
        <w:rPr>
          <w:sz w:val="20"/>
          <w:szCs w:val="20"/>
          <w:color w:val="auto"/>
        </w:rPr>
      </w:pPr>
      <w:r>
        <w:rPr>
          <w:rFonts w:ascii="Arial" w:cs="Arial" w:eastAsia="Arial" w:hAnsi="Arial"/>
          <w:sz w:val="14"/>
          <w:szCs w:val="14"/>
          <w:color w:val="auto"/>
        </w:rPr>
        <w:t>During 2020, we used cash of $35.4 million in operating activities. The difference between cash used in operating activities and net loss consisted primarily of stock-based compensation, accrued expenses, depreciation and amortization, and righty-of-use assets, partially offset by decreases in prepaid expenses and other current assets.</w:t>
      </w:r>
    </w:p>
    <w:p>
      <w:pPr>
        <w:spacing w:after="0" w:line="94" w:lineRule="exact"/>
        <w:rPr>
          <w:sz w:val="20"/>
          <w:szCs w:val="20"/>
          <w:color w:val="auto"/>
        </w:rPr>
      </w:pPr>
    </w:p>
    <w:p>
      <w:pPr>
        <w:jc w:val="both"/>
        <w:ind w:right="20" w:firstLine="354"/>
        <w:spacing w:after="0" w:line="255" w:lineRule="auto"/>
        <w:rPr>
          <w:sz w:val="20"/>
          <w:szCs w:val="20"/>
          <w:color w:val="auto"/>
        </w:rPr>
      </w:pPr>
      <w:r>
        <w:rPr>
          <w:rFonts w:ascii="Arial" w:cs="Arial" w:eastAsia="Arial" w:hAnsi="Arial"/>
          <w:sz w:val="15"/>
          <w:szCs w:val="15"/>
          <w:color w:val="auto"/>
        </w:rPr>
        <w:t>During 2019, we used cash of $34.2 million in operating activities. The difference between cash used in operating activities and net loss consisted primarily of stock-based compensation, depreciation and amortization, increased accounts payable and accrued expenses.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Investing Activities</w:t>
      </w:r>
    </w:p>
    <w:p>
      <w:pPr>
        <w:spacing w:after="0" w:line="150"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During 2020, cash provided from investing activities was $10.0 million, of which $39.5 million was provided from the maturities and sales of investments, offset by $29.5 million for the purchase of investments and property and equipment.</w:t>
      </w:r>
    </w:p>
    <w:p>
      <w:pPr>
        <w:spacing w:after="0" w:line="118"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During 2019, we used cash of $10.1 million for investing activities, of which $9.5 million was used for the net purchases of investments and $0.6 million for property and equipment.</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150"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During 2020, cash provided from financing activities was $30.9 million, of which $29.4 million was provided from the rights offering, $1.0 million was provided from the exercise of stock options and warrants, and $0.5 million was provided from the issuance of stock under the employee stock purchase plan.</w:t>
      </w:r>
    </w:p>
    <w:p>
      <w:pPr>
        <w:spacing w:after="0" w:line="118"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During 2019, cash provided from financing activities was $0.1 million in connection with the proceeds from stock option exercises and employee stock purchases offset by tax payments withheld for the vesting of restricted stock units.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the Years ended December 31, 2019 and 2018</w:t>
      </w:r>
    </w:p>
    <w:p>
      <w:pPr>
        <w:spacing w:after="0" w:line="150" w:lineRule="exact"/>
        <w:rPr>
          <w:sz w:val="20"/>
          <w:szCs w:val="20"/>
          <w:color w:val="auto"/>
        </w:rPr>
      </w:pPr>
    </w:p>
    <w:p>
      <w:pPr>
        <w:jc w:val="both"/>
        <w:ind w:firstLine="553"/>
        <w:spacing w:after="0"/>
        <w:rPr>
          <w:sz w:val="20"/>
          <w:szCs w:val="20"/>
          <w:color w:val="auto"/>
        </w:rPr>
      </w:pPr>
      <w:r>
        <w:rPr>
          <w:rFonts w:ascii="Arial" w:cs="Arial" w:eastAsia="Arial" w:hAnsi="Arial"/>
          <w:sz w:val="15"/>
          <w:szCs w:val="15"/>
          <w:color w:val="212529"/>
        </w:rPr>
        <w:t>Refer to Item 7. Management’s Discussion and Analysis of Financial Condition and Results of Operations located in our Form 10-K for the fiscal year ended December 31, 2019, filed on March 16, 2020, for the discussion of the comparison of the fiscal year ended December 31, 2019 to the fiscal year ended December 31, 2018, the earliest of the three fiscal years presented in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Frank Reidy Research Center Agreement</w:t>
      </w:r>
    </w:p>
    <w:p>
      <w:pPr>
        <w:spacing w:after="0" w:line="150"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As provided for in the license agreement with ODURF and EVMS, effective on November 6, 2014, we sponsored certain approved research activities at ODURF’s Frank Reidy Research Center under a sponsored research agreement. In June 2017, we agreed to sponsor $0.7 million in research from July 1, 2017 to June 30, 2018. In August 2018, we agreed to sponsor $0.8 million in research from September 1, 2018 to August 1, 2019. In September 2019, we agreed to sponsor $0.8 million in research from October 1, 2019 to September 1, 2020. These sponsored researches were funded through monthly payments made upon ODURF certifying, to our reasonable satisfaction, that ODURF has met its obligations pursuant to the specified task order and statement of work. The principal investigator may transfer funds with the budget as needed with our approval so long as the obligations of ODURF under the task order and statement of work remain unchanged and unimpaired. During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4" w:name="page55"/>
    <w:bookmarkEnd w:id="54"/>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the years ended December 31, 2020, 2019, and 2018, we incurred costs relating to the sponsored research agreement equal to $0.6 million, $0.9 million and $0.7 million, respectively.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2020, there is no remaining balance payable under this research agreement.</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Operating Lease</w:t>
      </w:r>
    </w:p>
    <w:p>
      <w:pPr>
        <w:spacing w:after="0" w:line="150"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4"/>
          <w:szCs w:val="14"/>
          <w:color w:val="auto"/>
        </w:rPr>
        <w:t>We currently lease approximately 50,300 square feet of premises located in Hayward, California, which is used for our corporate headquarters and principal operating facility. The term of the original lease included approximately 15,700 square feet for 62 months and commenced on July 1, 2017. In May 2019, we entered into an amendment which enabled us to expand the lease by approximately 34,600 additional square feet, for a total of approximately 50,300 square feet. The amendment also included an option to extend the term of the lease. Approximately 13,300 square feet of the additional space was occupied in November 2019 as part of the first phase, and the remaining approximately 21,300 square feet was occupied in May 2020 as part of the second phase. The term of the total lease was extended through October 2029.</w:t>
      </w:r>
    </w:p>
    <w:p>
      <w:pPr>
        <w:spacing w:after="0" w:line="120"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Under the original lease agreement, the landlord provided a $2.1 million allowance for tenant improvements, which was recorded as deferred rent at the inception of the lease term. Future minimum lease payments are net of amortization of tenant improvement allowance. The following table summarizes our contractual obligations as of December 31, 2020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w w:val="87"/>
              </w:rPr>
              <w:t>(in thousands)</w:t>
            </w:r>
          </w:p>
        </w:tc>
        <w:tc>
          <w:tcPr>
            <w:tcW w:w="3480" w:type="dxa"/>
            <w:vAlign w:val="bottom"/>
            <w:vMerge w:val="restart"/>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0"/>
              </w:rPr>
              <w:t>Payments Due by Period</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40" w:type="dxa"/>
            <w:vAlign w:val="bottom"/>
            <w:tcBorders>
              <w:bottom w:val="single" w:sz="8" w:color="auto"/>
            </w:tcBorders>
            <w:vMerge w:val="continue"/>
          </w:tcPr>
          <w:p>
            <w:pPr>
              <w:spacing w:after="0"/>
              <w:rPr>
                <w:sz w:val="11"/>
                <w:szCs w:val="11"/>
                <w:color w:val="auto"/>
              </w:rPr>
            </w:pPr>
          </w:p>
        </w:tc>
        <w:tc>
          <w:tcPr>
            <w:tcW w:w="3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ind w:left="200"/>
              <w:spacing w:after="0" w:line="107" w:lineRule="exact"/>
              <w:rPr>
                <w:sz w:val="20"/>
                <w:szCs w:val="20"/>
                <w:color w:val="auto"/>
              </w:rPr>
            </w:pPr>
            <w:r>
              <w:rPr>
                <w:rFonts w:ascii="Arial" w:cs="Arial" w:eastAsia="Arial" w:hAnsi="Arial"/>
                <w:sz w:val="12"/>
                <w:szCs w:val="12"/>
                <w:b w:val="1"/>
                <w:bCs w:val="1"/>
                <w:color w:val="auto"/>
              </w:rPr>
              <w:t>Total</w:t>
            </w:r>
          </w:p>
        </w:tc>
        <w:tc>
          <w:tcPr>
            <w:tcW w:w="200" w:type="dxa"/>
            <w:vAlign w:val="bottom"/>
          </w:tcPr>
          <w:p>
            <w:pPr>
              <w:spacing w:after="0"/>
              <w:rPr>
                <w:sz w:val="11"/>
                <w:szCs w:val="11"/>
                <w:color w:val="auto"/>
              </w:rPr>
            </w:pPr>
          </w:p>
        </w:tc>
        <w:tc>
          <w:tcPr>
            <w:tcW w:w="1320" w:type="dxa"/>
            <w:vAlign w:val="bottom"/>
          </w:tcPr>
          <w:p>
            <w:pPr>
              <w:jc w:val="right"/>
              <w:ind w:right="231"/>
              <w:spacing w:after="0" w:line="107" w:lineRule="exact"/>
              <w:rPr>
                <w:sz w:val="20"/>
                <w:szCs w:val="20"/>
                <w:color w:val="auto"/>
              </w:rPr>
            </w:pPr>
            <w:r>
              <w:rPr>
                <w:rFonts w:ascii="Arial" w:cs="Arial" w:eastAsia="Arial" w:hAnsi="Arial"/>
                <w:sz w:val="12"/>
                <w:szCs w:val="12"/>
                <w:b w:val="1"/>
                <w:bCs w:val="1"/>
                <w:color w:val="auto"/>
              </w:rPr>
              <w:t>Less Than 1 Year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ind w:right="231"/>
              <w:spacing w:after="0" w:line="107" w:lineRule="exact"/>
              <w:rPr>
                <w:sz w:val="20"/>
                <w:szCs w:val="20"/>
                <w:color w:val="auto"/>
              </w:rPr>
            </w:pPr>
            <w:r>
              <w:rPr>
                <w:rFonts w:ascii="Arial" w:cs="Arial" w:eastAsia="Arial" w:hAnsi="Arial"/>
                <w:sz w:val="12"/>
                <w:szCs w:val="12"/>
                <w:b w:val="1"/>
                <w:bCs w:val="1"/>
                <w:color w:val="auto"/>
              </w:rPr>
              <w:t>1 to 3 Years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ind w:left="100"/>
              <w:spacing w:after="0" w:line="107" w:lineRule="exact"/>
              <w:rPr>
                <w:sz w:val="20"/>
                <w:szCs w:val="20"/>
                <w:color w:val="auto"/>
              </w:rPr>
            </w:pPr>
            <w:r>
              <w:rPr>
                <w:rFonts w:ascii="Arial" w:cs="Arial" w:eastAsia="Arial" w:hAnsi="Arial"/>
                <w:sz w:val="12"/>
                <w:szCs w:val="12"/>
                <w:b w:val="1"/>
                <w:bCs w:val="1"/>
                <w:color w:val="auto"/>
              </w:rPr>
              <w:t>3 to 5 Years</w:t>
            </w:r>
          </w:p>
        </w:tc>
        <w:tc>
          <w:tcPr>
            <w:tcW w:w="120" w:type="dxa"/>
            <w:vAlign w:val="bottom"/>
          </w:tcPr>
          <w:p>
            <w:pPr>
              <w:spacing w:after="0"/>
              <w:rPr>
                <w:sz w:val="11"/>
                <w:szCs w:val="11"/>
                <w:color w:val="auto"/>
              </w:rPr>
            </w:pPr>
          </w:p>
        </w:tc>
        <w:tc>
          <w:tcPr>
            <w:tcW w:w="1260" w:type="dxa"/>
            <w:vAlign w:val="bottom"/>
          </w:tcPr>
          <w:p>
            <w:pPr>
              <w:jc w:val="right"/>
              <w:ind w:right="131"/>
              <w:spacing w:after="0" w:line="107" w:lineRule="exact"/>
              <w:rPr>
                <w:sz w:val="20"/>
                <w:szCs w:val="20"/>
                <w:color w:val="auto"/>
              </w:rPr>
            </w:pPr>
            <w:r>
              <w:rPr>
                <w:rFonts w:ascii="Arial" w:cs="Arial" w:eastAsia="Arial" w:hAnsi="Arial"/>
                <w:sz w:val="12"/>
                <w:szCs w:val="12"/>
                <w:b w:val="1"/>
                <w:bCs w:val="1"/>
                <w:color w:val="auto"/>
                <w:w w:val="97"/>
              </w:rPr>
              <w:t>More Than 5 Years</w:t>
            </w:r>
          </w:p>
        </w:tc>
        <w:tc>
          <w:tcPr>
            <w:tcW w:w="0" w:type="dxa"/>
            <w:vAlign w:val="bottom"/>
          </w:tcPr>
          <w:p>
            <w:pPr>
              <w:spacing w:after="0"/>
              <w:rPr>
                <w:sz w:val="1"/>
                <w:szCs w:val="1"/>
                <w:color w:val="auto"/>
              </w:rPr>
            </w:pPr>
          </w:p>
        </w:tc>
      </w:tr>
      <w:tr>
        <w:trPr>
          <w:trHeight w:val="144"/>
        </w:trPr>
        <w:tc>
          <w:tcPr>
            <w:tcW w:w="4220" w:type="dxa"/>
            <w:vAlign w:val="bottom"/>
            <w:tcBorders>
              <w:top w:val="single" w:sz="8" w:color="CCEEFF"/>
            </w:tcBorders>
            <w:gridSpan w:val="2"/>
            <w:shd w:val="clear" w:color="auto" w:fill="CCEEFF"/>
          </w:tcPr>
          <w:p>
            <w:pPr>
              <w:spacing w:after="0" w:line="145" w:lineRule="exact"/>
              <w:rPr>
                <w:sz w:val="20"/>
                <w:szCs w:val="20"/>
                <w:color w:val="auto"/>
              </w:rPr>
            </w:pPr>
            <w:r>
              <w:rPr>
                <w:rFonts w:ascii="Arial" w:cs="Arial" w:eastAsia="Arial" w:hAnsi="Arial"/>
                <w:sz w:val="15"/>
                <w:szCs w:val="15"/>
                <w:color w:val="auto"/>
              </w:rPr>
              <w:t>Operating leases</w:t>
            </w:r>
          </w:p>
        </w:tc>
        <w:tc>
          <w:tcPr>
            <w:tcW w:w="2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rPr>
              <w:t>17,418</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3"/>
              <w:spacing w:after="0" w:line="145" w:lineRule="exact"/>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rPr>
              <w:t>1,643</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rPr>
              <w:t>3,651</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3"/>
              <w:spacing w:after="0" w:line="145"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rPr>
              <w:t>3,886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rPr>
              <w:t>8,238</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54"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We do not have any off-balance sheet arrangements that have, or are reasonably likely to have, a current or future material effect on our financial condition, results of operations, liquidity, or cash flows.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JOBS Act Accounting Election</w:t>
      </w:r>
    </w:p>
    <w:p>
      <w:pPr>
        <w:spacing w:after="0" w:line="154"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Trends, Events and Uncertainties</w:t>
      </w:r>
    </w:p>
    <w:p>
      <w:pPr>
        <w:spacing w:after="0" w:line="154"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4"/>
          <w:szCs w:val="14"/>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our path to commercialization of our NPS technology platform, including, but not limited to, additional financing through follow-on stock offerings, debt financings, or co-development agreements and /or other alternatives.</w:t>
      </w:r>
    </w:p>
    <w:p>
      <w:pPr>
        <w:spacing w:after="0" w:line="117"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4"/>
          <w:szCs w:val="14"/>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120"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Other than as discussed above and elsewhere in this Annual Report on Form 10-K,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55" w:name="page56"/>
    <w:bookmarkEnd w:id="55"/>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7A. Quantitative and Qualitative Disclosures About Market Risk</w:t>
      </w:r>
    </w:p>
    <w:p>
      <w:pPr>
        <w:spacing w:after="0" w:line="154"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We are exposed to market risk in the ordinary course of our business. Market risk represents the risk of loss that may impact our financial position due to adverse changes in financial market prices and rates.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 and Market Risk</w:t>
      </w:r>
    </w:p>
    <w:p>
      <w:pPr>
        <w:spacing w:after="0" w:line="154"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Our exposure to interest rate and market risk is confined to our cash, cash equivalents and investments, all of which have maturities of less than one year. The goals of our investment policy are preservation of capital, fulfillment of liquidity needs and fiduciary control of our cash and investments. We also seek to maximize income from our investments without assuming significant risk. To achieve our goals, we maintain a portfolio of cash equivalents and investments in a variety of securities of high credit quality. The securities in our investment portfolio are not leveraged, are classified as available-for-sale, and are, due to their relatively short-term nature, subject to minimal interest rate risk. We currently do not hedge interest rate exposure. Because of the short-term maturities of our investments, we do not believe that a hypothetical 10% change in market interest rates would have a material negative impact on the value of our investment portfolio.</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Exchange Risk</w:t>
      </w:r>
    </w:p>
    <w:p>
      <w:pPr>
        <w:spacing w:after="0" w:line="154"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The majority of our expense and capital purchasing activities are transacted in U.S. dollars. We have limited international operations. We may incur foreign exchange gains or losses in the future as we expand internationally.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56" w:name="page57"/>
    <w:bookmarkEnd w:id="56"/>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 Financial Statements and Supplementary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160" w:type="dxa"/>
            <w:vAlign w:val="bottom"/>
          </w:tcPr>
          <w:p>
            <w:pPr>
              <w:spacing w:after="0"/>
              <w:rPr>
                <w:sz w:val="17"/>
                <w:szCs w:val="17"/>
                <w:color w:val="auto"/>
              </w:rPr>
            </w:pPr>
          </w:p>
        </w:tc>
        <w:tc>
          <w:tcPr>
            <w:tcW w:w="7100" w:type="dxa"/>
            <w:vAlign w:val="bottom"/>
            <w:gridSpan w:val="2"/>
          </w:tcPr>
          <w:p>
            <w:pPr>
              <w:jc w:val="center"/>
              <w:ind w:right="4099"/>
              <w:spacing w:after="0"/>
              <w:rPr>
                <w:sz w:val="20"/>
                <w:szCs w:val="20"/>
                <w:color w:val="auto"/>
              </w:rPr>
            </w:pPr>
            <w:r>
              <w:rPr>
                <w:rFonts w:ascii="Arial" w:cs="Arial" w:eastAsia="Arial" w:hAnsi="Arial"/>
                <w:sz w:val="15"/>
                <w:szCs w:val="15"/>
                <w:b w:val="1"/>
                <w:bCs w:val="1"/>
                <w:color w:val="auto"/>
              </w:rPr>
              <w:t>PULSE BIOSCIENCES, INC.</w:t>
            </w:r>
          </w:p>
        </w:tc>
        <w:tc>
          <w:tcPr>
            <w:tcW w:w="0" w:type="dxa"/>
            <w:vAlign w:val="bottom"/>
          </w:tcPr>
          <w:p>
            <w:pPr>
              <w:spacing w:after="0"/>
              <w:rPr>
                <w:sz w:val="1"/>
                <w:szCs w:val="1"/>
                <w:color w:val="auto"/>
              </w:rPr>
            </w:pPr>
          </w:p>
        </w:tc>
      </w:tr>
      <w:tr>
        <w:trPr>
          <w:trHeight w:val="323"/>
        </w:trPr>
        <w:tc>
          <w:tcPr>
            <w:tcW w:w="4160" w:type="dxa"/>
            <w:vAlign w:val="bottom"/>
          </w:tcPr>
          <w:p>
            <w:pPr>
              <w:spacing w:after="0"/>
              <w:rPr>
                <w:sz w:val="24"/>
                <w:szCs w:val="24"/>
                <w:color w:val="auto"/>
              </w:rPr>
            </w:pPr>
          </w:p>
        </w:tc>
        <w:tc>
          <w:tcPr>
            <w:tcW w:w="7100" w:type="dxa"/>
            <w:vAlign w:val="bottom"/>
            <w:gridSpan w:val="2"/>
          </w:tcPr>
          <w:p>
            <w:pPr>
              <w:jc w:val="center"/>
              <w:ind w:right="4099"/>
              <w:spacing w:after="0"/>
              <w:rPr>
                <w:sz w:val="20"/>
                <w:szCs w:val="20"/>
                <w:color w:val="auto"/>
              </w:rPr>
            </w:pPr>
            <w:r>
              <w:rPr>
                <w:rFonts w:ascii="Arial" w:cs="Arial" w:eastAsia="Arial" w:hAnsi="Arial"/>
                <w:sz w:val="15"/>
                <w:szCs w:val="15"/>
                <w:b w:val="1"/>
                <w:bCs w:val="1"/>
                <w:color w:val="auto"/>
                <w:w w:val="91"/>
              </w:rPr>
              <w:t>Index to Consolidated Financial Statements</w:t>
            </w:r>
          </w:p>
        </w:tc>
        <w:tc>
          <w:tcPr>
            <w:tcW w:w="0" w:type="dxa"/>
            <w:vAlign w:val="bottom"/>
          </w:tcPr>
          <w:p>
            <w:pPr>
              <w:spacing w:after="0"/>
              <w:rPr>
                <w:sz w:val="1"/>
                <w:szCs w:val="1"/>
                <w:color w:val="auto"/>
              </w:rPr>
            </w:pPr>
          </w:p>
        </w:tc>
      </w:tr>
      <w:tr>
        <w:trPr>
          <w:trHeight w:val="336"/>
        </w:trPr>
        <w:tc>
          <w:tcPr>
            <w:tcW w:w="416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78"/>
        </w:trPr>
        <w:tc>
          <w:tcPr>
            <w:tcW w:w="4160" w:type="dxa"/>
            <w:vAlign w:val="bottom"/>
            <w:vMerge w:val="restart"/>
          </w:tcPr>
          <w:p>
            <w:pPr>
              <w:spacing w:after="0"/>
              <w:rPr>
                <w:sz w:val="20"/>
                <w:szCs w:val="20"/>
                <w:color w:val="auto"/>
              </w:rPr>
            </w:pPr>
            <w:r>
              <w:rPr>
                <w:rFonts w:ascii="Arial" w:cs="Arial" w:eastAsia="Arial" w:hAnsi="Arial"/>
                <w:sz w:val="15"/>
                <w:szCs w:val="15"/>
                <w:b w:val="1"/>
                <w:bCs w:val="1"/>
                <w:color w:val="auto"/>
              </w:rPr>
              <w:t>CONSOLIDATED FINANCIAL STATEMENTS</w:t>
            </w:r>
          </w:p>
        </w:tc>
        <w:tc>
          <w:tcPr>
            <w:tcW w:w="62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Number</w:t>
            </w:r>
          </w:p>
        </w:tc>
        <w:tc>
          <w:tcPr>
            <w:tcW w:w="0" w:type="dxa"/>
            <w:vAlign w:val="bottom"/>
          </w:tcPr>
          <w:p>
            <w:pPr>
              <w:spacing w:after="0"/>
              <w:rPr>
                <w:sz w:val="1"/>
                <w:szCs w:val="1"/>
                <w:color w:val="auto"/>
              </w:rPr>
            </w:pPr>
          </w:p>
        </w:tc>
      </w:tr>
      <w:tr>
        <w:trPr>
          <w:trHeight w:val="158"/>
        </w:trPr>
        <w:tc>
          <w:tcPr>
            <w:tcW w:w="4160" w:type="dxa"/>
            <w:vAlign w:val="bottom"/>
            <w:vMerge w:val="continue"/>
          </w:tcPr>
          <w:p>
            <w:pPr>
              <w:spacing w:after="0"/>
              <w:rPr>
                <w:sz w:val="13"/>
                <w:szCs w:val="13"/>
                <w:color w:val="auto"/>
              </w:rPr>
            </w:pPr>
          </w:p>
        </w:tc>
        <w:tc>
          <w:tcPr>
            <w:tcW w:w="6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160" w:type="dxa"/>
            <w:vAlign w:val="bottom"/>
            <w:shd w:val="clear" w:color="auto" w:fill="CCEEFF"/>
          </w:tcPr>
          <w:p>
            <w:pPr>
              <w:ind w:left="140"/>
              <w:spacing w:after="0" w:line="161" w:lineRule="exact"/>
              <w:rPr>
                <w:rFonts w:ascii="Arial" w:cs="Arial" w:eastAsia="Arial" w:hAnsi="Arial"/>
                <w:sz w:val="15"/>
                <w:szCs w:val="15"/>
                <w:u w:val="single" w:color="auto"/>
                <w:color w:val="0563C1"/>
              </w:rPr>
            </w:pPr>
            <w:hyperlink w:anchor="page57">
              <w:r>
                <w:rPr>
                  <w:rFonts w:ascii="Arial" w:cs="Arial" w:eastAsia="Arial" w:hAnsi="Arial"/>
                  <w:sz w:val="15"/>
                  <w:szCs w:val="15"/>
                  <w:u w:val="single" w:color="auto"/>
                  <w:color w:val="0563C1"/>
                </w:rPr>
                <w:t>Reports of Independent Registered Public Accounting Firms</w:t>
              </w:r>
            </w:hyperlink>
          </w:p>
        </w:tc>
        <w:tc>
          <w:tcPr>
            <w:tcW w:w="7100" w:type="dxa"/>
            <w:vAlign w:val="bottom"/>
            <w:gridSpan w:val="2"/>
            <w:shd w:val="clear" w:color="auto" w:fill="CCEEFF"/>
          </w:tcPr>
          <w:p>
            <w:pPr>
              <w:jc w:val="center"/>
              <w:ind w:left="6143"/>
              <w:spacing w:after="0" w:line="161" w:lineRule="exact"/>
              <w:rPr>
                <w:sz w:val="20"/>
                <w:szCs w:val="20"/>
                <w:color w:val="auto"/>
              </w:rPr>
            </w:pPr>
            <w:r>
              <w:rPr>
                <w:rFonts w:ascii="Arial" w:cs="Arial" w:eastAsia="Arial" w:hAnsi="Arial"/>
                <w:sz w:val="15"/>
                <w:szCs w:val="15"/>
                <w:color w:val="auto"/>
                <w:w w:val="95"/>
              </w:rPr>
              <w:t>58</w:t>
            </w:r>
          </w:p>
        </w:tc>
        <w:tc>
          <w:tcPr>
            <w:tcW w:w="0" w:type="dxa"/>
            <w:vAlign w:val="bottom"/>
          </w:tcPr>
          <w:p>
            <w:pPr>
              <w:spacing w:after="0"/>
              <w:rPr>
                <w:sz w:val="1"/>
                <w:szCs w:val="1"/>
                <w:color w:val="auto"/>
              </w:rPr>
            </w:pPr>
          </w:p>
        </w:tc>
      </w:tr>
      <w:tr>
        <w:trPr>
          <w:trHeight w:val="161"/>
        </w:trPr>
        <w:tc>
          <w:tcPr>
            <w:tcW w:w="4160" w:type="dxa"/>
            <w:vAlign w:val="bottom"/>
          </w:tcPr>
          <w:p>
            <w:pPr>
              <w:ind w:left="140"/>
              <w:spacing w:after="0" w:line="161" w:lineRule="exact"/>
              <w:rPr>
                <w:rFonts w:ascii="Arial" w:cs="Arial" w:eastAsia="Arial" w:hAnsi="Arial"/>
                <w:sz w:val="15"/>
                <w:szCs w:val="15"/>
                <w:u w:val="single" w:color="auto"/>
                <w:color w:val="0563C1"/>
              </w:rPr>
            </w:pPr>
            <w:hyperlink w:anchor="page59">
              <w:r>
                <w:rPr>
                  <w:rFonts w:ascii="Arial" w:cs="Arial" w:eastAsia="Arial" w:hAnsi="Arial"/>
                  <w:sz w:val="15"/>
                  <w:szCs w:val="15"/>
                  <w:u w:val="single" w:color="auto"/>
                  <w:color w:val="0563C1"/>
                </w:rPr>
                <w:t>Consolidated Balance Sheets</w:t>
              </w:r>
            </w:hyperlink>
          </w:p>
        </w:tc>
        <w:tc>
          <w:tcPr>
            <w:tcW w:w="7100" w:type="dxa"/>
            <w:vAlign w:val="bottom"/>
            <w:gridSpan w:val="2"/>
          </w:tcPr>
          <w:p>
            <w:pPr>
              <w:jc w:val="center"/>
              <w:ind w:left="6143"/>
              <w:spacing w:after="0" w:line="161" w:lineRule="exact"/>
              <w:rPr>
                <w:sz w:val="20"/>
                <w:szCs w:val="20"/>
                <w:color w:val="auto"/>
              </w:rPr>
            </w:pPr>
            <w:r>
              <w:rPr>
                <w:rFonts w:ascii="Arial" w:cs="Arial" w:eastAsia="Arial" w:hAnsi="Arial"/>
                <w:sz w:val="15"/>
                <w:szCs w:val="15"/>
                <w:color w:val="auto"/>
                <w:w w:val="95"/>
              </w:rPr>
              <w:t>59</w:t>
            </w:r>
          </w:p>
        </w:tc>
        <w:tc>
          <w:tcPr>
            <w:tcW w:w="0" w:type="dxa"/>
            <w:vAlign w:val="bottom"/>
          </w:tcPr>
          <w:p>
            <w:pPr>
              <w:spacing w:after="0"/>
              <w:rPr>
                <w:sz w:val="1"/>
                <w:szCs w:val="1"/>
                <w:color w:val="auto"/>
              </w:rPr>
            </w:pPr>
          </w:p>
        </w:tc>
      </w:tr>
      <w:tr>
        <w:trPr>
          <w:trHeight w:val="161"/>
        </w:trPr>
        <w:tc>
          <w:tcPr>
            <w:tcW w:w="4160" w:type="dxa"/>
            <w:vAlign w:val="bottom"/>
            <w:shd w:val="clear" w:color="auto" w:fill="CCEEFF"/>
          </w:tcPr>
          <w:p>
            <w:pPr>
              <w:ind w:left="140"/>
              <w:spacing w:after="0" w:line="161" w:lineRule="exact"/>
              <w:rPr>
                <w:rFonts w:ascii="Arial" w:cs="Arial" w:eastAsia="Arial" w:hAnsi="Arial"/>
                <w:sz w:val="15"/>
                <w:szCs w:val="15"/>
                <w:u w:val="single" w:color="auto"/>
                <w:color w:val="0563C1"/>
                <w:w w:val="91"/>
              </w:rPr>
            </w:pPr>
            <w:hyperlink w:anchor="page60">
              <w:r>
                <w:rPr>
                  <w:rFonts w:ascii="Arial" w:cs="Arial" w:eastAsia="Arial" w:hAnsi="Arial"/>
                  <w:sz w:val="15"/>
                  <w:szCs w:val="15"/>
                  <w:u w:val="single" w:color="auto"/>
                  <w:color w:val="0563C1"/>
                  <w:w w:val="91"/>
                </w:rPr>
                <w:t>Consolidated Statements of Operations and Comprehensive Loss</w:t>
              </w:r>
            </w:hyperlink>
          </w:p>
        </w:tc>
        <w:tc>
          <w:tcPr>
            <w:tcW w:w="7100" w:type="dxa"/>
            <w:vAlign w:val="bottom"/>
            <w:gridSpan w:val="2"/>
            <w:shd w:val="clear" w:color="auto" w:fill="CCEEFF"/>
          </w:tcPr>
          <w:p>
            <w:pPr>
              <w:jc w:val="center"/>
              <w:ind w:left="6143"/>
              <w:spacing w:after="0" w:line="161" w:lineRule="exact"/>
              <w:rPr>
                <w:sz w:val="20"/>
                <w:szCs w:val="20"/>
                <w:color w:val="auto"/>
              </w:rPr>
            </w:pPr>
            <w:r>
              <w:rPr>
                <w:rFonts w:ascii="Arial" w:cs="Arial" w:eastAsia="Arial" w:hAnsi="Arial"/>
                <w:sz w:val="15"/>
                <w:szCs w:val="15"/>
                <w:color w:val="auto"/>
                <w:w w:val="95"/>
              </w:rPr>
              <w:t>60</w:t>
            </w:r>
          </w:p>
        </w:tc>
        <w:tc>
          <w:tcPr>
            <w:tcW w:w="0" w:type="dxa"/>
            <w:vAlign w:val="bottom"/>
          </w:tcPr>
          <w:p>
            <w:pPr>
              <w:spacing w:after="0"/>
              <w:rPr>
                <w:sz w:val="1"/>
                <w:szCs w:val="1"/>
                <w:color w:val="auto"/>
              </w:rPr>
            </w:pPr>
          </w:p>
        </w:tc>
      </w:tr>
      <w:tr>
        <w:trPr>
          <w:trHeight w:val="161"/>
        </w:trPr>
        <w:tc>
          <w:tcPr>
            <w:tcW w:w="4160" w:type="dxa"/>
            <w:vAlign w:val="bottom"/>
          </w:tcPr>
          <w:p>
            <w:pPr>
              <w:ind w:left="140"/>
              <w:spacing w:after="0" w:line="161" w:lineRule="exact"/>
              <w:rPr>
                <w:rFonts w:ascii="Arial" w:cs="Arial" w:eastAsia="Arial" w:hAnsi="Arial"/>
                <w:sz w:val="15"/>
                <w:szCs w:val="15"/>
                <w:u w:val="single" w:color="auto"/>
                <w:color w:val="0563C1"/>
              </w:rPr>
            </w:pPr>
            <w:hyperlink w:anchor="page61">
              <w:r>
                <w:rPr>
                  <w:rFonts w:ascii="Arial" w:cs="Arial" w:eastAsia="Arial" w:hAnsi="Arial"/>
                  <w:sz w:val="15"/>
                  <w:szCs w:val="15"/>
                  <w:u w:val="single" w:color="auto"/>
                  <w:color w:val="0563C1"/>
                </w:rPr>
                <w:t>Consolidated Statements of Stockholders’ Equity</w:t>
              </w:r>
            </w:hyperlink>
          </w:p>
        </w:tc>
        <w:tc>
          <w:tcPr>
            <w:tcW w:w="7100" w:type="dxa"/>
            <w:vAlign w:val="bottom"/>
            <w:gridSpan w:val="2"/>
          </w:tcPr>
          <w:p>
            <w:pPr>
              <w:jc w:val="center"/>
              <w:ind w:left="6143"/>
              <w:spacing w:after="0" w:line="161" w:lineRule="exact"/>
              <w:rPr>
                <w:sz w:val="20"/>
                <w:szCs w:val="20"/>
                <w:color w:val="auto"/>
              </w:rPr>
            </w:pPr>
            <w:r>
              <w:rPr>
                <w:rFonts w:ascii="Arial" w:cs="Arial" w:eastAsia="Arial" w:hAnsi="Arial"/>
                <w:sz w:val="15"/>
                <w:szCs w:val="15"/>
                <w:color w:val="auto"/>
                <w:w w:val="95"/>
              </w:rPr>
              <w:t>61</w:t>
            </w:r>
          </w:p>
        </w:tc>
        <w:tc>
          <w:tcPr>
            <w:tcW w:w="0" w:type="dxa"/>
            <w:vAlign w:val="bottom"/>
          </w:tcPr>
          <w:p>
            <w:pPr>
              <w:spacing w:after="0"/>
              <w:rPr>
                <w:sz w:val="1"/>
                <w:szCs w:val="1"/>
                <w:color w:val="auto"/>
              </w:rPr>
            </w:pPr>
          </w:p>
        </w:tc>
      </w:tr>
      <w:tr>
        <w:trPr>
          <w:trHeight w:val="161"/>
        </w:trPr>
        <w:tc>
          <w:tcPr>
            <w:tcW w:w="4160" w:type="dxa"/>
            <w:vAlign w:val="bottom"/>
            <w:shd w:val="clear" w:color="auto" w:fill="CCEEFF"/>
          </w:tcPr>
          <w:p>
            <w:pPr>
              <w:ind w:left="140"/>
              <w:spacing w:after="0" w:line="161" w:lineRule="exact"/>
              <w:rPr>
                <w:rFonts w:ascii="Arial" w:cs="Arial" w:eastAsia="Arial" w:hAnsi="Arial"/>
                <w:sz w:val="15"/>
                <w:szCs w:val="15"/>
                <w:u w:val="single" w:color="auto"/>
                <w:color w:val="0563C1"/>
              </w:rPr>
            </w:pPr>
            <w:hyperlink w:anchor="page62">
              <w:r>
                <w:rPr>
                  <w:rFonts w:ascii="Arial" w:cs="Arial" w:eastAsia="Arial" w:hAnsi="Arial"/>
                  <w:sz w:val="15"/>
                  <w:szCs w:val="15"/>
                  <w:u w:val="single" w:color="auto"/>
                  <w:color w:val="0563C1"/>
                </w:rPr>
                <w:t>Consolidated Statements of Cash Flows</w:t>
              </w:r>
            </w:hyperlink>
          </w:p>
        </w:tc>
        <w:tc>
          <w:tcPr>
            <w:tcW w:w="7100" w:type="dxa"/>
            <w:vAlign w:val="bottom"/>
            <w:gridSpan w:val="2"/>
            <w:shd w:val="clear" w:color="auto" w:fill="CCEEFF"/>
          </w:tcPr>
          <w:p>
            <w:pPr>
              <w:jc w:val="center"/>
              <w:ind w:left="6143"/>
              <w:spacing w:after="0" w:line="161" w:lineRule="exact"/>
              <w:rPr>
                <w:sz w:val="20"/>
                <w:szCs w:val="20"/>
                <w:color w:val="auto"/>
              </w:rPr>
            </w:pPr>
            <w:r>
              <w:rPr>
                <w:rFonts w:ascii="Arial" w:cs="Arial" w:eastAsia="Arial" w:hAnsi="Arial"/>
                <w:sz w:val="15"/>
                <w:szCs w:val="15"/>
                <w:color w:val="auto"/>
                <w:w w:val="95"/>
              </w:rPr>
              <w:t>62</w:t>
            </w:r>
          </w:p>
        </w:tc>
        <w:tc>
          <w:tcPr>
            <w:tcW w:w="0" w:type="dxa"/>
            <w:vAlign w:val="bottom"/>
          </w:tcPr>
          <w:p>
            <w:pPr>
              <w:spacing w:after="0"/>
              <w:rPr>
                <w:sz w:val="1"/>
                <w:szCs w:val="1"/>
                <w:color w:val="auto"/>
              </w:rPr>
            </w:pPr>
          </w:p>
        </w:tc>
      </w:tr>
      <w:tr>
        <w:trPr>
          <w:trHeight w:val="195"/>
        </w:trPr>
        <w:tc>
          <w:tcPr>
            <w:tcW w:w="4160" w:type="dxa"/>
            <w:vAlign w:val="bottom"/>
          </w:tcPr>
          <w:p>
            <w:pPr>
              <w:ind w:left="140"/>
              <w:spacing w:after="0"/>
              <w:rPr>
                <w:rFonts w:ascii="Arial" w:cs="Arial" w:eastAsia="Arial" w:hAnsi="Arial"/>
                <w:sz w:val="15"/>
                <w:szCs w:val="15"/>
                <w:u w:val="single" w:color="auto"/>
                <w:color w:val="0563C1"/>
              </w:rPr>
            </w:pPr>
            <w:hyperlink w:anchor="page63">
              <w:r>
                <w:rPr>
                  <w:rFonts w:ascii="Arial" w:cs="Arial" w:eastAsia="Arial" w:hAnsi="Arial"/>
                  <w:sz w:val="15"/>
                  <w:szCs w:val="15"/>
                  <w:u w:val="single" w:color="auto"/>
                  <w:color w:val="0563C1"/>
                </w:rPr>
                <w:t>Notes to Consolidated Financial Statements</w:t>
              </w:r>
            </w:hyperlink>
          </w:p>
        </w:tc>
        <w:tc>
          <w:tcPr>
            <w:tcW w:w="7100" w:type="dxa"/>
            <w:vAlign w:val="bottom"/>
            <w:gridSpan w:val="2"/>
          </w:tcPr>
          <w:p>
            <w:pPr>
              <w:jc w:val="center"/>
              <w:ind w:left="6143"/>
              <w:spacing w:after="0"/>
              <w:rPr>
                <w:sz w:val="20"/>
                <w:szCs w:val="20"/>
                <w:color w:val="auto"/>
              </w:rPr>
            </w:pPr>
            <w:r>
              <w:rPr>
                <w:rFonts w:ascii="Arial" w:cs="Arial" w:eastAsia="Arial" w:hAnsi="Arial"/>
                <w:sz w:val="15"/>
                <w:szCs w:val="15"/>
                <w:color w:val="auto"/>
                <w:w w:val="95"/>
              </w:rPr>
              <w:t>63</w:t>
            </w:r>
          </w:p>
        </w:tc>
        <w:tc>
          <w:tcPr>
            <w:tcW w:w="0" w:type="dxa"/>
            <w:vAlign w:val="bottom"/>
          </w:tcPr>
          <w:p>
            <w:pPr>
              <w:spacing w:after="0"/>
              <w:rPr>
                <w:sz w:val="1"/>
                <w:szCs w:val="1"/>
                <w:color w:val="auto"/>
              </w:rPr>
            </w:pPr>
          </w:p>
        </w:tc>
      </w:tr>
      <w:tr>
        <w:trPr>
          <w:trHeight w:val="912"/>
        </w:trPr>
        <w:tc>
          <w:tcPr>
            <w:tcW w:w="4160" w:type="dxa"/>
            <w:vAlign w:val="bottom"/>
          </w:tcPr>
          <w:p>
            <w:pPr>
              <w:spacing w:after="0"/>
              <w:rPr>
                <w:sz w:val="24"/>
                <w:szCs w:val="24"/>
                <w:color w:val="auto"/>
              </w:rPr>
            </w:pPr>
          </w:p>
        </w:tc>
        <w:tc>
          <w:tcPr>
            <w:tcW w:w="6220" w:type="dxa"/>
            <w:vAlign w:val="bottom"/>
          </w:tcPr>
          <w:p>
            <w:pPr>
              <w:jc w:val="center"/>
              <w:ind w:right="3223"/>
              <w:spacing w:after="0"/>
              <w:rPr>
                <w:sz w:val="20"/>
                <w:szCs w:val="20"/>
                <w:color w:val="auto"/>
              </w:rPr>
            </w:pPr>
            <w:r>
              <w:rPr>
                <w:rFonts w:ascii="Arial" w:cs="Arial" w:eastAsia="Arial" w:hAnsi="Arial"/>
                <w:sz w:val="15"/>
                <w:szCs w:val="15"/>
                <w:color w:val="auto"/>
                <w:w w:val="95"/>
              </w:rPr>
              <w:t>57</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160" w:type="dxa"/>
            <w:vAlign w:val="bottom"/>
            <w:tcBorders>
              <w:bottom w:val="single" w:sz="8" w:color="9A9A9A"/>
            </w:tcBorders>
          </w:tcPr>
          <w:p>
            <w:pPr>
              <w:spacing w:after="0"/>
              <w:rPr>
                <w:sz w:val="23"/>
                <w:szCs w:val="23"/>
                <w:color w:val="auto"/>
              </w:rPr>
            </w:pPr>
          </w:p>
        </w:tc>
        <w:tc>
          <w:tcPr>
            <w:tcW w:w="622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-6985</wp:posOffset>
            </wp:positionV>
            <wp:extent cx="762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-13970</wp:posOffset>
            </wp:positionV>
            <wp:extent cx="7620"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7" w:name="page58"/>
    <w:bookmarkEnd w:id="57"/>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18" w:lineRule="exact"/>
        <w:rPr>
          <w:sz w:val="20"/>
          <w:szCs w:val="20"/>
          <w:color w:val="auto"/>
        </w:rPr>
      </w:pPr>
    </w:p>
    <w:p>
      <w:pPr>
        <w:ind w:right="3000" w:firstLine="3001"/>
        <w:spacing w:after="0" w:line="500" w:lineRule="auto"/>
        <w:rPr>
          <w:sz w:val="20"/>
          <w:szCs w:val="20"/>
          <w:color w:val="auto"/>
        </w:rPr>
      </w:pPr>
      <w:r>
        <w:rPr>
          <w:rFonts w:ascii="Arial" w:cs="Arial" w:eastAsia="Arial" w:hAnsi="Arial"/>
          <w:sz w:val="15"/>
          <w:szCs w:val="15"/>
          <w:b w:val="1"/>
          <w:bCs w:val="1"/>
          <w:color w:val="auto"/>
        </w:rPr>
        <w:t xml:space="preserve">REPORT OF INDEPENDENT REGISTERED PUBLIC ACCOUNTING FIRM </w:t>
      </w:r>
      <w:r>
        <w:rPr>
          <w:rFonts w:ascii="Arial" w:cs="Arial" w:eastAsia="Arial" w:hAnsi="Arial"/>
          <w:sz w:val="15"/>
          <w:szCs w:val="15"/>
          <w:color w:val="auto"/>
        </w:rPr>
        <w:t xml:space="preserve">To the Stockholders and the Board of Directors of Pulse Biosciences, Inc. </w:t>
      </w:r>
      <w:r>
        <w:rPr>
          <w:rFonts w:ascii="Arial" w:cs="Arial" w:eastAsia="Arial" w:hAnsi="Arial"/>
          <w:sz w:val="15"/>
          <w:szCs w:val="15"/>
          <w:b w:val="1"/>
          <w:bCs w:val="1"/>
          <w:color w:val="auto"/>
        </w:rPr>
        <w:t>Opinion on the Financial Statements</w:t>
      </w:r>
    </w:p>
    <w:p>
      <w:pPr>
        <w:spacing w:after="0" w:line="185" w:lineRule="exact"/>
        <w:rPr>
          <w:sz w:val="20"/>
          <w:szCs w:val="20"/>
          <w:color w:val="auto"/>
        </w:rPr>
      </w:pPr>
    </w:p>
    <w:p>
      <w:pPr>
        <w:jc w:val="both"/>
        <w:spacing w:after="0" w:line="233" w:lineRule="auto"/>
        <w:rPr>
          <w:sz w:val="20"/>
          <w:szCs w:val="20"/>
          <w:color w:val="auto"/>
        </w:rPr>
      </w:pPr>
      <w:r>
        <w:rPr>
          <w:rFonts w:ascii="Arial" w:cs="Arial" w:eastAsia="Arial" w:hAnsi="Arial"/>
          <w:sz w:val="15"/>
          <w:szCs w:val="15"/>
          <w:color w:val="auto"/>
        </w:rPr>
        <w:t>We have audited the accompanying consolidated balance sheets of Pulse Biosciences, Inc. and its wholly owned subsidiaries (the "Company") as of December 31, 2020 and 2019, the related consolidated statements of operations and comprehensive loss, stockholders'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 in Accounting Principle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As discussed in Note 2 to the financial statements, the Company has changed its method of accounting for leases in 2019 due to the adoption of Accounting Standards Update No.</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2016-02, Leases (Topic 842), using the optional transition method.</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 </w:t>
      </w:r>
      <w:r>
        <w:rPr>
          <w:rFonts w:ascii="Arial" w:cs="Arial" w:eastAsia="Arial" w:hAnsi="Arial"/>
          <w:sz w:val="15"/>
          <w:szCs w:val="15"/>
          <w:i w:val="1"/>
          <w:iCs w:val="1"/>
          <w:color w:val="auto"/>
        </w:rPr>
        <w:t>DELOITTE &amp; TOUCHE LLP</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San Jose, California</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March 12, 2021</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2018.</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8" w:name="page59"/>
    <w:bookmarkEnd w:id="58"/>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PULSE BIOSCIENCES, INC.</w:t>
      </w:r>
    </w:p>
    <w:p>
      <w:pPr>
        <w:jc w:val="center"/>
        <w:spacing w:after="0" w:line="231" w:lineRule="auto"/>
        <w:rPr>
          <w:sz w:val="20"/>
          <w:szCs w:val="20"/>
          <w:color w:val="auto"/>
        </w:rPr>
      </w:pPr>
      <w:r>
        <w:rPr>
          <w:rFonts w:ascii="Arial" w:cs="Arial" w:eastAsia="Arial" w:hAnsi="Arial"/>
          <w:sz w:val="15"/>
          <w:szCs w:val="15"/>
          <w:b w:val="1"/>
          <w:bCs w:val="1"/>
          <w:color w:val="auto"/>
        </w:rPr>
        <w:t>Consolidated Balance Sheets</w:t>
      </w:r>
    </w:p>
    <w:p>
      <w:pPr>
        <w:jc w:val="center"/>
        <w:spacing w:after="0"/>
        <w:rPr>
          <w:sz w:val="20"/>
          <w:szCs w:val="20"/>
          <w:color w:val="auto"/>
        </w:rPr>
      </w:pPr>
      <w:r>
        <w:rPr>
          <w:rFonts w:ascii="Arial" w:cs="Arial" w:eastAsia="Arial" w:hAnsi="Arial"/>
          <w:sz w:val="15"/>
          <w:szCs w:val="15"/>
          <w:b w:val="1"/>
          <w:bCs w:val="1"/>
          <w:color w:val="auto"/>
        </w:rPr>
        <w:t>(in thousands, except par value)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2"/>
                <w:szCs w:val="12"/>
                <w:b w:val="1"/>
                <w:bCs w:val="1"/>
                <w:color w:val="auto"/>
              </w:rPr>
              <w:t>December 31,</w:t>
            </w: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4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ASSETS</w:t>
            </w:r>
          </w:p>
        </w:tc>
        <w:tc>
          <w:tcPr>
            <w:tcW w:w="1740" w:type="dxa"/>
            <w:vAlign w:val="bottom"/>
          </w:tcPr>
          <w:p>
            <w:pPr>
              <w:spacing w:after="0"/>
              <w:rPr>
                <w:sz w:val="10"/>
                <w:szCs w:val="10"/>
                <w:color w:val="auto"/>
              </w:rPr>
            </w:pPr>
          </w:p>
        </w:tc>
        <w:tc>
          <w:tcPr>
            <w:tcW w:w="86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b w:val="1"/>
                <w:bCs w:val="1"/>
                <w:color w:val="auto"/>
              </w:rPr>
              <w:t>2020</w:t>
            </w:r>
          </w:p>
        </w:tc>
        <w:tc>
          <w:tcPr>
            <w:tcW w:w="6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44"/>
              <w:spacing w:after="0" w:line="118" w:lineRule="exact"/>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31"/>
        </w:trPr>
        <w:tc>
          <w:tcPr>
            <w:tcW w:w="640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6400" w:type="dxa"/>
            <w:vAlign w:val="bottom"/>
            <w:gridSpan w:val="2"/>
          </w:tcPr>
          <w:p>
            <w:pPr>
              <w:spacing w:after="0"/>
              <w:rPr>
                <w:sz w:val="20"/>
                <w:szCs w:val="20"/>
                <w:color w:val="auto"/>
              </w:rPr>
            </w:pPr>
            <w:r>
              <w:rPr>
                <w:rFonts w:ascii="Arial" w:cs="Arial" w:eastAsia="Arial" w:hAnsi="Arial"/>
                <w:sz w:val="15"/>
                <w:szCs w:val="15"/>
                <w:color w:val="auto"/>
              </w:rPr>
              <w:t>Current assets:</w:t>
            </w:r>
          </w:p>
        </w:tc>
        <w:tc>
          <w:tcPr>
            <w:tcW w:w="1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shd w:val="clear" w:color="auto" w:fill="CCEEFF"/>
          </w:tcPr>
          <w:p>
            <w:pPr>
              <w:ind w:left="160"/>
              <w:spacing w:after="0" w:line="161" w:lineRule="exact"/>
              <w:rPr>
                <w:sz w:val="20"/>
                <w:szCs w:val="20"/>
                <w:color w:val="auto"/>
              </w:rPr>
            </w:pPr>
            <w:r>
              <w:rPr>
                <w:rFonts w:ascii="Arial" w:cs="Arial" w:eastAsia="Arial" w:hAnsi="Arial"/>
                <w:sz w:val="15"/>
                <w:szCs w:val="15"/>
                <w:color w:val="auto"/>
              </w:rPr>
              <w:t>Cash and cash equivalents</w:t>
            </w:r>
          </w:p>
        </w:tc>
        <w:tc>
          <w:tcPr>
            <w:tcW w:w="2600" w:type="dxa"/>
            <w:vAlign w:val="bottom"/>
            <w:gridSpan w:val="2"/>
            <w:shd w:val="clear" w:color="auto" w:fill="CCEEFF"/>
          </w:tcPr>
          <w:p>
            <w:pPr>
              <w:jc w:val="right"/>
              <w:ind w:right="747"/>
              <w:spacing w:after="0" w:line="161"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12,463</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3"/>
              <w:spacing w:after="0" w:line="161"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6,899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ind w:left="160"/>
              <w:spacing w:after="0" w:line="161" w:lineRule="exact"/>
              <w:rPr>
                <w:sz w:val="20"/>
                <w:szCs w:val="20"/>
                <w:color w:val="auto"/>
              </w:rPr>
            </w:pPr>
            <w:r>
              <w:rPr>
                <w:rFonts w:ascii="Arial" w:cs="Arial" w:eastAsia="Arial" w:hAnsi="Arial"/>
                <w:sz w:val="15"/>
                <w:szCs w:val="15"/>
                <w:color w:val="auto"/>
              </w:rPr>
              <w:t>Investments</w:t>
            </w: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jc w:val="right"/>
              <w:spacing w:after="0" w:line="161" w:lineRule="exact"/>
              <w:rPr>
                <w:sz w:val="20"/>
                <w:szCs w:val="20"/>
                <w:color w:val="auto"/>
              </w:rPr>
            </w:pPr>
            <w:r>
              <w:rPr>
                <w:rFonts w:ascii="Arial" w:cs="Arial" w:eastAsia="Arial" w:hAnsi="Arial"/>
                <w:sz w:val="15"/>
                <w:szCs w:val="15"/>
                <w:color w:val="auto"/>
              </w:rPr>
              <w:t>8,012</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5"/>
                <w:szCs w:val="15"/>
                <w:color w:val="auto"/>
              </w:rPr>
              <w:t>18,499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shd w:val="clear" w:color="auto" w:fill="CCEEFF"/>
          </w:tcPr>
          <w:p>
            <w:pPr>
              <w:ind w:left="160"/>
              <w:spacing w:after="0" w:line="161" w:lineRule="exact"/>
              <w:rPr>
                <w:sz w:val="20"/>
                <w:szCs w:val="20"/>
                <w:color w:val="auto"/>
              </w:rPr>
            </w:pPr>
            <w:r>
              <w:rPr>
                <w:rFonts w:ascii="Arial" w:cs="Arial" w:eastAsia="Arial" w:hAnsi="Arial"/>
                <w:sz w:val="15"/>
                <w:szCs w:val="15"/>
                <w:color w:val="auto"/>
              </w:rPr>
              <w:t>Prepaid expenses and other current assets</w:t>
            </w:r>
          </w:p>
        </w:tc>
        <w:tc>
          <w:tcPr>
            <w:tcW w:w="17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1,864</w:t>
            </w:r>
          </w:p>
        </w:tc>
        <w:tc>
          <w:tcPr>
            <w:tcW w:w="1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1,005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380" w:type="dxa"/>
            <w:vAlign w:val="bottom"/>
          </w:tcPr>
          <w:p>
            <w:pPr>
              <w:ind w:left="340"/>
              <w:spacing w:after="0" w:line="153" w:lineRule="exact"/>
              <w:rPr>
                <w:sz w:val="20"/>
                <w:szCs w:val="20"/>
                <w:color w:val="auto"/>
              </w:rPr>
            </w:pPr>
            <w:r>
              <w:rPr>
                <w:rFonts w:ascii="Arial" w:cs="Arial" w:eastAsia="Arial" w:hAnsi="Arial"/>
                <w:sz w:val="15"/>
                <w:szCs w:val="15"/>
                <w:color w:val="auto"/>
              </w:rPr>
              <w:t>Total current assets</w:t>
            </w: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jc w:val="right"/>
              <w:spacing w:after="0" w:line="153" w:lineRule="exact"/>
              <w:rPr>
                <w:sz w:val="20"/>
                <w:szCs w:val="20"/>
                <w:color w:val="auto"/>
              </w:rPr>
            </w:pPr>
            <w:r>
              <w:rPr>
                <w:rFonts w:ascii="Arial" w:cs="Arial" w:eastAsia="Arial" w:hAnsi="Arial"/>
                <w:sz w:val="15"/>
                <w:szCs w:val="15"/>
                <w:color w:val="auto"/>
              </w:rPr>
              <w:t>22,339</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5"/>
                <w:szCs w:val="15"/>
                <w:color w:val="auto"/>
              </w:rPr>
              <w:t>26,403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Property and equipment, net</w:t>
            </w: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2,478</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2,566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spacing w:after="0" w:line="161" w:lineRule="exact"/>
              <w:rPr>
                <w:sz w:val="20"/>
                <w:szCs w:val="20"/>
                <w:color w:val="auto"/>
              </w:rPr>
            </w:pPr>
            <w:r>
              <w:rPr>
                <w:rFonts w:ascii="Arial" w:cs="Arial" w:eastAsia="Arial" w:hAnsi="Arial"/>
                <w:sz w:val="15"/>
                <w:szCs w:val="15"/>
                <w:color w:val="auto"/>
              </w:rPr>
              <w:t>Intangible assets, net</w:t>
            </w: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jc w:val="right"/>
              <w:spacing w:after="0" w:line="161" w:lineRule="exact"/>
              <w:rPr>
                <w:sz w:val="20"/>
                <w:szCs w:val="20"/>
                <w:color w:val="auto"/>
              </w:rPr>
            </w:pPr>
            <w:r>
              <w:rPr>
                <w:rFonts w:ascii="Arial" w:cs="Arial" w:eastAsia="Arial" w:hAnsi="Arial"/>
                <w:sz w:val="15"/>
                <w:szCs w:val="15"/>
                <w:color w:val="auto"/>
              </w:rPr>
              <w:t>3,882</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5"/>
                <w:szCs w:val="15"/>
                <w:color w:val="auto"/>
              </w:rPr>
              <w:t>4,547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Goodwill</w:t>
            </w: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2,791</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2,791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spacing w:after="0" w:line="161" w:lineRule="exact"/>
              <w:rPr>
                <w:sz w:val="20"/>
                <w:szCs w:val="20"/>
                <w:color w:val="auto"/>
              </w:rPr>
            </w:pPr>
            <w:r>
              <w:rPr>
                <w:rFonts w:ascii="Arial" w:cs="Arial" w:eastAsia="Arial" w:hAnsi="Arial"/>
                <w:sz w:val="15"/>
                <w:szCs w:val="15"/>
                <w:color w:val="auto"/>
              </w:rPr>
              <w:t>Right-of-use assets</w:t>
            </w: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jc w:val="right"/>
              <w:spacing w:after="0" w:line="161" w:lineRule="exact"/>
              <w:rPr>
                <w:sz w:val="20"/>
                <w:szCs w:val="20"/>
                <w:color w:val="auto"/>
              </w:rPr>
            </w:pPr>
            <w:r>
              <w:rPr>
                <w:rFonts w:ascii="Arial" w:cs="Arial" w:eastAsia="Arial" w:hAnsi="Arial"/>
                <w:sz w:val="15"/>
                <w:szCs w:val="15"/>
                <w:color w:val="auto"/>
              </w:rPr>
              <w:t>9,438</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5"/>
                <w:szCs w:val="15"/>
                <w:color w:val="auto"/>
              </w:rPr>
              <w:t>5,114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Other assets</w:t>
            </w:r>
          </w:p>
        </w:tc>
        <w:tc>
          <w:tcPr>
            <w:tcW w:w="17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365</w:t>
            </w:r>
          </w:p>
        </w:tc>
        <w:tc>
          <w:tcPr>
            <w:tcW w:w="1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494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80" w:type="dxa"/>
            <w:vAlign w:val="bottom"/>
            <w:tcBorders>
              <w:bottom w:val="single" w:sz="8" w:color="CCEEFF"/>
            </w:tcBorders>
          </w:tcPr>
          <w:p>
            <w:pPr>
              <w:ind w:left="340"/>
              <w:spacing w:after="0" w:line="153" w:lineRule="exact"/>
              <w:rPr>
                <w:sz w:val="20"/>
                <w:szCs w:val="20"/>
                <w:color w:val="auto"/>
              </w:rPr>
            </w:pPr>
            <w:r>
              <w:rPr>
                <w:rFonts w:ascii="Arial" w:cs="Arial" w:eastAsia="Arial" w:hAnsi="Arial"/>
                <w:sz w:val="15"/>
                <w:szCs w:val="15"/>
                <w:color w:val="auto"/>
              </w:rPr>
              <w:t>Total assets</w:t>
            </w:r>
          </w:p>
        </w:tc>
        <w:tc>
          <w:tcPr>
            <w:tcW w:w="1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747"/>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41,293</w:t>
            </w:r>
          </w:p>
        </w:tc>
        <w:tc>
          <w:tcPr>
            <w:tcW w:w="1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ind w:right="303"/>
              <w:spacing w:after="0" w:line="153"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41,915</w:t>
            </w: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63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6380" w:type="dxa"/>
            <w:vAlign w:val="bottom"/>
          </w:tcPr>
          <w:p>
            <w:pPr>
              <w:spacing w:after="0" w:line="161" w:lineRule="exact"/>
              <w:rPr>
                <w:sz w:val="20"/>
                <w:szCs w:val="20"/>
                <w:color w:val="auto"/>
              </w:rPr>
            </w:pPr>
            <w:r>
              <w:rPr>
                <w:rFonts w:ascii="Arial" w:cs="Arial" w:eastAsia="Arial" w:hAnsi="Arial"/>
                <w:sz w:val="15"/>
                <w:szCs w:val="15"/>
                <w:b w:val="1"/>
                <w:bCs w:val="1"/>
                <w:color w:val="auto"/>
              </w:rPr>
              <w:t>LIABILITIES AND STOCKHOLDERS’ EQUITY</w:t>
            </w: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Current liabilities:</w:t>
            </w: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ind w:left="160"/>
              <w:spacing w:after="0" w:line="161" w:lineRule="exact"/>
              <w:rPr>
                <w:sz w:val="20"/>
                <w:szCs w:val="20"/>
                <w:color w:val="auto"/>
              </w:rPr>
            </w:pPr>
            <w:r>
              <w:rPr>
                <w:rFonts w:ascii="Arial" w:cs="Arial" w:eastAsia="Arial" w:hAnsi="Arial"/>
                <w:sz w:val="15"/>
                <w:szCs w:val="15"/>
                <w:color w:val="auto"/>
              </w:rPr>
              <w:t>Accounts payable</w:t>
            </w:r>
          </w:p>
        </w:tc>
        <w:tc>
          <w:tcPr>
            <w:tcW w:w="2600" w:type="dxa"/>
            <w:vAlign w:val="bottom"/>
            <w:gridSpan w:val="2"/>
          </w:tcPr>
          <w:p>
            <w:pPr>
              <w:jc w:val="right"/>
              <w:ind w:right="747"/>
              <w:spacing w:after="0" w:line="161"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1" w:lineRule="exact"/>
              <w:rPr>
                <w:sz w:val="20"/>
                <w:szCs w:val="20"/>
                <w:color w:val="auto"/>
              </w:rPr>
            </w:pPr>
            <w:r>
              <w:rPr>
                <w:rFonts w:ascii="Arial" w:cs="Arial" w:eastAsia="Arial" w:hAnsi="Arial"/>
                <w:sz w:val="15"/>
                <w:szCs w:val="15"/>
                <w:color w:val="auto"/>
              </w:rPr>
              <w:t>1,717</w:t>
            </w:r>
          </w:p>
        </w:tc>
        <w:tc>
          <w:tcPr>
            <w:tcW w:w="160" w:type="dxa"/>
            <w:vAlign w:val="bottom"/>
          </w:tcPr>
          <w:p>
            <w:pPr>
              <w:spacing w:after="0"/>
              <w:rPr>
                <w:sz w:val="14"/>
                <w:szCs w:val="14"/>
                <w:color w:val="auto"/>
              </w:rPr>
            </w:pPr>
          </w:p>
        </w:tc>
        <w:tc>
          <w:tcPr>
            <w:tcW w:w="460" w:type="dxa"/>
            <w:vAlign w:val="bottom"/>
          </w:tcPr>
          <w:p>
            <w:pPr>
              <w:jc w:val="right"/>
              <w:ind w:right="303"/>
              <w:spacing w:after="0" w:line="161"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61" w:lineRule="exact"/>
              <w:rPr>
                <w:sz w:val="20"/>
                <w:szCs w:val="20"/>
                <w:color w:val="auto"/>
              </w:rPr>
            </w:pPr>
            <w:r>
              <w:rPr>
                <w:rFonts w:ascii="Arial" w:cs="Arial" w:eastAsia="Arial" w:hAnsi="Arial"/>
                <w:sz w:val="15"/>
                <w:szCs w:val="15"/>
                <w:color w:val="auto"/>
              </w:rPr>
              <w:t>1,963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shd w:val="clear" w:color="auto" w:fill="CCEEFF"/>
          </w:tcPr>
          <w:p>
            <w:pPr>
              <w:ind w:left="160"/>
              <w:spacing w:after="0" w:line="161" w:lineRule="exact"/>
              <w:rPr>
                <w:sz w:val="20"/>
                <w:szCs w:val="20"/>
                <w:color w:val="auto"/>
              </w:rPr>
            </w:pPr>
            <w:r>
              <w:rPr>
                <w:rFonts w:ascii="Arial" w:cs="Arial" w:eastAsia="Arial" w:hAnsi="Arial"/>
                <w:sz w:val="15"/>
                <w:szCs w:val="15"/>
                <w:color w:val="auto"/>
              </w:rPr>
              <w:t>Accrued expenses</w:t>
            </w: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5,326</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2,496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Borders>
              <w:bottom w:val="single" w:sz="8" w:color="CCEEFF"/>
            </w:tcBorders>
          </w:tcPr>
          <w:p>
            <w:pPr>
              <w:ind w:left="160"/>
              <w:spacing w:after="0" w:line="161" w:lineRule="exact"/>
              <w:rPr>
                <w:sz w:val="20"/>
                <w:szCs w:val="20"/>
                <w:color w:val="auto"/>
              </w:rPr>
            </w:pPr>
            <w:r>
              <w:rPr>
                <w:rFonts w:ascii="Arial" w:cs="Arial" w:eastAsia="Arial" w:hAnsi="Arial"/>
                <w:sz w:val="15"/>
                <w:szCs w:val="15"/>
                <w:color w:val="auto"/>
              </w:rPr>
              <w:t>Lease liability, current</w:t>
            </w:r>
          </w:p>
        </w:tc>
        <w:tc>
          <w:tcPr>
            <w:tcW w:w="17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542</w:t>
            </w:r>
          </w:p>
        </w:tc>
        <w:tc>
          <w:tcPr>
            <w:tcW w:w="1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380" w:type="dxa"/>
            <w:vAlign w:val="bottom"/>
            <w:shd w:val="clear" w:color="auto" w:fill="CCEEFF"/>
          </w:tcPr>
          <w:p>
            <w:pPr>
              <w:ind w:left="340"/>
              <w:spacing w:after="0" w:line="153" w:lineRule="exact"/>
              <w:rPr>
                <w:sz w:val="20"/>
                <w:szCs w:val="20"/>
                <w:color w:val="auto"/>
              </w:rPr>
            </w:pPr>
            <w:r>
              <w:rPr>
                <w:rFonts w:ascii="Arial" w:cs="Arial" w:eastAsia="Arial" w:hAnsi="Arial"/>
                <w:sz w:val="15"/>
                <w:szCs w:val="15"/>
                <w:color w:val="auto"/>
              </w:rPr>
              <w:t>Total current liabilities</w:t>
            </w:r>
          </w:p>
        </w:tc>
        <w:tc>
          <w:tcPr>
            <w:tcW w:w="174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7,585</w:t>
            </w:r>
          </w:p>
        </w:tc>
        <w:tc>
          <w:tcPr>
            <w:tcW w:w="16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4,459</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3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63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Lease liability, less current portion</w:t>
            </w:r>
          </w:p>
        </w:tc>
        <w:tc>
          <w:tcPr>
            <w:tcW w:w="17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10,814</w:t>
            </w:r>
          </w:p>
        </w:tc>
        <w:tc>
          <w:tcPr>
            <w:tcW w:w="1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6,719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380" w:type="dxa"/>
            <w:vAlign w:val="bottom"/>
            <w:tcBorders>
              <w:bottom w:val="single" w:sz="8" w:color="CCEEFF"/>
            </w:tcBorders>
          </w:tcPr>
          <w:p>
            <w:pPr>
              <w:ind w:left="340"/>
              <w:spacing w:after="0" w:line="153" w:lineRule="exact"/>
              <w:rPr>
                <w:sz w:val="20"/>
                <w:szCs w:val="20"/>
                <w:color w:val="auto"/>
              </w:rPr>
            </w:pPr>
            <w:r>
              <w:rPr>
                <w:rFonts w:ascii="Arial" w:cs="Arial" w:eastAsia="Arial" w:hAnsi="Arial"/>
                <w:sz w:val="15"/>
                <w:szCs w:val="15"/>
                <w:color w:val="auto"/>
              </w:rPr>
              <w:t>Total liabilities</w:t>
            </w:r>
          </w:p>
        </w:tc>
        <w:tc>
          <w:tcPr>
            <w:tcW w:w="17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18,399</w:t>
            </w:r>
          </w:p>
        </w:tc>
        <w:tc>
          <w:tcPr>
            <w:tcW w:w="1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11,178</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3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6380" w:type="dxa"/>
            <w:vAlign w:val="bottom"/>
          </w:tcPr>
          <w:p>
            <w:pPr>
              <w:spacing w:after="0" w:line="161" w:lineRule="exact"/>
              <w:rPr>
                <w:sz w:val="20"/>
                <w:szCs w:val="20"/>
                <w:color w:val="auto"/>
              </w:rPr>
            </w:pPr>
            <w:r>
              <w:rPr>
                <w:rFonts w:ascii="Arial" w:cs="Arial" w:eastAsia="Arial" w:hAnsi="Arial"/>
                <w:sz w:val="15"/>
                <w:szCs w:val="15"/>
                <w:color w:val="auto"/>
              </w:rPr>
              <w:t>Commitments and contingencies (Note 10)</w:t>
            </w: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63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6380" w:type="dxa"/>
            <w:vAlign w:val="bottom"/>
          </w:tcPr>
          <w:p>
            <w:pPr>
              <w:spacing w:after="0" w:line="161" w:lineRule="exact"/>
              <w:rPr>
                <w:sz w:val="20"/>
                <w:szCs w:val="20"/>
                <w:color w:val="auto"/>
              </w:rPr>
            </w:pPr>
            <w:r>
              <w:rPr>
                <w:rFonts w:ascii="Arial" w:cs="Arial" w:eastAsia="Arial" w:hAnsi="Arial"/>
                <w:sz w:val="15"/>
                <w:szCs w:val="15"/>
                <w:color w:val="auto"/>
              </w:rPr>
              <w:t>Stockholders’ equity:</w:t>
            </w: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80" w:type="dxa"/>
            <w:vAlign w:val="bottom"/>
            <w:shd w:val="clear" w:color="auto" w:fill="CCEEFF"/>
          </w:tcPr>
          <w:p>
            <w:pPr>
              <w:ind w:left="160"/>
              <w:spacing w:after="0" w:line="139" w:lineRule="exact"/>
              <w:rPr>
                <w:sz w:val="20"/>
                <w:szCs w:val="20"/>
                <w:color w:val="auto"/>
              </w:rPr>
            </w:pPr>
            <w:r>
              <w:rPr>
                <w:rFonts w:ascii="Arial" w:cs="Arial" w:eastAsia="Arial" w:hAnsi="Arial"/>
                <w:sz w:val="15"/>
                <w:szCs w:val="15"/>
                <w:color w:val="auto"/>
              </w:rPr>
              <w:t>Preferred stock, $0.001 par value;</w:t>
            </w:r>
          </w:p>
        </w:tc>
        <w:tc>
          <w:tcPr>
            <w:tcW w:w="17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authorized – 50,000 shares; no shares issued and outstanding</w:t>
            </w:r>
          </w:p>
        </w:tc>
        <w:tc>
          <w:tcPr>
            <w:tcW w:w="17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80" w:type="dxa"/>
            <w:vAlign w:val="bottom"/>
          </w:tcPr>
          <w:p>
            <w:pPr>
              <w:ind w:left="160"/>
              <w:spacing w:after="0" w:line="139" w:lineRule="exact"/>
              <w:rPr>
                <w:sz w:val="20"/>
                <w:szCs w:val="20"/>
                <w:color w:val="auto"/>
              </w:rPr>
            </w:pPr>
            <w:r>
              <w:rPr>
                <w:rFonts w:ascii="Arial" w:cs="Arial" w:eastAsia="Arial" w:hAnsi="Arial"/>
                <w:sz w:val="15"/>
                <w:szCs w:val="15"/>
                <w:color w:val="auto"/>
              </w:rPr>
              <w:t>Common stock, $0.001 par value;</w:t>
            </w:r>
          </w:p>
        </w:tc>
        <w:tc>
          <w:tcPr>
            <w:tcW w:w="1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ind w:left="200"/>
              <w:spacing w:after="0" w:line="161" w:lineRule="exact"/>
              <w:rPr>
                <w:sz w:val="20"/>
                <w:szCs w:val="20"/>
                <w:color w:val="auto"/>
              </w:rPr>
            </w:pPr>
            <w:r>
              <w:rPr>
                <w:rFonts w:ascii="Arial" w:cs="Arial" w:eastAsia="Arial" w:hAnsi="Arial"/>
                <w:sz w:val="15"/>
                <w:szCs w:val="15"/>
                <w:color w:val="auto"/>
              </w:rPr>
              <w:t>authorized – 500,000 shares; issued and outstanding – 25,550 shares and</w:t>
            </w: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380" w:type="dxa"/>
            <w:vAlign w:val="bottom"/>
          </w:tcPr>
          <w:p>
            <w:pPr>
              <w:ind w:left="160"/>
              <w:spacing w:after="0"/>
              <w:rPr>
                <w:sz w:val="20"/>
                <w:szCs w:val="20"/>
                <w:color w:val="auto"/>
              </w:rPr>
            </w:pPr>
            <w:r>
              <w:rPr>
                <w:rFonts w:ascii="Arial" w:cs="Arial" w:eastAsia="Arial" w:hAnsi="Arial"/>
                <w:sz w:val="15"/>
                <w:szCs w:val="15"/>
                <w:color w:val="auto"/>
              </w:rPr>
              <w:t>20,825 shares at December 31, 2020 and 2019, respectively</w:t>
            </w:r>
          </w:p>
        </w:tc>
        <w:tc>
          <w:tcPr>
            <w:tcW w:w="1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25</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shd w:val="clear" w:color="auto" w:fill="CCEEFF"/>
          </w:tcPr>
          <w:p>
            <w:pPr>
              <w:ind w:left="160"/>
              <w:spacing w:after="0" w:line="161" w:lineRule="exact"/>
              <w:rPr>
                <w:sz w:val="20"/>
                <w:szCs w:val="20"/>
                <w:color w:val="auto"/>
              </w:rPr>
            </w:pPr>
            <w:r>
              <w:rPr>
                <w:rFonts w:ascii="Arial" w:cs="Arial" w:eastAsia="Arial" w:hAnsi="Arial"/>
                <w:sz w:val="15"/>
                <w:szCs w:val="15"/>
                <w:color w:val="auto"/>
              </w:rPr>
              <w:t>Additional paid-in capital</w:t>
            </w: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95"/>
              </w:rPr>
              <w:t>195,410</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153,401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ind w:left="160"/>
              <w:spacing w:after="0" w:line="161" w:lineRule="exact"/>
              <w:rPr>
                <w:sz w:val="20"/>
                <w:szCs w:val="20"/>
                <w:color w:val="auto"/>
              </w:rPr>
            </w:pPr>
            <w:r>
              <w:rPr>
                <w:rFonts w:ascii="Arial" w:cs="Arial" w:eastAsia="Arial" w:hAnsi="Arial"/>
                <w:sz w:val="15"/>
                <w:szCs w:val="15"/>
                <w:color w:val="auto"/>
              </w:rPr>
              <w:t>Accumulated other comprehensive income (loss)</w:t>
            </w: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jc w:val="right"/>
              <w:spacing w:after="0" w:line="161" w:lineRule="exact"/>
              <w:rPr>
                <w:sz w:val="20"/>
                <w:szCs w:val="20"/>
                <w:color w:val="auto"/>
              </w:rPr>
            </w:pPr>
            <w:r>
              <w:rPr>
                <w:rFonts w:ascii="Arial" w:cs="Arial" w:eastAsia="Arial" w:hAnsi="Arial"/>
                <w:sz w:val="15"/>
                <w:szCs w:val="15"/>
                <w:color w:val="auto"/>
              </w:rPr>
              <w:t>(1)</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shd w:val="clear" w:color="auto" w:fill="CCEEFF"/>
          </w:tcPr>
          <w:p>
            <w:pPr>
              <w:ind w:left="160"/>
              <w:spacing w:after="0" w:line="161" w:lineRule="exact"/>
              <w:rPr>
                <w:sz w:val="20"/>
                <w:szCs w:val="20"/>
                <w:color w:val="auto"/>
              </w:rPr>
            </w:pPr>
            <w:r>
              <w:rPr>
                <w:rFonts w:ascii="Arial" w:cs="Arial" w:eastAsia="Arial" w:hAnsi="Arial"/>
                <w:sz w:val="15"/>
                <w:szCs w:val="15"/>
                <w:color w:val="auto"/>
              </w:rPr>
              <w:t>Accumulated deficit</w:t>
            </w:r>
          </w:p>
        </w:tc>
        <w:tc>
          <w:tcPr>
            <w:tcW w:w="17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90"/>
              </w:rPr>
              <w:t>(172,540)</w:t>
            </w:r>
          </w:p>
        </w:tc>
        <w:tc>
          <w:tcPr>
            <w:tcW w:w="1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(122,689)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380" w:type="dxa"/>
            <w:vAlign w:val="bottom"/>
            <w:tcBorders>
              <w:bottom w:val="single" w:sz="8" w:color="CCEEFF"/>
            </w:tcBorders>
          </w:tcPr>
          <w:p>
            <w:pPr>
              <w:ind w:left="340"/>
              <w:spacing w:after="0" w:line="153" w:lineRule="exact"/>
              <w:rPr>
                <w:sz w:val="20"/>
                <w:szCs w:val="20"/>
                <w:color w:val="auto"/>
              </w:rPr>
            </w:pPr>
            <w:r>
              <w:rPr>
                <w:rFonts w:ascii="Arial" w:cs="Arial" w:eastAsia="Arial" w:hAnsi="Arial"/>
                <w:sz w:val="15"/>
                <w:szCs w:val="15"/>
                <w:color w:val="auto"/>
              </w:rPr>
              <w:t>Total stockholders’ equity</w:t>
            </w:r>
          </w:p>
        </w:tc>
        <w:tc>
          <w:tcPr>
            <w:tcW w:w="17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22,894</w:t>
            </w:r>
          </w:p>
        </w:tc>
        <w:tc>
          <w:tcPr>
            <w:tcW w:w="1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30,737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380" w:type="dxa"/>
            <w:vAlign w:val="bottom"/>
            <w:tcBorders>
              <w:bottom w:val="single" w:sz="8" w:color="CCEEFF"/>
            </w:tcBorders>
            <w:shd w:val="clear" w:color="auto" w:fill="CCEEFF"/>
          </w:tcPr>
          <w:p>
            <w:pPr>
              <w:ind w:left="340"/>
              <w:spacing w:after="0" w:line="153" w:lineRule="exact"/>
              <w:rPr>
                <w:sz w:val="20"/>
                <w:szCs w:val="20"/>
                <w:color w:val="auto"/>
              </w:rPr>
            </w:pPr>
            <w:r>
              <w:rPr>
                <w:rFonts w:ascii="Arial" w:cs="Arial" w:eastAsia="Arial" w:hAnsi="Arial"/>
                <w:sz w:val="15"/>
                <w:szCs w:val="15"/>
                <w:color w:val="auto"/>
              </w:rPr>
              <w:t>Total liabilities and stockholders’ equity</w:t>
            </w:r>
          </w:p>
        </w:tc>
        <w:tc>
          <w:tcPr>
            <w:tcW w:w="17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747"/>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41,293</w:t>
            </w:r>
          </w:p>
        </w:tc>
        <w:tc>
          <w:tcPr>
            <w:tcW w:w="1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03"/>
              <w:spacing w:after="0" w:line="153"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41,915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9" w:name="page60"/>
    <w:bookmarkEnd w:id="59"/>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PULSE BIOSCIENCES, INC.</w:t>
      </w:r>
    </w:p>
    <w:p>
      <w:pPr>
        <w:jc w:val="center"/>
        <w:spacing w:after="0" w:line="231" w:lineRule="auto"/>
        <w:rPr>
          <w:sz w:val="20"/>
          <w:szCs w:val="20"/>
          <w:color w:val="auto"/>
        </w:rPr>
      </w:pPr>
      <w:r>
        <w:rPr>
          <w:rFonts w:ascii="Arial" w:cs="Arial" w:eastAsia="Arial" w:hAnsi="Arial"/>
          <w:sz w:val="15"/>
          <w:szCs w:val="15"/>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4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Year Ended December 31,</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18"/>
        </w:trPr>
        <w:tc>
          <w:tcPr>
            <w:tcW w:w="648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b w:val="1"/>
                <w:bCs w:val="1"/>
                <w:color w:val="auto"/>
              </w:rPr>
              <w:t>2020</w:t>
            </w:r>
          </w:p>
        </w:tc>
        <w:tc>
          <w:tcPr>
            <w:tcW w:w="56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544"/>
              <w:spacing w:after="0" w:line="118"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544"/>
              <w:spacing w:after="0" w:line="118" w:lineRule="exact"/>
              <w:rPr>
                <w:sz w:val="20"/>
                <w:szCs w:val="20"/>
                <w:color w:val="auto"/>
              </w:rPr>
            </w:pPr>
            <w:r>
              <w:rPr>
                <w:rFonts w:ascii="Arial" w:cs="Arial" w:eastAsia="Arial" w:hAnsi="Arial"/>
                <w:sz w:val="12"/>
                <w:szCs w:val="12"/>
                <w:b w:val="1"/>
                <w:bCs w:val="1"/>
                <w:color w:val="auto"/>
              </w:rPr>
              <w:t>2018</w:t>
            </w:r>
          </w:p>
        </w:tc>
      </w:tr>
      <w:tr>
        <w:trPr>
          <w:trHeight w:val="153"/>
        </w:trPr>
        <w:tc>
          <w:tcPr>
            <w:tcW w:w="64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Revenue</w:t>
            </w:r>
          </w:p>
        </w:tc>
        <w:tc>
          <w:tcPr>
            <w:tcW w:w="90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87"/>
              <w:spacing w:after="0" w:line="153"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03"/>
              <w:spacing w:after="0" w:line="153"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w:t>
            </w:r>
          </w:p>
        </w:tc>
      </w:tr>
      <w:tr>
        <w:trPr>
          <w:trHeight w:val="153"/>
        </w:trPr>
        <w:tc>
          <w:tcPr>
            <w:tcW w:w="6480" w:type="dxa"/>
            <w:vAlign w:val="bottom"/>
          </w:tcPr>
          <w:p>
            <w:pPr>
              <w:spacing w:after="0" w:line="153" w:lineRule="exact"/>
              <w:rPr>
                <w:sz w:val="20"/>
                <w:szCs w:val="20"/>
                <w:color w:val="auto"/>
              </w:rPr>
            </w:pPr>
            <w:r>
              <w:rPr>
                <w:rFonts w:ascii="Arial" w:cs="Arial" w:eastAsia="Arial" w:hAnsi="Arial"/>
                <w:sz w:val="15"/>
                <w:szCs w:val="15"/>
                <w:color w:val="auto"/>
              </w:rPr>
              <w:t>Operating expenses:</w:t>
            </w: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1"/>
        </w:trPr>
        <w:tc>
          <w:tcPr>
            <w:tcW w:w="6480" w:type="dxa"/>
            <w:vAlign w:val="bottom"/>
            <w:shd w:val="clear" w:color="auto" w:fill="CCEEFF"/>
          </w:tcPr>
          <w:p>
            <w:pPr>
              <w:ind w:left="180"/>
              <w:spacing w:after="0" w:line="161" w:lineRule="exact"/>
              <w:rPr>
                <w:sz w:val="20"/>
                <w:szCs w:val="20"/>
                <w:color w:val="auto"/>
              </w:rPr>
            </w:pPr>
            <w:r>
              <w:rPr>
                <w:rFonts w:ascii="Arial" w:cs="Arial" w:eastAsia="Arial" w:hAnsi="Arial"/>
                <w:sz w:val="15"/>
                <w:szCs w:val="15"/>
                <w:color w:val="auto"/>
              </w:rPr>
              <w:t>General and administrative</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22,856</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22,327</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20,045</w:t>
            </w:r>
          </w:p>
        </w:tc>
      </w:tr>
      <w:tr>
        <w:trPr>
          <w:trHeight w:val="161"/>
        </w:trPr>
        <w:tc>
          <w:tcPr>
            <w:tcW w:w="6480" w:type="dxa"/>
            <w:vAlign w:val="bottom"/>
          </w:tcPr>
          <w:p>
            <w:pPr>
              <w:ind w:left="180"/>
              <w:spacing w:after="0" w:line="161" w:lineRule="exact"/>
              <w:rPr>
                <w:sz w:val="20"/>
                <w:szCs w:val="20"/>
                <w:color w:val="auto"/>
              </w:rPr>
            </w:pPr>
            <w:r>
              <w:rPr>
                <w:rFonts w:ascii="Arial" w:cs="Arial" w:eastAsia="Arial" w:hAnsi="Arial"/>
                <w:sz w:val="15"/>
                <w:szCs w:val="15"/>
                <w:color w:val="auto"/>
              </w:rPr>
              <w:t>Research and development</w:t>
            </w:r>
          </w:p>
        </w:tc>
        <w:tc>
          <w:tcPr>
            <w:tcW w:w="900" w:type="dxa"/>
            <w:vAlign w:val="bottom"/>
          </w:tcPr>
          <w:p>
            <w:pPr>
              <w:spacing w:after="0"/>
              <w:rPr>
                <w:sz w:val="14"/>
                <w:szCs w:val="14"/>
                <w:color w:val="auto"/>
              </w:rPr>
            </w:pPr>
          </w:p>
        </w:tc>
        <w:tc>
          <w:tcPr>
            <w:tcW w:w="560" w:type="dxa"/>
            <w:vAlign w:val="bottom"/>
          </w:tcPr>
          <w:p>
            <w:pPr>
              <w:jc w:val="right"/>
              <w:spacing w:after="0" w:line="161" w:lineRule="exact"/>
              <w:rPr>
                <w:sz w:val="20"/>
                <w:szCs w:val="20"/>
                <w:color w:val="auto"/>
              </w:rPr>
            </w:pPr>
            <w:r>
              <w:rPr>
                <w:rFonts w:ascii="Arial" w:cs="Arial" w:eastAsia="Arial" w:hAnsi="Arial"/>
                <w:sz w:val="15"/>
                <w:szCs w:val="15"/>
                <w:color w:val="auto"/>
              </w:rPr>
              <w:t>26,444</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24,961</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17,253</w:t>
            </w:r>
          </w:p>
        </w:tc>
      </w:tr>
      <w:tr>
        <w:trPr>
          <w:trHeight w:val="161"/>
        </w:trPr>
        <w:tc>
          <w:tcPr>
            <w:tcW w:w="6480" w:type="dxa"/>
            <w:vAlign w:val="bottom"/>
            <w:shd w:val="clear" w:color="auto" w:fill="CCEEFF"/>
          </w:tcPr>
          <w:p>
            <w:pPr>
              <w:ind w:left="180"/>
              <w:spacing w:after="0" w:line="161" w:lineRule="exact"/>
              <w:rPr>
                <w:sz w:val="20"/>
                <w:szCs w:val="20"/>
                <w:color w:val="auto"/>
              </w:rPr>
            </w:pPr>
            <w:r>
              <w:rPr>
                <w:rFonts w:ascii="Arial" w:cs="Arial" w:eastAsia="Arial" w:hAnsi="Arial"/>
                <w:sz w:val="15"/>
                <w:szCs w:val="15"/>
                <w:color w:val="auto"/>
              </w:rPr>
              <w:t>Amortization of intangible assets</w:t>
            </w:r>
          </w:p>
        </w:tc>
        <w:tc>
          <w:tcPr>
            <w:tcW w:w="9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665</w:t>
            </w:r>
          </w:p>
        </w:tc>
        <w:tc>
          <w:tcPr>
            <w:tcW w:w="1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666</w:t>
            </w:r>
          </w:p>
        </w:tc>
        <w:tc>
          <w:tcPr>
            <w:tcW w:w="1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665</w:t>
            </w:r>
          </w:p>
        </w:tc>
      </w:tr>
      <w:tr>
        <w:trPr>
          <w:trHeight w:val="153"/>
        </w:trPr>
        <w:tc>
          <w:tcPr>
            <w:tcW w:w="6480" w:type="dxa"/>
            <w:vAlign w:val="bottom"/>
            <w:tcBorders>
              <w:bottom w:val="single" w:sz="8" w:color="CCEEFF"/>
            </w:tcBorders>
          </w:tcPr>
          <w:p>
            <w:pPr>
              <w:spacing w:after="0" w:line="153" w:lineRule="exact"/>
              <w:rPr>
                <w:sz w:val="20"/>
                <w:szCs w:val="20"/>
                <w:color w:val="auto"/>
              </w:rPr>
            </w:pPr>
            <w:r>
              <w:rPr>
                <w:rFonts w:ascii="Arial" w:cs="Arial" w:eastAsia="Arial" w:hAnsi="Arial"/>
                <w:sz w:val="15"/>
                <w:szCs w:val="15"/>
                <w:color w:val="auto"/>
              </w:rPr>
              <w:t>Total operating expenses</w:t>
            </w: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49,965</w:t>
            </w:r>
          </w:p>
        </w:tc>
        <w:tc>
          <w:tcPr>
            <w:tcW w:w="1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47,954</w:t>
            </w:r>
          </w:p>
        </w:tc>
        <w:tc>
          <w:tcPr>
            <w:tcW w:w="1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37,963</w:t>
            </w:r>
          </w:p>
        </w:tc>
      </w:tr>
      <w:tr>
        <w:trPr>
          <w:trHeight w:val="153"/>
        </w:trPr>
        <w:tc>
          <w:tcPr>
            <w:tcW w:w="64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Other income (expense):</w:t>
            </w: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1"/>
        </w:trPr>
        <w:tc>
          <w:tcPr>
            <w:tcW w:w="6480" w:type="dxa"/>
            <w:vAlign w:val="bottom"/>
          </w:tcPr>
          <w:p>
            <w:pPr>
              <w:ind w:left="180"/>
              <w:spacing w:after="0" w:line="161" w:lineRule="exact"/>
              <w:rPr>
                <w:sz w:val="20"/>
                <w:szCs w:val="20"/>
                <w:color w:val="auto"/>
              </w:rPr>
            </w:pPr>
            <w:r>
              <w:rPr>
                <w:rFonts w:ascii="Arial" w:cs="Arial" w:eastAsia="Arial" w:hAnsi="Arial"/>
                <w:sz w:val="15"/>
                <w:szCs w:val="15"/>
                <w:color w:val="auto"/>
              </w:rPr>
              <w:t>Interest income</w:t>
            </w:r>
          </w:p>
        </w:tc>
        <w:tc>
          <w:tcPr>
            <w:tcW w:w="900" w:type="dxa"/>
            <w:vAlign w:val="bottom"/>
          </w:tcPr>
          <w:p>
            <w:pPr>
              <w:spacing w:after="0"/>
              <w:rPr>
                <w:sz w:val="14"/>
                <w:szCs w:val="14"/>
                <w:color w:val="auto"/>
              </w:rPr>
            </w:pPr>
          </w:p>
        </w:tc>
        <w:tc>
          <w:tcPr>
            <w:tcW w:w="560" w:type="dxa"/>
            <w:vAlign w:val="bottom"/>
          </w:tcPr>
          <w:p>
            <w:pPr>
              <w:jc w:val="right"/>
              <w:spacing w:after="0" w:line="161" w:lineRule="exact"/>
              <w:rPr>
                <w:sz w:val="20"/>
                <w:szCs w:val="20"/>
                <w:color w:val="auto"/>
              </w:rPr>
            </w:pPr>
            <w:r>
              <w:rPr>
                <w:rFonts w:ascii="Arial" w:cs="Arial" w:eastAsia="Arial" w:hAnsi="Arial"/>
                <w:sz w:val="15"/>
                <w:szCs w:val="15"/>
                <w:color w:val="auto"/>
              </w:rPr>
              <w:t>114</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983</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446</w:t>
            </w:r>
          </w:p>
        </w:tc>
      </w:tr>
      <w:tr>
        <w:trPr>
          <w:trHeight w:val="161"/>
        </w:trPr>
        <w:tc>
          <w:tcPr>
            <w:tcW w:w="6480" w:type="dxa"/>
            <w:vAlign w:val="bottom"/>
            <w:shd w:val="clear" w:color="auto" w:fill="CCEEFF"/>
          </w:tcPr>
          <w:p>
            <w:pPr>
              <w:ind w:left="180"/>
              <w:spacing w:after="0" w:line="161" w:lineRule="exact"/>
              <w:rPr>
                <w:sz w:val="20"/>
                <w:szCs w:val="20"/>
                <w:color w:val="auto"/>
              </w:rPr>
            </w:pPr>
            <w:r>
              <w:rPr>
                <w:rFonts w:ascii="Arial" w:cs="Arial" w:eastAsia="Arial" w:hAnsi="Arial"/>
                <w:sz w:val="15"/>
                <w:szCs w:val="15"/>
                <w:color w:val="auto"/>
              </w:rPr>
              <w:t>Other expense</w:t>
            </w:r>
          </w:p>
        </w:tc>
        <w:tc>
          <w:tcPr>
            <w:tcW w:w="9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80"/>
              <w:spacing w:after="0" w:line="161" w:lineRule="exact"/>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(28)</w:t>
            </w:r>
          </w:p>
        </w:tc>
      </w:tr>
      <w:tr>
        <w:trPr>
          <w:trHeight w:val="153"/>
        </w:trPr>
        <w:tc>
          <w:tcPr>
            <w:tcW w:w="6480" w:type="dxa"/>
            <w:vAlign w:val="bottom"/>
            <w:tcBorders>
              <w:bottom w:val="single" w:sz="8" w:color="CCEEFF"/>
            </w:tcBorders>
          </w:tcPr>
          <w:p>
            <w:pPr>
              <w:spacing w:after="0" w:line="153" w:lineRule="exact"/>
              <w:rPr>
                <w:sz w:val="20"/>
                <w:szCs w:val="20"/>
                <w:color w:val="auto"/>
              </w:rPr>
            </w:pPr>
            <w:r>
              <w:rPr>
                <w:rFonts w:ascii="Arial" w:cs="Arial" w:eastAsia="Arial" w:hAnsi="Arial"/>
                <w:sz w:val="15"/>
                <w:szCs w:val="15"/>
                <w:color w:val="auto"/>
              </w:rPr>
              <w:t>Total other income</w:t>
            </w:r>
          </w:p>
        </w:tc>
        <w:tc>
          <w:tcPr>
            <w:tcW w:w="9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114</w:t>
            </w:r>
          </w:p>
        </w:tc>
        <w:tc>
          <w:tcPr>
            <w:tcW w:w="1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983</w:t>
            </w:r>
          </w:p>
        </w:tc>
        <w:tc>
          <w:tcPr>
            <w:tcW w:w="16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418</w:t>
            </w:r>
          </w:p>
        </w:tc>
      </w:tr>
      <w:tr>
        <w:trPr>
          <w:trHeight w:val="153"/>
        </w:trPr>
        <w:tc>
          <w:tcPr>
            <w:tcW w:w="64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Loss from operations, before income taxes</w:t>
            </w: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w w:val="96"/>
              </w:rPr>
              <w:t>(49,851)</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(46,971)</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(37,545)</w:t>
            </w:r>
          </w:p>
        </w:tc>
      </w:tr>
      <w:tr>
        <w:trPr>
          <w:trHeight w:val="161"/>
        </w:trPr>
        <w:tc>
          <w:tcPr>
            <w:tcW w:w="6480" w:type="dxa"/>
            <w:vAlign w:val="bottom"/>
          </w:tcPr>
          <w:p>
            <w:pPr>
              <w:ind w:left="180"/>
              <w:spacing w:after="0" w:line="161" w:lineRule="exact"/>
              <w:rPr>
                <w:sz w:val="20"/>
                <w:szCs w:val="20"/>
                <w:color w:val="auto"/>
              </w:rPr>
            </w:pPr>
            <w:r>
              <w:rPr>
                <w:rFonts w:ascii="Arial" w:cs="Arial" w:eastAsia="Arial" w:hAnsi="Arial"/>
                <w:sz w:val="15"/>
                <w:szCs w:val="15"/>
                <w:color w:val="auto"/>
              </w:rPr>
              <w:t>Income tax benefit</w:t>
            </w:r>
          </w:p>
        </w:tc>
        <w:tc>
          <w:tcPr>
            <w:tcW w:w="900" w:type="dxa"/>
            <w:vAlign w:val="bottom"/>
          </w:tcPr>
          <w:p>
            <w:pPr>
              <w:spacing w:after="0"/>
              <w:rPr>
                <w:sz w:val="14"/>
                <w:szCs w:val="14"/>
                <w:color w:val="auto"/>
              </w:rPr>
            </w:pPr>
          </w:p>
        </w:tc>
        <w:tc>
          <w:tcPr>
            <w:tcW w:w="74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13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r>
      <w:tr>
        <w:trPr>
          <w:trHeight w:val="153"/>
        </w:trPr>
        <w:tc>
          <w:tcPr>
            <w:tcW w:w="648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5"/>
                <w:szCs w:val="15"/>
                <w:color w:val="auto"/>
              </w:rPr>
              <w:t>Net loss</w:t>
            </w:r>
          </w:p>
        </w:tc>
        <w:tc>
          <w:tcPr>
            <w:tcW w:w="9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w w:val="96"/>
              </w:rPr>
              <w:t>(49,851)</w:t>
            </w:r>
          </w:p>
        </w:tc>
        <w:tc>
          <w:tcPr>
            <w:tcW w:w="1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(46,971)</w:t>
            </w:r>
          </w:p>
        </w:tc>
        <w:tc>
          <w:tcPr>
            <w:tcW w:w="1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(37,545)</w:t>
            </w:r>
          </w:p>
        </w:tc>
      </w:tr>
      <w:tr>
        <w:trPr>
          <w:trHeight w:val="161"/>
        </w:trPr>
        <w:tc>
          <w:tcPr>
            <w:tcW w:w="6480" w:type="dxa"/>
            <w:vAlign w:val="bottom"/>
          </w:tcPr>
          <w:p>
            <w:pPr>
              <w:spacing w:after="0" w:line="161" w:lineRule="exact"/>
              <w:rPr>
                <w:sz w:val="20"/>
                <w:szCs w:val="20"/>
                <w:color w:val="auto"/>
              </w:rPr>
            </w:pPr>
            <w:r>
              <w:rPr>
                <w:rFonts w:ascii="Arial" w:cs="Arial" w:eastAsia="Arial" w:hAnsi="Arial"/>
                <w:sz w:val="15"/>
                <w:szCs w:val="15"/>
                <w:color w:val="auto"/>
              </w:rPr>
              <w:t>Other comprehensive loss:</w:t>
            </w: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6480" w:type="dxa"/>
            <w:vAlign w:val="bottom"/>
            <w:shd w:val="clear" w:color="auto" w:fill="CCEEFF"/>
          </w:tcPr>
          <w:p>
            <w:pPr>
              <w:ind w:left="180"/>
              <w:spacing w:after="0" w:line="161" w:lineRule="exact"/>
              <w:rPr>
                <w:sz w:val="20"/>
                <w:szCs w:val="20"/>
                <w:color w:val="auto"/>
              </w:rPr>
            </w:pPr>
            <w:r>
              <w:rPr>
                <w:rFonts w:ascii="Arial" w:cs="Arial" w:eastAsia="Arial" w:hAnsi="Arial"/>
                <w:sz w:val="15"/>
                <w:szCs w:val="15"/>
                <w:color w:val="auto"/>
              </w:rPr>
              <w:t>Unrealized gain (loss) on available-for-sale securities, net of tax</w:t>
            </w:r>
          </w:p>
        </w:tc>
        <w:tc>
          <w:tcPr>
            <w:tcW w:w="9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w:t>
            </w:r>
          </w:p>
        </w:tc>
        <w:tc>
          <w:tcPr>
            <w:tcW w:w="1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50</w:t>
            </w:r>
          </w:p>
        </w:tc>
      </w:tr>
      <w:tr>
        <w:trPr>
          <w:trHeight w:val="193"/>
        </w:trPr>
        <w:tc>
          <w:tcPr>
            <w:tcW w:w="6480" w:type="dxa"/>
            <w:vAlign w:val="bottom"/>
            <w:tcBorders>
              <w:bottom w:val="single" w:sz="8" w:color="CCEEFF"/>
            </w:tcBorders>
          </w:tcPr>
          <w:p>
            <w:pPr>
              <w:spacing w:after="0" w:line="153" w:lineRule="exact"/>
              <w:rPr>
                <w:sz w:val="20"/>
                <w:szCs w:val="20"/>
                <w:color w:val="auto"/>
              </w:rPr>
            </w:pPr>
            <w:r>
              <w:rPr>
                <w:rFonts w:ascii="Arial" w:cs="Arial" w:eastAsia="Arial" w:hAnsi="Arial"/>
                <w:sz w:val="15"/>
                <w:szCs w:val="15"/>
                <w:color w:val="auto"/>
              </w:rPr>
              <w:t>Comprehensive loss</w:t>
            </w:r>
          </w:p>
        </w:tc>
        <w:tc>
          <w:tcPr>
            <w:tcW w:w="900" w:type="dxa"/>
            <w:vAlign w:val="bottom"/>
            <w:tcBorders>
              <w:bottom w:val="single" w:sz="8" w:color="auto"/>
            </w:tcBorders>
          </w:tcPr>
          <w:p>
            <w:pPr>
              <w:jc w:val="right"/>
              <w:ind w:right="78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w w:val="96"/>
              </w:rPr>
              <w:t>(49,856)</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7"/>
              <w:spacing w:after="0" w:line="153"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(46,966)</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03"/>
              <w:spacing w:after="0" w:line="153"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(37,495)</w:t>
            </w:r>
          </w:p>
        </w:tc>
      </w:tr>
      <w:tr>
        <w:trPr>
          <w:trHeight w:val="136"/>
        </w:trPr>
        <w:tc>
          <w:tcPr>
            <w:tcW w:w="6480" w:type="dxa"/>
            <w:vAlign w:val="bottom"/>
            <w:shd w:val="clear" w:color="auto" w:fill="CCEEFF"/>
          </w:tcPr>
          <w:p>
            <w:pPr>
              <w:spacing w:after="0" w:line="136" w:lineRule="exact"/>
              <w:rPr>
                <w:sz w:val="20"/>
                <w:szCs w:val="20"/>
                <w:color w:val="auto"/>
              </w:rPr>
            </w:pPr>
            <w:r>
              <w:rPr>
                <w:rFonts w:ascii="Arial" w:cs="Arial" w:eastAsia="Arial" w:hAnsi="Arial"/>
                <w:sz w:val="15"/>
                <w:szCs w:val="15"/>
                <w:color w:val="auto"/>
              </w:rPr>
              <w:t>Net loss per share:</w:t>
            </w:r>
          </w:p>
        </w:tc>
        <w:tc>
          <w:tcPr>
            <w:tcW w:w="9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01"/>
        </w:trPr>
        <w:tc>
          <w:tcPr>
            <w:tcW w:w="648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color w:val="auto"/>
              </w:rPr>
              <w:t>Basic and diluted net loss per share</w:t>
            </w:r>
          </w:p>
        </w:tc>
        <w:tc>
          <w:tcPr>
            <w:tcW w:w="900" w:type="dxa"/>
            <w:vAlign w:val="bottom"/>
            <w:tcBorders>
              <w:bottom w:val="single" w:sz="8" w:color="auto"/>
            </w:tcBorders>
          </w:tcPr>
          <w:p>
            <w:pPr>
              <w:jc w:val="right"/>
              <w:ind w:right="78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(2.14)</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87"/>
              <w:spacing w:after="0" w:line="161"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(2.26)</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203"/>
              <w:spacing w:after="0" w:line="161"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(2.20)</w:t>
            </w:r>
          </w:p>
        </w:tc>
      </w:tr>
      <w:tr>
        <w:trPr>
          <w:trHeight w:val="136"/>
        </w:trPr>
        <w:tc>
          <w:tcPr>
            <w:tcW w:w="648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5"/>
                <w:szCs w:val="15"/>
                <w:color w:val="auto"/>
              </w:rPr>
              <w:t>Weighted average shares used to compute net loss per common share — basic and diluted</w:t>
            </w:r>
          </w:p>
        </w:tc>
        <w:tc>
          <w:tcPr>
            <w:tcW w:w="9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5"/>
                <w:szCs w:val="15"/>
                <w:color w:val="auto"/>
              </w:rPr>
              <w:t>23,248</w:t>
            </w:r>
          </w:p>
        </w:tc>
        <w:tc>
          <w:tcPr>
            <w:tcW w:w="1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5"/>
                <w:szCs w:val="15"/>
                <w:color w:val="auto"/>
              </w:rPr>
              <w:t>20,746</w:t>
            </w:r>
          </w:p>
        </w:tc>
        <w:tc>
          <w:tcPr>
            <w:tcW w:w="1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5"/>
                <w:szCs w:val="15"/>
                <w:color w:val="auto"/>
              </w:rPr>
              <w:t>17,078</w:t>
            </w:r>
          </w:p>
        </w:tc>
      </w:tr>
      <w:tr>
        <w:trPr>
          <w:trHeight w:val="20"/>
        </w:trPr>
        <w:tc>
          <w:tcPr>
            <w:tcW w:w="6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60" w:name="page61"/>
    <w:bookmarkEnd w:id="60"/>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PULSE BIOSCIENCES,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amount)</w:t>
      </w:r>
    </w:p>
    <w:p>
      <w:pPr>
        <w:sectPr>
          <w:pgSz w:w="11900" w:h="16838" w:orient="portrait"/>
          <w:cols w:equalWidth="0" w:num="1">
            <w:col w:w="11260"/>
          </w:cols>
          <w:pgMar w:left="320" w:top="112" w:right="319" w:bottom="1440" w:gutter="0" w:footer="0" w:header="0"/>
        </w:sect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680" w:type="dxa"/>
            <w:vAlign w:val="bottom"/>
          </w:tcPr>
          <w:p>
            <w:pPr>
              <w:spacing w:after="0"/>
              <w:rPr>
                <w:sz w:val="12"/>
                <w:szCs w:val="12"/>
                <w:color w:val="auto"/>
              </w:rPr>
            </w:pPr>
          </w:p>
        </w:tc>
        <w:tc>
          <w:tcPr>
            <w:tcW w:w="2000" w:type="dxa"/>
            <w:vAlign w:val="bottom"/>
            <w:gridSpan w:val="6"/>
          </w:tcPr>
          <w:p>
            <w:pPr>
              <w:ind w:left="560"/>
              <w:spacing w:after="0"/>
              <w:rPr>
                <w:sz w:val="20"/>
                <w:szCs w:val="20"/>
                <w:color w:val="auto"/>
              </w:rPr>
            </w:pPr>
            <w:r>
              <w:rPr>
                <w:rFonts w:ascii="Arial" w:cs="Arial" w:eastAsia="Arial" w:hAnsi="Arial"/>
                <w:sz w:val="12"/>
                <w:szCs w:val="12"/>
                <w:b w:val="1"/>
                <w:bCs w:val="1"/>
                <w:color w:val="auto"/>
              </w:rPr>
              <w:t>Common Stock</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680" w:type="dxa"/>
            <w:vAlign w:val="bottom"/>
            <w:vMerge w:val="restart"/>
          </w:tcPr>
          <w:p>
            <w:pPr>
              <w:spacing w:after="0"/>
              <w:rPr>
                <w:sz w:val="20"/>
                <w:szCs w:val="20"/>
                <w:color w:val="auto"/>
              </w:rPr>
            </w:pPr>
            <w:r>
              <w:rPr>
                <w:rFonts w:ascii="Arial" w:cs="Arial" w:eastAsia="Arial" w:hAnsi="Arial"/>
                <w:sz w:val="12"/>
                <w:szCs w:val="12"/>
                <w:color w:val="auto"/>
              </w:rPr>
              <w:t>Balance, December 31, 2017</w:t>
            </w:r>
          </w:p>
        </w:tc>
        <w:tc>
          <w:tcPr>
            <w:tcW w:w="1060" w:type="dxa"/>
            <w:vAlign w:val="bottom"/>
            <w:tcBorders>
              <w:top w:val="single" w:sz="8" w:color="auto"/>
            </w:tcBorders>
            <w:gridSpan w:val="2"/>
          </w:tcPr>
          <w:p>
            <w:pPr>
              <w:ind w:left="280"/>
              <w:spacing w:after="0" w:line="118" w:lineRule="exact"/>
              <w:rPr>
                <w:sz w:val="20"/>
                <w:szCs w:val="20"/>
                <w:color w:val="auto"/>
              </w:rPr>
            </w:pPr>
            <w:r>
              <w:rPr>
                <w:rFonts w:ascii="Arial" w:cs="Arial" w:eastAsia="Arial" w:hAnsi="Arial"/>
                <w:sz w:val="12"/>
                <w:szCs w:val="12"/>
                <w:b w:val="1"/>
                <w:bCs w:val="1"/>
                <w:color w:val="auto"/>
              </w:rPr>
              <w:t>Shares</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59"/>
              <w:spacing w:after="0" w:line="118"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3"/>
        </w:trPr>
        <w:tc>
          <w:tcPr>
            <w:tcW w:w="3680" w:type="dxa"/>
            <w:vAlign w:val="bottom"/>
            <w:vMerge w:val="continue"/>
          </w:tcPr>
          <w:p>
            <w:pPr>
              <w:spacing w:after="0"/>
              <w:rPr>
                <w:sz w:val="8"/>
                <w:szCs w:val="8"/>
                <w:color w:val="auto"/>
              </w:rPr>
            </w:pPr>
          </w:p>
        </w:tc>
        <w:tc>
          <w:tcPr>
            <w:tcW w:w="90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color w:val="auto"/>
              </w:rPr>
              <w:t>16,819</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color w:val="auto"/>
              </w:rPr>
              <w:t>17</w:t>
            </w:r>
          </w:p>
        </w:tc>
        <w:tc>
          <w:tcPr>
            <w:tcW w:w="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Issuance of common stock in a rights offering at $12.57 per share for</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cash, net of issuance cost of $213</w:t>
            </w:r>
          </w:p>
        </w:tc>
        <w:tc>
          <w:tcPr>
            <w:tcW w:w="900" w:type="dxa"/>
            <w:vAlign w:val="bottom"/>
          </w:tcPr>
          <w:p>
            <w:pPr>
              <w:jc w:val="right"/>
              <w:spacing w:after="0" w:line="127" w:lineRule="exact"/>
              <w:rPr>
                <w:sz w:val="20"/>
                <w:szCs w:val="20"/>
                <w:color w:val="auto"/>
              </w:rPr>
            </w:pPr>
            <w:r>
              <w:rPr>
                <w:rFonts w:ascii="Arial" w:cs="Arial" w:eastAsia="Arial" w:hAnsi="Arial"/>
                <w:sz w:val="12"/>
                <w:szCs w:val="12"/>
                <w:color w:val="auto"/>
              </w:rPr>
              <w:t>3,581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left="519"/>
              <w:spacing w:after="0" w:line="127" w:lineRule="exact"/>
              <w:rPr>
                <w:sz w:val="20"/>
                <w:szCs w:val="20"/>
                <w:color w:val="auto"/>
              </w:rPr>
            </w:pPr>
            <w:r>
              <w:rPr>
                <w:rFonts w:ascii="Arial" w:cs="Arial" w:eastAsia="Arial" w:hAnsi="Arial"/>
                <w:sz w:val="12"/>
                <w:szCs w:val="12"/>
                <w:color w:val="auto"/>
                <w:w w:val="89"/>
              </w:rPr>
              <w:t>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Issuance of shares upon exercise of warrants</w:t>
            </w:r>
          </w:p>
        </w:tc>
        <w:tc>
          <w:tcPr>
            <w:tcW w:w="900" w:type="dxa"/>
            <w:vAlign w:val="bottom"/>
          </w:tcPr>
          <w:p>
            <w:pPr>
              <w:jc w:val="right"/>
              <w:spacing w:after="0" w:line="127" w:lineRule="exact"/>
              <w:rPr>
                <w:sz w:val="20"/>
                <w:szCs w:val="20"/>
                <w:color w:val="auto"/>
              </w:rPr>
            </w:pPr>
            <w:r>
              <w:rPr>
                <w:rFonts w:ascii="Arial" w:cs="Arial" w:eastAsia="Arial" w:hAnsi="Arial"/>
                <w:sz w:val="12"/>
                <w:szCs w:val="12"/>
                <w:color w:val="auto"/>
              </w:rPr>
              <w:t>24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459"/>
              <w:spacing w:after="0" w:line="127"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Issuance of shares upon exercise of stock options</w:t>
            </w:r>
          </w:p>
        </w:tc>
        <w:tc>
          <w:tcPr>
            <w:tcW w:w="900" w:type="dxa"/>
            <w:vAlign w:val="bottom"/>
          </w:tcPr>
          <w:p>
            <w:pPr>
              <w:jc w:val="right"/>
              <w:spacing w:after="0" w:line="127" w:lineRule="exact"/>
              <w:rPr>
                <w:sz w:val="20"/>
                <w:szCs w:val="20"/>
                <w:color w:val="auto"/>
              </w:rPr>
            </w:pPr>
            <w:r>
              <w:rPr>
                <w:rFonts w:ascii="Arial" w:cs="Arial" w:eastAsia="Arial" w:hAnsi="Arial"/>
                <w:sz w:val="12"/>
                <w:szCs w:val="12"/>
                <w:color w:val="auto"/>
              </w:rPr>
              <w:t>145</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459"/>
              <w:spacing w:after="0" w:line="127"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Issuance of shares under employee stock purchase plan</w:t>
            </w:r>
          </w:p>
        </w:tc>
        <w:tc>
          <w:tcPr>
            <w:tcW w:w="900" w:type="dxa"/>
            <w:vAlign w:val="bottom"/>
          </w:tcPr>
          <w:p>
            <w:pPr>
              <w:jc w:val="right"/>
              <w:spacing w:after="0" w:line="127" w:lineRule="exact"/>
              <w:rPr>
                <w:sz w:val="20"/>
                <w:szCs w:val="20"/>
                <w:color w:val="auto"/>
              </w:rPr>
            </w:pPr>
            <w:r>
              <w:rPr>
                <w:rFonts w:ascii="Arial" w:cs="Arial" w:eastAsia="Arial" w:hAnsi="Arial"/>
                <w:sz w:val="12"/>
                <w:szCs w:val="12"/>
                <w:color w:val="auto"/>
              </w:rPr>
              <w:t>24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459"/>
              <w:spacing w:after="0" w:line="127"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Stock-based compensation expense</w:t>
            </w:r>
          </w:p>
        </w:tc>
        <w:tc>
          <w:tcPr>
            <w:tcW w:w="1060" w:type="dxa"/>
            <w:vAlign w:val="bottom"/>
            <w:gridSpan w:val="2"/>
          </w:tcPr>
          <w:p>
            <w:pPr>
              <w:ind w:left="78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459"/>
              <w:spacing w:after="0" w:line="127"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Tax payments related to shares withheld for vested restricted stock</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units</w:t>
            </w:r>
          </w:p>
        </w:tc>
        <w:tc>
          <w:tcPr>
            <w:tcW w:w="1060" w:type="dxa"/>
            <w:vAlign w:val="bottom"/>
            <w:gridSpan w:val="2"/>
          </w:tcPr>
          <w:p>
            <w:pPr>
              <w:ind w:left="78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459"/>
              <w:spacing w:after="0" w:line="127"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Unrealized gain on available-for-sale securities</w:t>
            </w:r>
          </w:p>
        </w:tc>
        <w:tc>
          <w:tcPr>
            <w:tcW w:w="1060" w:type="dxa"/>
            <w:vAlign w:val="bottom"/>
            <w:gridSpan w:val="2"/>
          </w:tcPr>
          <w:p>
            <w:pPr>
              <w:ind w:left="78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459"/>
              <w:spacing w:after="0" w:line="127"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680" w:type="dxa"/>
            <w:vAlign w:val="bottom"/>
          </w:tcPr>
          <w:p>
            <w:pPr>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left="459"/>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680" w:type="dxa"/>
            <w:vAlign w:val="bottom"/>
          </w:tcPr>
          <w:p>
            <w:pPr>
              <w:spacing w:after="0" w:line="103" w:lineRule="exact"/>
              <w:rPr>
                <w:sz w:val="20"/>
                <w:szCs w:val="20"/>
                <w:color w:val="auto"/>
              </w:rPr>
            </w:pPr>
            <w:r>
              <w:rPr>
                <w:rFonts w:ascii="Arial" w:cs="Arial" w:eastAsia="Arial" w:hAnsi="Arial"/>
                <w:sz w:val="11"/>
                <w:szCs w:val="11"/>
                <w:color w:val="auto"/>
              </w:rPr>
              <w:t>Balance, December 31, 2018</w:t>
            </w:r>
          </w:p>
        </w:tc>
        <w:tc>
          <w:tcPr>
            <w:tcW w:w="90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color w:val="auto"/>
              </w:rPr>
              <w:t>20,593</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color w:val="auto"/>
              </w:rPr>
              <w:t>21</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Issuance of shares upon exercise of warrants</w:t>
            </w:r>
          </w:p>
        </w:tc>
        <w:tc>
          <w:tcPr>
            <w:tcW w:w="900" w:type="dxa"/>
            <w:vAlign w:val="bottom"/>
          </w:tcPr>
          <w:p>
            <w:pPr>
              <w:jc w:val="right"/>
              <w:spacing w:after="0" w:line="127" w:lineRule="exact"/>
              <w:rPr>
                <w:sz w:val="20"/>
                <w:szCs w:val="20"/>
                <w:color w:val="auto"/>
              </w:rPr>
            </w:pPr>
            <w:r>
              <w:rPr>
                <w:rFonts w:ascii="Arial" w:cs="Arial" w:eastAsia="Arial" w:hAnsi="Arial"/>
                <w:sz w:val="12"/>
                <w:szCs w:val="12"/>
                <w:color w:val="auto"/>
              </w:rPr>
              <w:t>37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459"/>
              <w:spacing w:after="0" w:line="127"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Issuance of shares upon exercise of stock options</w:t>
            </w:r>
          </w:p>
        </w:tc>
        <w:tc>
          <w:tcPr>
            <w:tcW w:w="900" w:type="dxa"/>
            <w:vAlign w:val="bottom"/>
          </w:tcPr>
          <w:p>
            <w:pPr>
              <w:jc w:val="right"/>
              <w:spacing w:after="0" w:line="127" w:lineRule="exact"/>
              <w:rPr>
                <w:sz w:val="20"/>
                <w:szCs w:val="20"/>
                <w:color w:val="auto"/>
              </w:rPr>
            </w:pPr>
            <w:r>
              <w:rPr>
                <w:rFonts w:ascii="Arial" w:cs="Arial" w:eastAsia="Arial" w:hAnsi="Arial"/>
                <w:sz w:val="12"/>
                <w:szCs w:val="12"/>
                <w:color w:val="auto"/>
              </w:rPr>
              <w:t>99</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459"/>
              <w:spacing w:after="0" w:line="127"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Issuance of shares under employee stock purchase plan</w:t>
            </w:r>
          </w:p>
        </w:tc>
        <w:tc>
          <w:tcPr>
            <w:tcW w:w="900" w:type="dxa"/>
            <w:vAlign w:val="bottom"/>
          </w:tcPr>
          <w:p>
            <w:pPr>
              <w:jc w:val="right"/>
              <w:spacing w:after="0" w:line="127" w:lineRule="exact"/>
              <w:rPr>
                <w:sz w:val="20"/>
                <w:szCs w:val="20"/>
                <w:color w:val="auto"/>
              </w:rPr>
            </w:pPr>
            <w:r>
              <w:rPr>
                <w:rFonts w:ascii="Arial" w:cs="Arial" w:eastAsia="Arial" w:hAnsi="Arial"/>
                <w:sz w:val="12"/>
                <w:szCs w:val="12"/>
                <w:color w:val="auto"/>
              </w:rPr>
              <w:t>38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459"/>
              <w:spacing w:after="0" w:line="127"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Issuance of shares on vesting of restricted stock units</w:t>
            </w:r>
          </w:p>
        </w:tc>
        <w:tc>
          <w:tcPr>
            <w:tcW w:w="900" w:type="dxa"/>
            <w:vAlign w:val="bottom"/>
          </w:tcPr>
          <w:p>
            <w:pPr>
              <w:jc w:val="right"/>
              <w:spacing w:after="0" w:line="127" w:lineRule="exact"/>
              <w:rPr>
                <w:sz w:val="20"/>
                <w:szCs w:val="20"/>
                <w:color w:val="auto"/>
              </w:rPr>
            </w:pPr>
            <w:r>
              <w:rPr>
                <w:rFonts w:ascii="Arial" w:cs="Arial" w:eastAsia="Arial" w:hAnsi="Arial"/>
                <w:sz w:val="12"/>
                <w:szCs w:val="12"/>
                <w:color w:val="auto"/>
              </w:rPr>
              <w:t>58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459"/>
              <w:spacing w:after="0" w:line="127"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Stock-based compensation expense</w:t>
            </w:r>
          </w:p>
        </w:tc>
        <w:tc>
          <w:tcPr>
            <w:tcW w:w="1060" w:type="dxa"/>
            <w:vAlign w:val="bottom"/>
            <w:gridSpan w:val="2"/>
          </w:tcPr>
          <w:p>
            <w:pPr>
              <w:ind w:left="78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459"/>
              <w:spacing w:after="0" w:line="127"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Tax payments related to shares withheld for vested restricted stock</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units</w:t>
            </w:r>
          </w:p>
        </w:tc>
        <w:tc>
          <w:tcPr>
            <w:tcW w:w="1060" w:type="dxa"/>
            <w:vAlign w:val="bottom"/>
            <w:gridSpan w:val="2"/>
          </w:tcPr>
          <w:p>
            <w:pPr>
              <w:ind w:left="78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459"/>
              <w:spacing w:after="0" w:line="127"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Unrealized gain on available-for-sale securities</w:t>
            </w:r>
          </w:p>
        </w:tc>
        <w:tc>
          <w:tcPr>
            <w:tcW w:w="1060" w:type="dxa"/>
            <w:vAlign w:val="bottom"/>
            <w:gridSpan w:val="2"/>
          </w:tcPr>
          <w:p>
            <w:pPr>
              <w:ind w:left="78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459"/>
              <w:spacing w:after="0" w:line="127"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680" w:type="dxa"/>
            <w:vAlign w:val="bottom"/>
          </w:tcPr>
          <w:p>
            <w:pPr>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left="459"/>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680" w:type="dxa"/>
            <w:vAlign w:val="bottom"/>
          </w:tcPr>
          <w:p>
            <w:pPr>
              <w:spacing w:after="0" w:line="103" w:lineRule="exact"/>
              <w:rPr>
                <w:sz w:val="20"/>
                <w:szCs w:val="20"/>
                <w:color w:val="auto"/>
              </w:rPr>
            </w:pPr>
            <w:r>
              <w:rPr>
                <w:rFonts w:ascii="Arial" w:cs="Arial" w:eastAsia="Arial" w:hAnsi="Arial"/>
                <w:sz w:val="11"/>
                <w:szCs w:val="11"/>
                <w:color w:val="auto"/>
              </w:rPr>
              <w:t>Balance, December 31, 2019</w:t>
            </w:r>
          </w:p>
        </w:tc>
        <w:tc>
          <w:tcPr>
            <w:tcW w:w="90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color w:val="auto"/>
              </w:rPr>
              <w:t>20,825</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color w:val="auto"/>
              </w:rPr>
              <w:t>21</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Issuance of common stock upon exercise of stock options</w:t>
            </w:r>
          </w:p>
        </w:tc>
        <w:tc>
          <w:tcPr>
            <w:tcW w:w="900" w:type="dxa"/>
            <w:vAlign w:val="bottom"/>
          </w:tcPr>
          <w:p>
            <w:pPr>
              <w:jc w:val="right"/>
              <w:spacing w:after="0" w:line="127" w:lineRule="exact"/>
              <w:rPr>
                <w:sz w:val="20"/>
                <w:szCs w:val="20"/>
                <w:color w:val="auto"/>
              </w:rPr>
            </w:pPr>
            <w:r>
              <w:rPr>
                <w:rFonts w:ascii="Arial" w:cs="Arial" w:eastAsia="Arial" w:hAnsi="Arial"/>
                <w:sz w:val="12"/>
                <w:szCs w:val="12"/>
                <w:color w:val="auto"/>
              </w:rPr>
              <w:t>175</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459"/>
              <w:spacing w:after="0" w:line="127"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Issuance of shares under employee stock purchase plan</w:t>
            </w:r>
          </w:p>
        </w:tc>
        <w:tc>
          <w:tcPr>
            <w:tcW w:w="900" w:type="dxa"/>
            <w:vAlign w:val="bottom"/>
          </w:tcPr>
          <w:p>
            <w:pPr>
              <w:jc w:val="right"/>
              <w:spacing w:after="0" w:line="127" w:lineRule="exact"/>
              <w:rPr>
                <w:sz w:val="20"/>
                <w:szCs w:val="20"/>
                <w:color w:val="auto"/>
              </w:rPr>
            </w:pPr>
            <w:r>
              <w:rPr>
                <w:rFonts w:ascii="Arial" w:cs="Arial" w:eastAsia="Arial" w:hAnsi="Arial"/>
                <w:sz w:val="12"/>
                <w:szCs w:val="12"/>
                <w:color w:val="auto"/>
              </w:rPr>
              <w:t>83</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459"/>
              <w:spacing w:after="0" w:line="127"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Issuance of shares upon exercise of warrants</w:t>
            </w:r>
          </w:p>
        </w:tc>
        <w:tc>
          <w:tcPr>
            <w:tcW w:w="900" w:type="dxa"/>
            <w:vAlign w:val="bottom"/>
          </w:tcPr>
          <w:p>
            <w:pPr>
              <w:jc w:val="right"/>
              <w:spacing w:after="0" w:line="127" w:lineRule="exact"/>
              <w:rPr>
                <w:sz w:val="20"/>
                <w:szCs w:val="20"/>
                <w:color w:val="auto"/>
              </w:rPr>
            </w:pPr>
            <w:r>
              <w:rPr>
                <w:rFonts w:ascii="Arial" w:cs="Arial" w:eastAsia="Arial" w:hAnsi="Arial"/>
                <w:sz w:val="12"/>
                <w:szCs w:val="12"/>
                <w:color w:val="auto"/>
              </w:rPr>
              <w:t>187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459"/>
              <w:spacing w:after="0" w:line="127"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Issuance of common stock and warrants in connection with rights</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offering at $7.01 per unit, net of issuance cost of $565</w:t>
            </w:r>
          </w:p>
        </w:tc>
        <w:tc>
          <w:tcPr>
            <w:tcW w:w="900" w:type="dxa"/>
            <w:vAlign w:val="bottom"/>
          </w:tcPr>
          <w:p>
            <w:pPr>
              <w:jc w:val="right"/>
              <w:spacing w:after="0" w:line="127" w:lineRule="exact"/>
              <w:rPr>
                <w:sz w:val="20"/>
                <w:szCs w:val="20"/>
                <w:color w:val="auto"/>
              </w:rPr>
            </w:pPr>
            <w:r>
              <w:rPr>
                <w:rFonts w:ascii="Arial" w:cs="Arial" w:eastAsia="Arial" w:hAnsi="Arial"/>
                <w:sz w:val="12"/>
                <w:szCs w:val="12"/>
                <w:color w:val="auto"/>
              </w:rPr>
              <w:t>4,280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left="519"/>
              <w:spacing w:after="0" w:line="127" w:lineRule="exact"/>
              <w:rPr>
                <w:sz w:val="20"/>
                <w:szCs w:val="20"/>
                <w:color w:val="auto"/>
              </w:rPr>
            </w:pPr>
            <w:r>
              <w:rPr>
                <w:rFonts w:ascii="Arial" w:cs="Arial" w:eastAsia="Arial" w:hAnsi="Arial"/>
                <w:sz w:val="12"/>
                <w:szCs w:val="12"/>
                <w:color w:val="auto"/>
                <w:w w:val="89"/>
              </w:rPr>
              <w:t>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Stock-based compensation expense</w:t>
            </w:r>
          </w:p>
        </w:tc>
        <w:tc>
          <w:tcPr>
            <w:tcW w:w="1060" w:type="dxa"/>
            <w:vAlign w:val="bottom"/>
            <w:gridSpan w:val="2"/>
          </w:tcPr>
          <w:p>
            <w:pPr>
              <w:ind w:left="78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459"/>
              <w:spacing w:after="0" w:line="127"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line="127" w:lineRule="exact"/>
              <w:rPr>
                <w:sz w:val="20"/>
                <w:szCs w:val="20"/>
                <w:color w:val="auto"/>
              </w:rPr>
            </w:pPr>
            <w:r>
              <w:rPr>
                <w:rFonts w:ascii="Arial" w:cs="Arial" w:eastAsia="Arial" w:hAnsi="Arial"/>
                <w:sz w:val="12"/>
                <w:szCs w:val="12"/>
                <w:color w:val="auto"/>
              </w:rPr>
              <w:t>Unrealized loss on marketable investments, net of tax</w:t>
            </w:r>
          </w:p>
        </w:tc>
        <w:tc>
          <w:tcPr>
            <w:tcW w:w="1060" w:type="dxa"/>
            <w:vAlign w:val="bottom"/>
            <w:gridSpan w:val="2"/>
          </w:tcPr>
          <w:p>
            <w:pPr>
              <w:ind w:left="78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459"/>
              <w:spacing w:after="0" w:line="127"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680" w:type="dxa"/>
            <w:vAlign w:val="bottom"/>
          </w:tcPr>
          <w:p>
            <w:pPr>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left="459"/>
              <w:spacing w:after="0"/>
              <w:rPr>
                <w:sz w:val="20"/>
                <w:szCs w:val="20"/>
                <w:color w:val="auto"/>
              </w:rPr>
            </w:pPr>
            <w:r>
              <w:rPr>
                <w:rFonts w:ascii="Arial" w:cs="Arial" w:eastAsia="Arial" w:hAnsi="Arial"/>
                <w:sz w:val="12"/>
                <w:szCs w:val="12"/>
                <w:color w:val="auto"/>
                <w:w w:val="99"/>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3680" w:type="dxa"/>
            <w:vAlign w:val="bottom"/>
          </w:tcPr>
          <w:p>
            <w:pPr>
              <w:spacing w:after="0" w:line="118" w:lineRule="exact"/>
              <w:rPr>
                <w:sz w:val="20"/>
                <w:szCs w:val="20"/>
                <w:color w:val="auto"/>
              </w:rPr>
            </w:pPr>
            <w:r>
              <w:rPr>
                <w:rFonts w:ascii="Arial" w:cs="Arial" w:eastAsia="Arial" w:hAnsi="Arial"/>
                <w:sz w:val="12"/>
                <w:szCs w:val="12"/>
                <w:color w:val="auto"/>
              </w:rPr>
              <w:t>Balance, December 31, 2020</w:t>
            </w:r>
          </w:p>
        </w:tc>
        <w:tc>
          <w:tcPr>
            <w:tcW w:w="90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25,550</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25</w:t>
            </w:r>
          </w:p>
        </w:tc>
        <w:tc>
          <w:tcPr>
            <w:tcW w:w="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-2298065</wp:posOffset>
            </wp:positionV>
            <wp:extent cx="7152640" cy="806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2640" cy="806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-2136775</wp:posOffset>
            </wp:positionV>
            <wp:extent cx="7152640" cy="806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2640" cy="806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-1976120</wp:posOffset>
            </wp:positionV>
            <wp:extent cx="7152640" cy="161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2640" cy="161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-1734185</wp:posOffset>
            </wp:positionV>
            <wp:extent cx="7152640" cy="806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2640" cy="806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-1565910</wp:posOffset>
            </wp:positionV>
            <wp:extent cx="7152640" cy="806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2640" cy="806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-1405255</wp:posOffset>
            </wp:positionV>
            <wp:extent cx="7152640" cy="806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2640" cy="806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-1243965</wp:posOffset>
            </wp:positionV>
            <wp:extent cx="7152640" cy="806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2640" cy="806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-1002030</wp:posOffset>
            </wp:positionV>
            <wp:extent cx="7152640" cy="806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2640" cy="806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-673100</wp:posOffset>
            </wp:positionV>
            <wp:extent cx="7152640" cy="806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2640" cy="806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-511810</wp:posOffset>
            </wp:positionV>
            <wp:extent cx="7152640" cy="161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2640" cy="161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-270510</wp:posOffset>
            </wp:positionV>
            <wp:extent cx="7152640" cy="806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2640" cy="806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-109220</wp:posOffset>
            </wp:positionV>
            <wp:extent cx="7152640" cy="952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2640" cy="952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-841375</wp:posOffset>
            </wp:positionV>
            <wp:extent cx="7152640" cy="876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2640" cy="876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-2546985</wp:posOffset>
            </wp:positionV>
            <wp:extent cx="7152640" cy="87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2640" cy="87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940" w:type="dxa"/>
            <w:vAlign w:val="bottom"/>
          </w:tcPr>
          <w:p>
            <w:pPr>
              <w:jc w:val="right"/>
              <w:ind w:right="319"/>
              <w:spacing w:after="0"/>
              <w:rPr>
                <w:sz w:val="20"/>
                <w:szCs w:val="20"/>
                <w:color w:val="auto"/>
              </w:rPr>
            </w:pPr>
            <w:r>
              <w:rPr>
                <w:rFonts w:ascii="Arial" w:cs="Arial" w:eastAsia="Arial" w:hAnsi="Arial"/>
                <w:sz w:val="12"/>
                <w:szCs w:val="12"/>
                <w:b w:val="1"/>
                <w:bCs w:val="1"/>
                <w:color w:val="auto"/>
                <w:w w:val="91"/>
              </w:rPr>
              <w:t>Additional</w:t>
            </w:r>
          </w:p>
        </w:tc>
        <w:tc>
          <w:tcPr>
            <w:tcW w:w="80" w:type="dxa"/>
            <w:vAlign w:val="bottom"/>
          </w:tcPr>
          <w:p>
            <w:pPr>
              <w:spacing w:after="0"/>
              <w:rPr>
                <w:sz w:val="12"/>
                <w:szCs w:val="12"/>
                <w:color w:val="auto"/>
              </w:rPr>
            </w:pPr>
          </w:p>
        </w:tc>
        <w:tc>
          <w:tcPr>
            <w:tcW w:w="1320" w:type="dxa"/>
            <w:vAlign w:val="bottom"/>
          </w:tcPr>
          <w:p>
            <w:pPr>
              <w:jc w:val="center"/>
              <w:ind w:left="183"/>
              <w:spacing w:after="0"/>
              <w:rPr>
                <w:sz w:val="20"/>
                <w:szCs w:val="20"/>
                <w:color w:val="auto"/>
              </w:rPr>
            </w:pPr>
            <w:r>
              <w:rPr>
                <w:rFonts w:ascii="Arial" w:cs="Arial" w:eastAsia="Arial" w:hAnsi="Arial"/>
                <w:sz w:val="12"/>
                <w:szCs w:val="12"/>
                <w:b w:val="1"/>
                <w:bCs w:val="1"/>
                <w:color w:val="auto"/>
                <w:w w:val="93"/>
              </w:rPr>
              <w:t>Accumulated Other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2"/>
                <w:szCs w:val="12"/>
                <w:b w:val="1"/>
                <w:bCs w:val="1"/>
                <w:color w:val="auto"/>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59"/>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38"/>
        </w:trPr>
        <w:tc>
          <w:tcPr>
            <w:tcW w:w="940" w:type="dxa"/>
            <w:vAlign w:val="bottom"/>
          </w:tcPr>
          <w:p>
            <w:pPr>
              <w:jc w:val="right"/>
              <w:ind w:right="419"/>
              <w:spacing w:after="0"/>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12"/>
                <w:szCs w:val="12"/>
                <w:color w:val="auto"/>
              </w:rPr>
            </w:pPr>
          </w:p>
        </w:tc>
        <w:tc>
          <w:tcPr>
            <w:tcW w:w="1320" w:type="dxa"/>
            <w:vAlign w:val="bottom"/>
          </w:tcPr>
          <w:p>
            <w:pPr>
              <w:jc w:val="center"/>
              <w:ind w:left="163"/>
              <w:spacing w:after="0"/>
              <w:rPr>
                <w:sz w:val="20"/>
                <w:szCs w:val="20"/>
                <w:color w:val="auto"/>
              </w:rPr>
            </w:pPr>
            <w:r>
              <w:rPr>
                <w:rFonts w:ascii="Arial" w:cs="Arial" w:eastAsia="Arial" w:hAnsi="Arial"/>
                <w:sz w:val="12"/>
                <w:szCs w:val="12"/>
                <w:b w:val="1"/>
                <w:bCs w:val="1"/>
                <w:color w:val="auto"/>
                <w:w w:val="91"/>
              </w:rPr>
              <w:t>Comprehensive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79"/>
              <w:spacing w:after="0"/>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47"/>
        </w:trPr>
        <w:tc>
          <w:tcPr>
            <w:tcW w:w="940" w:type="dxa"/>
            <w:vAlign w:val="bottom"/>
          </w:tcPr>
          <w:p>
            <w:pPr>
              <w:jc w:val="right"/>
              <w:ind w:right="419"/>
              <w:spacing w:after="0"/>
              <w:rPr>
                <w:sz w:val="20"/>
                <w:szCs w:val="20"/>
                <w:color w:val="auto"/>
              </w:rPr>
            </w:pPr>
            <w:r>
              <w:rPr>
                <w:rFonts w:ascii="Arial" w:cs="Arial" w:eastAsia="Arial" w:hAnsi="Arial"/>
                <w:sz w:val="12"/>
                <w:szCs w:val="12"/>
                <w:b w:val="1"/>
                <w:bCs w:val="1"/>
                <w:color w:val="auto"/>
              </w:rPr>
              <w:t>Capital</w:t>
            </w:r>
          </w:p>
        </w:tc>
        <w:tc>
          <w:tcPr>
            <w:tcW w:w="80" w:type="dxa"/>
            <w:vAlign w:val="bottom"/>
          </w:tcPr>
          <w:p>
            <w:pPr>
              <w:spacing w:after="0"/>
              <w:rPr>
                <w:sz w:val="12"/>
                <w:szCs w:val="12"/>
                <w:color w:val="auto"/>
              </w:rPr>
            </w:pPr>
          </w:p>
        </w:tc>
        <w:tc>
          <w:tcPr>
            <w:tcW w:w="1320" w:type="dxa"/>
            <w:vAlign w:val="bottom"/>
          </w:tcPr>
          <w:p>
            <w:pPr>
              <w:jc w:val="center"/>
              <w:ind w:left="183"/>
              <w:spacing w:after="0"/>
              <w:rPr>
                <w:sz w:val="20"/>
                <w:szCs w:val="20"/>
                <w:color w:val="auto"/>
              </w:rPr>
            </w:pPr>
            <w:r>
              <w:rPr>
                <w:rFonts w:ascii="Arial" w:cs="Arial" w:eastAsia="Arial" w:hAnsi="Arial"/>
                <w:sz w:val="12"/>
                <w:szCs w:val="12"/>
                <w:b w:val="1"/>
                <w:bCs w:val="1"/>
                <w:color w:val="auto"/>
                <w:w w:val="85"/>
              </w:rPr>
              <w:t>Loss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79"/>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47"/>
        </w:trPr>
        <w:tc>
          <w:tcPr>
            <w:tcW w:w="940" w:type="dxa"/>
            <w:vAlign w:val="bottom"/>
          </w:tcPr>
          <w:p>
            <w:pPr>
              <w:jc w:val="right"/>
              <w:ind w:right="39"/>
              <w:spacing w:after="0" w:line="136" w:lineRule="exact"/>
              <w:rPr>
                <w:sz w:val="20"/>
                <w:szCs w:val="20"/>
                <w:color w:val="auto"/>
              </w:rPr>
            </w:pPr>
            <w:r>
              <w:rPr>
                <w:rFonts w:ascii="Arial" w:cs="Arial" w:eastAsia="Arial" w:hAnsi="Arial"/>
                <w:sz w:val="12"/>
                <w:szCs w:val="12"/>
                <w:color w:val="auto"/>
              </w:rPr>
              <w:t>84,202</w:t>
            </w:r>
          </w:p>
        </w:tc>
        <w:tc>
          <w:tcPr>
            <w:tcW w:w="80" w:type="dxa"/>
            <w:vAlign w:val="bottom"/>
          </w:tcPr>
          <w:p>
            <w:pPr>
              <w:spacing w:after="0"/>
              <w:rPr>
                <w:sz w:val="12"/>
                <w:szCs w:val="12"/>
                <w:color w:val="auto"/>
              </w:rPr>
            </w:pPr>
          </w:p>
        </w:tc>
        <w:tc>
          <w:tcPr>
            <w:tcW w:w="1320" w:type="dxa"/>
            <w:vAlign w:val="bottom"/>
            <w:tcBorders>
              <w:top w:val="single" w:sz="8" w:color="auto"/>
            </w:tcBorders>
          </w:tcPr>
          <w:p>
            <w:pPr>
              <w:jc w:val="right"/>
              <w:ind w:right="1203"/>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(51)</w:t>
            </w:r>
          </w:p>
        </w:tc>
        <w:tc>
          <w:tcPr>
            <w:tcW w:w="140" w:type="dxa"/>
            <w:vAlign w:val="bottom"/>
          </w:tcPr>
          <w:p>
            <w:pPr>
              <w:spacing w:after="0"/>
              <w:rPr>
                <w:sz w:val="12"/>
                <w:szCs w:val="12"/>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(38,173)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45,995</w:t>
            </w:r>
          </w:p>
        </w:tc>
        <w:tc>
          <w:tcPr>
            <w:tcW w:w="0" w:type="dxa"/>
            <w:vAlign w:val="bottom"/>
          </w:tcPr>
          <w:p>
            <w:pPr>
              <w:spacing w:after="0"/>
              <w:rPr>
                <w:sz w:val="1"/>
                <w:szCs w:val="1"/>
                <w:color w:val="auto"/>
              </w:rPr>
            </w:pPr>
          </w:p>
        </w:tc>
      </w:tr>
      <w:tr>
        <w:trPr>
          <w:trHeight w:val="209"/>
        </w:trPr>
        <w:tc>
          <w:tcPr>
            <w:tcW w:w="940" w:type="dxa"/>
            <w:vAlign w:val="bottom"/>
          </w:tcPr>
          <w:p>
            <w:pPr>
              <w:jc w:val="right"/>
              <w:ind w:right="39"/>
              <w:spacing w:after="0"/>
              <w:rPr>
                <w:sz w:val="20"/>
                <w:szCs w:val="20"/>
                <w:color w:val="auto"/>
              </w:rPr>
            </w:pPr>
            <w:r>
              <w:rPr>
                <w:rFonts w:ascii="Arial" w:cs="Arial" w:eastAsia="Arial" w:hAnsi="Arial"/>
                <w:sz w:val="12"/>
                <w:szCs w:val="12"/>
                <w:color w:val="auto"/>
              </w:rPr>
              <w:t>44,782</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44,786</w:t>
            </w:r>
          </w:p>
        </w:tc>
        <w:tc>
          <w:tcPr>
            <w:tcW w:w="0" w:type="dxa"/>
            <w:vAlign w:val="bottom"/>
          </w:tcPr>
          <w:p>
            <w:pPr>
              <w:spacing w:after="0"/>
              <w:rPr>
                <w:sz w:val="1"/>
                <w:szCs w:val="1"/>
                <w:color w:val="auto"/>
              </w:rPr>
            </w:pPr>
          </w:p>
        </w:tc>
      </w:tr>
      <w:tr>
        <w:trPr>
          <w:trHeight w:val="127"/>
        </w:trPr>
        <w:tc>
          <w:tcPr>
            <w:tcW w:w="940" w:type="dxa"/>
            <w:vAlign w:val="bottom"/>
          </w:tcPr>
          <w:p>
            <w:pPr>
              <w:jc w:val="right"/>
              <w:ind w:right="19"/>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1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940" w:type="dxa"/>
            <w:vAlign w:val="bottom"/>
          </w:tcPr>
          <w:p>
            <w:pPr>
              <w:jc w:val="right"/>
              <w:ind w:right="39"/>
              <w:spacing w:after="0" w:line="127" w:lineRule="exact"/>
              <w:rPr>
                <w:sz w:val="20"/>
                <w:szCs w:val="20"/>
                <w:color w:val="auto"/>
              </w:rPr>
            </w:pPr>
            <w:r>
              <w:rPr>
                <w:rFonts w:ascii="Arial" w:cs="Arial" w:eastAsia="Arial" w:hAnsi="Arial"/>
                <w:sz w:val="12"/>
                <w:szCs w:val="12"/>
                <w:color w:val="auto"/>
              </w:rPr>
              <w:t>498</w:t>
            </w: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1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27" w:lineRule="exact"/>
              <w:rPr>
                <w:sz w:val="20"/>
                <w:szCs w:val="20"/>
                <w:color w:val="auto"/>
              </w:rPr>
            </w:pPr>
            <w:r>
              <w:rPr>
                <w:rFonts w:ascii="Arial" w:cs="Arial" w:eastAsia="Arial" w:hAnsi="Arial"/>
                <w:sz w:val="12"/>
                <w:szCs w:val="12"/>
                <w:color w:val="auto"/>
              </w:rPr>
              <w:t>498</w:t>
            </w:r>
          </w:p>
        </w:tc>
        <w:tc>
          <w:tcPr>
            <w:tcW w:w="0" w:type="dxa"/>
            <w:vAlign w:val="bottom"/>
          </w:tcPr>
          <w:p>
            <w:pPr>
              <w:spacing w:after="0"/>
              <w:rPr>
                <w:sz w:val="1"/>
                <w:szCs w:val="1"/>
                <w:color w:val="auto"/>
              </w:rPr>
            </w:pPr>
          </w:p>
        </w:tc>
      </w:tr>
      <w:tr>
        <w:trPr>
          <w:trHeight w:val="127"/>
        </w:trPr>
        <w:tc>
          <w:tcPr>
            <w:tcW w:w="940" w:type="dxa"/>
            <w:vAlign w:val="bottom"/>
          </w:tcPr>
          <w:p>
            <w:pPr>
              <w:jc w:val="right"/>
              <w:ind w:right="39"/>
              <w:spacing w:after="0" w:line="127" w:lineRule="exact"/>
              <w:rPr>
                <w:sz w:val="20"/>
                <w:szCs w:val="20"/>
                <w:color w:val="auto"/>
              </w:rPr>
            </w:pPr>
            <w:r>
              <w:rPr>
                <w:rFonts w:ascii="Arial" w:cs="Arial" w:eastAsia="Arial" w:hAnsi="Arial"/>
                <w:sz w:val="12"/>
                <w:szCs w:val="12"/>
                <w:color w:val="auto"/>
              </w:rPr>
              <w:t>327</w:t>
            </w: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1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27" w:lineRule="exact"/>
              <w:rPr>
                <w:sz w:val="20"/>
                <w:szCs w:val="20"/>
                <w:color w:val="auto"/>
              </w:rPr>
            </w:pPr>
            <w:r>
              <w:rPr>
                <w:rFonts w:ascii="Arial" w:cs="Arial" w:eastAsia="Arial" w:hAnsi="Arial"/>
                <w:sz w:val="12"/>
                <w:szCs w:val="12"/>
                <w:color w:val="auto"/>
              </w:rPr>
              <w:t>327</w:t>
            </w:r>
          </w:p>
        </w:tc>
        <w:tc>
          <w:tcPr>
            <w:tcW w:w="0" w:type="dxa"/>
            <w:vAlign w:val="bottom"/>
          </w:tcPr>
          <w:p>
            <w:pPr>
              <w:spacing w:after="0"/>
              <w:rPr>
                <w:sz w:val="1"/>
                <w:szCs w:val="1"/>
                <w:color w:val="auto"/>
              </w:rPr>
            </w:pPr>
          </w:p>
        </w:tc>
      </w:tr>
      <w:tr>
        <w:trPr>
          <w:trHeight w:val="155"/>
        </w:trPr>
        <w:tc>
          <w:tcPr>
            <w:tcW w:w="940" w:type="dxa"/>
            <w:vAlign w:val="bottom"/>
          </w:tcPr>
          <w:p>
            <w:pPr>
              <w:jc w:val="right"/>
              <w:ind w:right="39"/>
              <w:spacing w:after="0"/>
              <w:rPr>
                <w:sz w:val="20"/>
                <w:szCs w:val="20"/>
                <w:color w:val="auto"/>
              </w:rPr>
            </w:pPr>
            <w:r>
              <w:rPr>
                <w:rFonts w:ascii="Arial" w:cs="Arial" w:eastAsia="Arial" w:hAnsi="Arial"/>
                <w:sz w:val="12"/>
                <w:szCs w:val="12"/>
                <w:color w:val="auto"/>
              </w:rPr>
              <w:t>12,338</w:t>
            </w: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12,338</w:t>
            </w:r>
          </w:p>
        </w:tc>
        <w:tc>
          <w:tcPr>
            <w:tcW w:w="0" w:type="dxa"/>
            <w:vAlign w:val="bottom"/>
          </w:tcPr>
          <w:p>
            <w:pPr>
              <w:spacing w:after="0"/>
              <w:rPr>
                <w:sz w:val="1"/>
                <w:szCs w:val="1"/>
                <w:color w:val="auto"/>
              </w:rPr>
            </w:pPr>
          </w:p>
        </w:tc>
      </w:tr>
      <w:tr>
        <w:trPr>
          <w:trHeight w:val="225"/>
        </w:trPr>
        <w:tc>
          <w:tcPr>
            <w:tcW w:w="940" w:type="dxa"/>
            <w:vAlign w:val="bottom"/>
          </w:tcPr>
          <w:p>
            <w:pPr>
              <w:jc w:val="right"/>
              <w:ind w:right="19"/>
              <w:spacing w:after="0"/>
              <w:rPr>
                <w:sz w:val="20"/>
                <w:szCs w:val="20"/>
                <w:color w:val="auto"/>
              </w:rPr>
            </w:pPr>
            <w:r>
              <w:rPr>
                <w:rFonts w:ascii="Arial" w:cs="Arial" w:eastAsia="Arial" w:hAnsi="Arial"/>
                <w:sz w:val="12"/>
                <w:szCs w:val="12"/>
                <w:color w:val="auto"/>
              </w:rPr>
              <w:t>(115)</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127"/>
        </w:trPr>
        <w:tc>
          <w:tcPr>
            <w:tcW w:w="940" w:type="dxa"/>
            <w:vAlign w:val="bottom"/>
          </w:tcPr>
          <w:p>
            <w:pPr>
              <w:jc w:val="right"/>
              <w:ind w:right="19"/>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Pr>
          <w:p>
            <w:pPr>
              <w:jc w:val="right"/>
              <w:spacing w:after="0" w:line="127" w:lineRule="exact"/>
              <w:rPr>
                <w:sz w:val="20"/>
                <w:szCs w:val="20"/>
                <w:color w:val="auto"/>
              </w:rPr>
            </w:pPr>
            <w:r>
              <w:rPr>
                <w:rFonts w:ascii="Arial" w:cs="Arial" w:eastAsia="Arial" w:hAnsi="Arial"/>
                <w:sz w:val="12"/>
                <w:szCs w:val="12"/>
                <w:color w:val="auto"/>
              </w:rPr>
              <w:t>50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27" w:lineRule="exact"/>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3"/>
        </w:trPr>
        <w:tc>
          <w:tcPr>
            <w:tcW w:w="9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(37,545)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(37,545)</w:t>
            </w:r>
          </w:p>
        </w:tc>
        <w:tc>
          <w:tcPr>
            <w:tcW w:w="0" w:type="dxa"/>
            <w:vAlign w:val="bottom"/>
          </w:tcPr>
          <w:p>
            <w:pPr>
              <w:spacing w:after="0"/>
              <w:rPr>
                <w:sz w:val="1"/>
                <w:szCs w:val="1"/>
                <w:color w:val="auto"/>
              </w:rPr>
            </w:pPr>
          </w:p>
        </w:tc>
      </w:tr>
      <w:tr>
        <w:trPr>
          <w:trHeight w:val="103"/>
        </w:trPr>
        <w:tc>
          <w:tcPr>
            <w:tcW w:w="940" w:type="dxa"/>
            <w:vAlign w:val="bottom"/>
          </w:tcPr>
          <w:p>
            <w:pPr>
              <w:jc w:val="right"/>
              <w:ind w:right="39"/>
              <w:spacing w:after="0" w:line="103" w:lineRule="exact"/>
              <w:rPr>
                <w:sz w:val="20"/>
                <w:szCs w:val="20"/>
                <w:color w:val="auto"/>
              </w:rPr>
            </w:pPr>
            <w:r>
              <w:rPr>
                <w:rFonts w:ascii="Arial" w:cs="Arial" w:eastAsia="Arial" w:hAnsi="Arial"/>
                <w:sz w:val="11"/>
                <w:szCs w:val="11"/>
                <w:color w:val="auto"/>
              </w:rPr>
              <w:t>142,032</w:t>
            </w:r>
          </w:p>
        </w:tc>
        <w:tc>
          <w:tcPr>
            <w:tcW w:w="80" w:type="dxa"/>
            <w:vAlign w:val="bottom"/>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color w:val="auto"/>
              </w:rPr>
              <w:t>(1)</w:t>
            </w:r>
          </w:p>
        </w:tc>
        <w:tc>
          <w:tcPr>
            <w:tcW w:w="1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color w:val="auto"/>
              </w:rPr>
              <w:t>(75,718)</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color w:val="auto"/>
              </w:rPr>
              <w:t>66,334</w:t>
            </w:r>
          </w:p>
        </w:tc>
        <w:tc>
          <w:tcPr>
            <w:tcW w:w="0" w:type="dxa"/>
            <w:vAlign w:val="bottom"/>
          </w:tcPr>
          <w:p>
            <w:pPr>
              <w:spacing w:after="0"/>
              <w:rPr>
                <w:sz w:val="1"/>
                <w:szCs w:val="1"/>
                <w:color w:val="auto"/>
              </w:rPr>
            </w:pPr>
          </w:p>
        </w:tc>
      </w:tr>
      <w:tr>
        <w:trPr>
          <w:trHeight w:val="127"/>
        </w:trPr>
        <w:tc>
          <w:tcPr>
            <w:tcW w:w="940" w:type="dxa"/>
            <w:vAlign w:val="bottom"/>
          </w:tcPr>
          <w:p>
            <w:pPr>
              <w:jc w:val="right"/>
              <w:ind w:right="19"/>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1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940" w:type="dxa"/>
            <w:vAlign w:val="bottom"/>
          </w:tcPr>
          <w:p>
            <w:pPr>
              <w:jc w:val="right"/>
              <w:ind w:right="39"/>
              <w:spacing w:after="0" w:line="127" w:lineRule="exact"/>
              <w:rPr>
                <w:sz w:val="20"/>
                <w:szCs w:val="20"/>
                <w:color w:val="auto"/>
              </w:rPr>
            </w:pPr>
            <w:r>
              <w:rPr>
                <w:rFonts w:ascii="Arial" w:cs="Arial" w:eastAsia="Arial" w:hAnsi="Arial"/>
                <w:sz w:val="12"/>
                <w:szCs w:val="12"/>
                <w:color w:val="auto"/>
              </w:rPr>
              <w:t>272</w:t>
            </w: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1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27" w:lineRule="exact"/>
              <w:rPr>
                <w:sz w:val="20"/>
                <w:szCs w:val="20"/>
                <w:color w:val="auto"/>
              </w:rPr>
            </w:pPr>
            <w:r>
              <w:rPr>
                <w:rFonts w:ascii="Arial" w:cs="Arial" w:eastAsia="Arial" w:hAnsi="Arial"/>
                <w:sz w:val="12"/>
                <w:szCs w:val="12"/>
                <w:color w:val="auto"/>
              </w:rPr>
              <w:t>272</w:t>
            </w:r>
          </w:p>
        </w:tc>
        <w:tc>
          <w:tcPr>
            <w:tcW w:w="0" w:type="dxa"/>
            <w:vAlign w:val="bottom"/>
          </w:tcPr>
          <w:p>
            <w:pPr>
              <w:spacing w:after="0"/>
              <w:rPr>
                <w:sz w:val="1"/>
                <w:szCs w:val="1"/>
                <w:color w:val="auto"/>
              </w:rPr>
            </w:pPr>
          </w:p>
        </w:tc>
      </w:tr>
      <w:tr>
        <w:trPr>
          <w:trHeight w:val="127"/>
        </w:trPr>
        <w:tc>
          <w:tcPr>
            <w:tcW w:w="940" w:type="dxa"/>
            <w:vAlign w:val="bottom"/>
          </w:tcPr>
          <w:p>
            <w:pPr>
              <w:jc w:val="right"/>
              <w:ind w:right="39"/>
              <w:spacing w:after="0" w:line="127" w:lineRule="exact"/>
              <w:rPr>
                <w:sz w:val="20"/>
                <w:szCs w:val="20"/>
                <w:color w:val="auto"/>
              </w:rPr>
            </w:pPr>
            <w:r>
              <w:rPr>
                <w:rFonts w:ascii="Arial" w:cs="Arial" w:eastAsia="Arial" w:hAnsi="Arial"/>
                <w:sz w:val="12"/>
                <w:szCs w:val="12"/>
                <w:color w:val="auto"/>
              </w:rPr>
              <w:t>423</w:t>
            </w: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1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27" w:lineRule="exact"/>
              <w:rPr>
                <w:sz w:val="20"/>
                <w:szCs w:val="20"/>
                <w:color w:val="auto"/>
              </w:rPr>
            </w:pPr>
            <w:r>
              <w:rPr>
                <w:rFonts w:ascii="Arial" w:cs="Arial" w:eastAsia="Arial" w:hAnsi="Arial"/>
                <w:sz w:val="12"/>
                <w:szCs w:val="12"/>
                <w:color w:val="auto"/>
              </w:rPr>
              <w:t>423</w:t>
            </w:r>
          </w:p>
        </w:tc>
        <w:tc>
          <w:tcPr>
            <w:tcW w:w="0" w:type="dxa"/>
            <w:vAlign w:val="bottom"/>
          </w:tcPr>
          <w:p>
            <w:pPr>
              <w:spacing w:after="0"/>
              <w:rPr>
                <w:sz w:val="1"/>
                <w:szCs w:val="1"/>
                <w:color w:val="auto"/>
              </w:rPr>
            </w:pPr>
          </w:p>
        </w:tc>
      </w:tr>
      <w:tr>
        <w:trPr>
          <w:trHeight w:val="127"/>
        </w:trPr>
        <w:tc>
          <w:tcPr>
            <w:tcW w:w="940" w:type="dxa"/>
            <w:vAlign w:val="bottom"/>
          </w:tcPr>
          <w:p>
            <w:pPr>
              <w:jc w:val="right"/>
              <w:ind w:right="19"/>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1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940" w:type="dxa"/>
            <w:vAlign w:val="bottom"/>
          </w:tcPr>
          <w:p>
            <w:pPr>
              <w:jc w:val="right"/>
              <w:ind w:right="39"/>
              <w:spacing w:after="0"/>
              <w:rPr>
                <w:sz w:val="20"/>
                <w:szCs w:val="20"/>
                <w:color w:val="auto"/>
              </w:rPr>
            </w:pPr>
            <w:r>
              <w:rPr>
                <w:rFonts w:ascii="Arial" w:cs="Arial" w:eastAsia="Arial" w:hAnsi="Arial"/>
                <w:sz w:val="12"/>
                <w:szCs w:val="12"/>
                <w:color w:val="auto"/>
              </w:rPr>
              <w:t>11,287</w:t>
            </w: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11,287</w:t>
            </w:r>
          </w:p>
        </w:tc>
        <w:tc>
          <w:tcPr>
            <w:tcW w:w="0" w:type="dxa"/>
            <w:vAlign w:val="bottom"/>
          </w:tcPr>
          <w:p>
            <w:pPr>
              <w:spacing w:after="0"/>
              <w:rPr>
                <w:sz w:val="1"/>
                <w:szCs w:val="1"/>
                <w:color w:val="auto"/>
              </w:rPr>
            </w:pPr>
          </w:p>
        </w:tc>
      </w:tr>
      <w:tr>
        <w:trPr>
          <w:trHeight w:val="225"/>
        </w:trPr>
        <w:tc>
          <w:tcPr>
            <w:tcW w:w="940" w:type="dxa"/>
            <w:vAlign w:val="bottom"/>
          </w:tcPr>
          <w:p>
            <w:pPr>
              <w:jc w:val="right"/>
              <w:ind w:right="19"/>
              <w:spacing w:after="0"/>
              <w:rPr>
                <w:sz w:val="20"/>
                <w:szCs w:val="20"/>
                <w:color w:val="auto"/>
              </w:rPr>
            </w:pPr>
            <w:r>
              <w:rPr>
                <w:rFonts w:ascii="Arial" w:cs="Arial" w:eastAsia="Arial" w:hAnsi="Arial"/>
                <w:sz w:val="12"/>
                <w:szCs w:val="12"/>
                <w:color w:val="auto"/>
              </w:rPr>
              <w:t>(613)</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(613)</w:t>
            </w:r>
          </w:p>
        </w:tc>
        <w:tc>
          <w:tcPr>
            <w:tcW w:w="0" w:type="dxa"/>
            <w:vAlign w:val="bottom"/>
          </w:tcPr>
          <w:p>
            <w:pPr>
              <w:spacing w:after="0"/>
              <w:rPr>
                <w:sz w:val="1"/>
                <w:szCs w:val="1"/>
                <w:color w:val="auto"/>
              </w:rPr>
            </w:pPr>
          </w:p>
        </w:tc>
      </w:tr>
      <w:tr>
        <w:trPr>
          <w:trHeight w:val="127"/>
        </w:trPr>
        <w:tc>
          <w:tcPr>
            <w:tcW w:w="940" w:type="dxa"/>
            <w:vAlign w:val="bottom"/>
          </w:tcPr>
          <w:p>
            <w:pPr>
              <w:jc w:val="right"/>
              <w:ind w:right="19"/>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Pr>
          <w:p>
            <w:pPr>
              <w:jc w:val="right"/>
              <w:spacing w:after="0" w:line="127" w:lineRule="exact"/>
              <w:rPr>
                <w:sz w:val="20"/>
                <w:szCs w:val="20"/>
                <w:color w:val="auto"/>
              </w:rPr>
            </w:pPr>
            <w:r>
              <w:rPr>
                <w:rFonts w:ascii="Arial" w:cs="Arial" w:eastAsia="Arial" w:hAnsi="Arial"/>
                <w:sz w:val="12"/>
                <w:szCs w:val="12"/>
                <w:color w:val="auto"/>
              </w:rPr>
              <w:t>5</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27"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3"/>
        </w:trPr>
        <w:tc>
          <w:tcPr>
            <w:tcW w:w="9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(46,971)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(46,971)</w:t>
            </w:r>
          </w:p>
        </w:tc>
        <w:tc>
          <w:tcPr>
            <w:tcW w:w="0" w:type="dxa"/>
            <w:vAlign w:val="bottom"/>
          </w:tcPr>
          <w:p>
            <w:pPr>
              <w:spacing w:after="0"/>
              <w:rPr>
                <w:sz w:val="1"/>
                <w:szCs w:val="1"/>
                <w:color w:val="auto"/>
              </w:rPr>
            </w:pPr>
          </w:p>
        </w:tc>
      </w:tr>
      <w:tr>
        <w:trPr>
          <w:trHeight w:val="103"/>
        </w:trPr>
        <w:tc>
          <w:tcPr>
            <w:tcW w:w="940" w:type="dxa"/>
            <w:vAlign w:val="bottom"/>
          </w:tcPr>
          <w:p>
            <w:pPr>
              <w:jc w:val="right"/>
              <w:ind w:right="39"/>
              <w:spacing w:after="0" w:line="103" w:lineRule="exact"/>
              <w:rPr>
                <w:sz w:val="20"/>
                <w:szCs w:val="20"/>
                <w:color w:val="auto"/>
              </w:rPr>
            </w:pPr>
            <w:r>
              <w:rPr>
                <w:rFonts w:ascii="Arial" w:cs="Arial" w:eastAsia="Arial" w:hAnsi="Arial"/>
                <w:sz w:val="11"/>
                <w:szCs w:val="11"/>
                <w:color w:val="auto"/>
              </w:rPr>
              <w:t>153,401</w:t>
            </w:r>
          </w:p>
        </w:tc>
        <w:tc>
          <w:tcPr>
            <w:tcW w:w="80" w:type="dxa"/>
            <w:vAlign w:val="bottom"/>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color w:val="auto"/>
              </w:rPr>
              <w:t>4</w:t>
            </w:r>
          </w:p>
        </w:tc>
        <w:tc>
          <w:tcPr>
            <w:tcW w:w="1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color w:val="auto"/>
              </w:rPr>
              <w:t>(122,689)</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color w:val="auto"/>
              </w:rPr>
              <w:t>30,737</w:t>
            </w:r>
          </w:p>
        </w:tc>
        <w:tc>
          <w:tcPr>
            <w:tcW w:w="0" w:type="dxa"/>
            <w:vAlign w:val="bottom"/>
          </w:tcPr>
          <w:p>
            <w:pPr>
              <w:spacing w:after="0"/>
              <w:rPr>
                <w:sz w:val="1"/>
                <w:szCs w:val="1"/>
                <w:color w:val="auto"/>
              </w:rPr>
            </w:pPr>
          </w:p>
        </w:tc>
      </w:tr>
      <w:tr>
        <w:trPr>
          <w:trHeight w:val="127"/>
        </w:trPr>
        <w:tc>
          <w:tcPr>
            <w:tcW w:w="940" w:type="dxa"/>
            <w:vAlign w:val="bottom"/>
          </w:tcPr>
          <w:p>
            <w:pPr>
              <w:jc w:val="right"/>
              <w:ind w:right="39"/>
              <w:spacing w:after="0" w:line="127" w:lineRule="exact"/>
              <w:rPr>
                <w:sz w:val="20"/>
                <w:szCs w:val="20"/>
                <w:color w:val="auto"/>
              </w:rPr>
            </w:pPr>
            <w:r>
              <w:rPr>
                <w:rFonts w:ascii="Arial" w:cs="Arial" w:eastAsia="Arial" w:hAnsi="Arial"/>
                <w:sz w:val="12"/>
                <w:szCs w:val="12"/>
                <w:color w:val="auto"/>
              </w:rPr>
              <w:t>887</w:t>
            </w: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1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27" w:lineRule="exact"/>
              <w:rPr>
                <w:sz w:val="20"/>
                <w:szCs w:val="20"/>
                <w:color w:val="auto"/>
              </w:rPr>
            </w:pPr>
            <w:r>
              <w:rPr>
                <w:rFonts w:ascii="Arial" w:cs="Arial" w:eastAsia="Arial" w:hAnsi="Arial"/>
                <w:sz w:val="12"/>
                <w:szCs w:val="12"/>
                <w:color w:val="auto"/>
              </w:rPr>
              <w:t>887</w:t>
            </w:r>
          </w:p>
        </w:tc>
        <w:tc>
          <w:tcPr>
            <w:tcW w:w="0" w:type="dxa"/>
            <w:vAlign w:val="bottom"/>
          </w:tcPr>
          <w:p>
            <w:pPr>
              <w:spacing w:after="0"/>
              <w:rPr>
                <w:sz w:val="1"/>
                <w:szCs w:val="1"/>
                <w:color w:val="auto"/>
              </w:rPr>
            </w:pPr>
          </w:p>
        </w:tc>
      </w:tr>
      <w:tr>
        <w:trPr>
          <w:trHeight w:val="127"/>
        </w:trPr>
        <w:tc>
          <w:tcPr>
            <w:tcW w:w="940" w:type="dxa"/>
            <w:vAlign w:val="bottom"/>
          </w:tcPr>
          <w:p>
            <w:pPr>
              <w:jc w:val="right"/>
              <w:ind w:right="39"/>
              <w:spacing w:after="0" w:line="127" w:lineRule="exact"/>
              <w:rPr>
                <w:sz w:val="20"/>
                <w:szCs w:val="20"/>
                <w:color w:val="auto"/>
              </w:rPr>
            </w:pPr>
            <w:r>
              <w:rPr>
                <w:rFonts w:ascii="Arial" w:cs="Arial" w:eastAsia="Arial" w:hAnsi="Arial"/>
                <w:sz w:val="12"/>
                <w:szCs w:val="12"/>
                <w:color w:val="auto"/>
              </w:rPr>
              <w:t>490</w:t>
            </w: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1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27" w:lineRule="exact"/>
              <w:rPr>
                <w:sz w:val="20"/>
                <w:szCs w:val="20"/>
                <w:color w:val="auto"/>
              </w:rPr>
            </w:pPr>
            <w:r>
              <w:rPr>
                <w:rFonts w:ascii="Arial" w:cs="Arial" w:eastAsia="Arial" w:hAnsi="Arial"/>
                <w:sz w:val="12"/>
                <w:szCs w:val="12"/>
                <w:color w:val="auto"/>
              </w:rPr>
              <w:t>490</w:t>
            </w:r>
          </w:p>
        </w:tc>
        <w:tc>
          <w:tcPr>
            <w:tcW w:w="0" w:type="dxa"/>
            <w:vAlign w:val="bottom"/>
          </w:tcPr>
          <w:p>
            <w:pPr>
              <w:spacing w:after="0"/>
              <w:rPr>
                <w:sz w:val="1"/>
                <w:szCs w:val="1"/>
                <w:color w:val="auto"/>
              </w:rPr>
            </w:pPr>
          </w:p>
        </w:tc>
      </w:tr>
      <w:tr>
        <w:trPr>
          <w:trHeight w:val="155"/>
        </w:trPr>
        <w:tc>
          <w:tcPr>
            <w:tcW w:w="940" w:type="dxa"/>
            <w:vAlign w:val="bottom"/>
          </w:tcPr>
          <w:p>
            <w:pPr>
              <w:jc w:val="right"/>
              <w:ind w:right="39"/>
              <w:spacing w:after="0"/>
              <w:rPr>
                <w:sz w:val="20"/>
                <w:szCs w:val="20"/>
                <w:color w:val="auto"/>
              </w:rPr>
            </w:pPr>
            <w:r>
              <w:rPr>
                <w:rFonts w:ascii="Arial" w:cs="Arial" w:eastAsia="Arial" w:hAnsi="Arial"/>
                <w:sz w:val="12"/>
                <w:szCs w:val="12"/>
                <w:color w:val="auto"/>
              </w:rPr>
              <w:t>1,127</w:t>
            </w: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1,127</w:t>
            </w:r>
          </w:p>
        </w:tc>
        <w:tc>
          <w:tcPr>
            <w:tcW w:w="0" w:type="dxa"/>
            <w:vAlign w:val="bottom"/>
          </w:tcPr>
          <w:p>
            <w:pPr>
              <w:spacing w:after="0"/>
              <w:rPr>
                <w:sz w:val="1"/>
                <w:szCs w:val="1"/>
                <w:color w:val="auto"/>
              </w:rPr>
            </w:pPr>
          </w:p>
        </w:tc>
      </w:tr>
      <w:tr>
        <w:trPr>
          <w:trHeight w:val="225"/>
        </w:trPr>
        <w:tc>
          <w:tcPr>
            <w:tcW w:w="940" w:type="dxa"/>
            <w:vAlign w:val="bottom"/>
          </w:tcPr>
          <w:p>
            <w:pPr>
              <w:jc w:val="right"/>
              <w:ind w:right="39"/>
              <w:spacing w:after="0"/>
              <w:rPr>
                <w:sz w:val="20"/>
                <w:szCs w:val="20"/>
                <w:color w:val="auto"/>
              </w:rPr>
            </w:pPr>
            <w:r>
              <w:rPr>
                <w:rFonts w:ascii="Arial" w:cs="Arial" w:eastAsia="Arial" w:hAnsi="Arial"/>
                <w:sz w:val="12"/>
                <w:szCs w:val="12"/>
                <w:color w:val="auto"/>
              </w:rPr>
              <w:t>29,430</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29,434</w:t>
            </w:r>
          </w:p>
        </w:tc>
        <w:tc>
          <w:tcPr>
            <w:tcW w:w="0" w:type="dxa"/>
            <w:vAlign w:val="bottom"/>
          </w:tcPr>
          <w:p>
            <w:pPr>
              <w:spacing w:after="0"/>
              <w:rPr>
                <w:sz w:val="1"/>
                <w:szCs w:val="1"/>
                <w:color w:val="auto"/>
              </w:rPr>
            </w:pPr>
          </w:p>
        </w:tc>
      </w:tr>
      <w:tr>
        <w:trPr>
          <w:trHeight w:val="127"/>
        </w:trPr>
        <w:tc>
          <w:tcPr>
            <w:tcW w:w="940" w:type="dxa"/>
            <w:vAlign w:val="bottom"/>
          </w:tcPr>
          <w:p>
            <w:pPr>
              <w:jc w:val="right"/>
              <w:ind w:right="39"/>
              <w:spacing w:after="0" w:line="127" w:lineRule="exact"/>
              <w:rPr>
                <w:sz w:val="20"/>
                <w:szCs w:val="20"/>
                <w:color w:val="auto"/>
              </w:rPr>
            </w:pPr>
            <w:r>
              <w:rPr>
                <w:rFonts w:ascii="Arial" w:cs="Arial" w:eastAsia="Arial" w:hAnsi="Arial"/>
                <w:sz w:val="12"/>
                <w:szCs w:val="12"/>
                <w:color w:val="auto"/>
              </w:rPr>
              <w:t>10,075</w:t>
            </w: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1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27" w:lineRule="exact"/>
              <w:rPr>
                <w:sz w:val="20"/>
                <w:szCs w:val="20"/>
                <w:color w:val="auto"/>
              </w:rPr>
            </w:pPr>
            <w:r>
              <w:rPr>
                <w:rFonts w:ascii="Arial" w:cs="Arial" w:eastAsia="Arial" w:hAnsi="Arial"/>
                <w:sz w:val="12"/>
                <w:szCs w:val="12"/>
                <w:color w:val="auto"/>
              </w:rPr>
              <w:t>10,075</w:t>
            </w:r>
          </w:p>
        </w:tc>
        <w:tc>
          <w:tcPr>
            <w:tcW w:w="0" w:type="dxa"/>
            <w:vAlign w:val="bottom"/>
          </w:tcPr>
          <w:p>
            <w:pPr>
              <w:spacing w:after="0"/>
              <w:rPr>
                <w:sz w:val="1"/>
                <w:szCs w:val="1"/>
                <w:color w:val="auto"/>
              </w:rPr>
            </w:pPr>
          </w:p>
        </w:tc>
      </w:tr>
      <w:tr>
        <w:trPr>
          <w:trHeight w:val="127"/>
        </w:trPr>
        <w:tc>
          <w:tcPr>
            <w:tcW w:w="940" w:type="dxa"/>
            <w:vAlign w:val="bottom"/>
          </w:tcPr>
          <w:p>
            <w:pPr>
              <w:jc w:val="right"/>
              <w:ind w:right="19"/>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(5)</w:t>
            </w:r>
          </w:p>
        </w:tc>
        <w:tc>
          <w:tcPr>
            <w:tcW w:w="140" w:type="dxa"/>
            <w:vAlign w:val="bottom"/>
          </w:tcPr>
          <w:p>
            <w:pPr>
              <w:spacing w:after="0"/>
              <w:rPr>
                <w:sz w:val="11"/>
                <w:szCs w:val="11"/>
                <w:color w:val="auto"/>
              </w:rPr>
            </w:pPr>
          </w:p>
        </w:tc>
        <w:tc>
          <w:tcPr>
            <w:tcW w:w="118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27"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3"/>
        </w:trPr>
        <w:tc>
          <w:tcPr>
            <w:tcW w:w="9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(49,851)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(49,851)</w:t>
            </w:r>
          </w:p>
        </w:tc>
        <w:tc>
          <w:tcPr>
            <w:tcW w:w="0" w:type="dxa"/>
            <w:vAlign w:val="bottom"/>
          </w:tcPr>
          <w:p>
            <w:pPr>
              <w:spacing w:after="0"/>
              <w:rPr>
                <w:sz w:val="1"/>
                <w:szCs w:val="1"/>
                <w:color w:val="auto"/>
              </w:rPr>
            </w:pPr>
          </w:p>
        </w:tc>
      </w:tr>
      <w:tr>
        <w:trPr>
          <w:trHeight w:val="118"/>
        </w:trPr>
        <w:tc>
          <w:tcPr>
            <w:tcW w:w="940" w:type="dxa"/>
            <w:vAlign w:val="bottom"/>
          </w:tcPr>
          <w:p>
            <w:pPr>
              <w:jc w:val="right"/>
              <w:ind w:right="39"/>
              <w:spacing w:after="0" w:line="118" w:lineRule="exact"/>
              <w:rPr>
                <w:sz w:val="20"/>
                <w:szCs w:val="20"/>
                <w:color w:val="auto"/>
              </w:rPr>
            </w:pPr>
            <w:r>
              <w:rPr>
                <w:rFonts w:ascii="Arial" w:cs="Arial" w:eastAsia="Arial" w:hAnsi="Arial"/>
                <w:sz w:val="12"/>
                <w:szCs w:val="12"/>
                <w:color w:val="auto"/>
              </w:rPr>
              <w:t>195,410</w:t>
            </w:r>
          </w:p>
        </w:tc>
        <w:tc>
          <w:tcPr>
            <w:tcW w:w="80" w:type="dxa"/>
            <w:vAlign w:val="bottom"/>
          </w:tcPr>
          <w:p>
            <w:pPr>
              <w:spacing w:after="0"/>
              <w:rPr>
                <w:sz w:val="10"/>
                <w:szCs w:val="10"/>
                <w:color w:val="auto"/>
              </w:rPr>
            </w:pPr>
          </w:p>
        </w:tc>
        <w:tc>
          <w:tcPr>
            <w:tcW w:w="1320" w:type="dxa"/>
            <w:vAlign w:val="bottom"/>
            <w:tcBorders>
              <w:top w:val="single" w:sz="8" w:color="auto"/>
              <w:bottom w:val="single" w:sz="8" w:color="auto"/>
            </w:tcBorders>
          </w:tcPr>
          <w:p>
            <w:pPr>
              <w:jc w:val="right"/>
              <w:ind w:right="1203"/>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w:t>
            </w:r>
          </w:p>
        </w:tc>
        <w:tc>
          <w:tcPr>
            <w:tcW w:w="14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(172,540)</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102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22,894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-6985</wp:posOffset>
            </wp:positionV>
            <wp:extent cx="75374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53745" cy="7620"/>
                    </a:xfrm>
                    <a:prstGeom prst="rect">
                      <a:avLst/>
                    </a:prstGeom>
                    <a:noFill/>
                  </pic:spPr>
                </pic:pic>
              </a:graphicData>
            </a:graphic>
          </wp:anchor>
        </w:drawing>
        <w:drawing>
          <wp:anchor simplePos="0" relativeHeight="251657728" behindDoc="1" locked="0" layoutInCell="0" allowOverlap="1">
            <wp:simplePos x="0" y="0"/>
            <wp:positionH relativeFrom="column">
              <wp:posOffset>-204470</wp:posOffset>
            </wp:positionH>
            <wp:positionV relativeFrom="paragraph">
              <wp:posOffset>-1653540</wp:posOffset>
            </wp:positionV>
            <wp:extent cx="75374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5374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260"/>
            <w:col w:w="5180"/>
          </w:cols>
          <w:pgMar w:left="320" w:top="112" w:right="319" w:bottom="1440" w:gutter="0" w:footer="0" w:header="0"/>
          <w:type w:val="continuous"/>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01"/>
        </w:trPr>
        <w:tc>
          <w:tcPr>
            <w:tcW w:w="5080" w:type="dxa"/>
            <w:vAlign w:val="bottom"/>
            <w:gridSpan w:val="2"/>
          </w:tcPr>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tc>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380" w:type="dxa"/>
            <w:vAlign w:val="bottom"/>
            <w:gridSpan w:val="3"/>
          </w:tcPr>
          <w:p>
            <w:pPr>
              <w:jc w:val="center"/>
              <w:ind w:left="3763"/>
              <w:spacing w:after="0"/>
              <w:rPr>
                <w:sz w:val="20"/>
                <w:szCs w:val="20"/>
                <w:color w:val="auto"/>
              </w:rPr>
            </w:pPr>
            <w:r>
              <w:rPr>
                <w:rFonts w:ascii="Arial" w:cs="Arial" w:eastAsia="Arial" w:hAnsi="Arial"/>
                <w:sz w:val="15"/>
                <w:szCs w:val="15"/>
                <w:b w:val="1"/>
                <w:bCs w:val="1"/>
                <w:color w:val="auto"/>
              </w:rPr>
              <w:t>PULSE BIOSCIENCES, INC.</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gridSpan w:val="3"/>
          </w:tcPr>
          <w:p>
            <w:pPr>
              <w:jc w:val="center"/>
              <w:ind w:left="3763"/>
              <w:spacing w:after="0" w:line="161" w:lineRule="exact"/>
              <w:rPr>
                <w:sz w:val="20"/>
                <w:szCs w:val="20"/>
                <w:color w:val="auto"/>
              </w:rPr>
            </w:pPr>
            <w:r>
              <w:rPr>
                <w:rFonts w:ascii="Arial" w:cs="Arial" w:eastAsia="Arial" w:hAnsi="Arial"/>
                <w:sz w:val="15"/>
                <w:szCs w:val="15"/>
                <w:b w:val="1"/>
                <w:bCs w:val="1"/>
                <w:color w:val="auto"/>
                <w:w w:val="90"/>
              </w:rPr>
              <w:t>Consolidated Statements of Cash Flows</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320" w:type="dxa"/>
            <w:vAlign w:val="bottom"/>
            <w:gridSpan w:val="2"/>
          </w:tcPr>
          <w:p>
            <w:pPr>
              <w:jc w:val="center"/>
              <w:ind w:right="1157"/>
              <w:spacing w:after="0"/>
              <w:rPr>
                <w:sz w:val="20"/>
                <w:szCs w:val="20"/>
                <w:color w:val="auto"/>
              </w:rPr>
            </w:pPr>
            <w:r>
              <w:rPr>
                <w:rFonts w:ascii="Arial" w:cs="Arial" w:eastAsia="Arial" w:hAnsi="Arial"/>
                <w:sz w:val="15"/>
                <w:szCs w:val="15"/>
                <w:b w:val="1"/>
                <w:bCs w:val="1"/>
                <w:color w:val="auto"/>
                <w:w w:val="90"/>
              </w:rPr>
              <w:t>(in thousands)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w w:val="93"/>
              </w:rPr>
              <w:t>Year Ended December 31,</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0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140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b w:val="1"/>
                <w:bCs w:val="1"/>
                <w:color w:val="auto"/>
              </w:rPr>
              <w:t>2020</w:t>
            </w:r>
          </w:p>
        </w:tc>
        <w:tc>
          <w:tcPr>
            <w:tcW w:w="5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03"/>
              <w:spacing w:after="0" w:line="153" w:lineRule="exact"/>
              <w:rPr>
                <w:sz w:val="20"/>
                <w:szCs w:val="20"/>
                <w:color w:val="auto"/>
              </w:rPr>
            </w:pPr>
            <w:r>
              <w:rPr>
                <w:rFonts w:ascii="Arial" w:cs="Arial" w:eastAsia="Arial" w:hAnsi="Arial"/>
                <w:sz w:val="15"/>
                <w:szCs w:val="15"/>
                <w:b w:val="1"/>
                <w:bCs w:val="1"/>
                <w:color w:val="auto"/>
              </w:rPr>
              <w:t>2019</w:t>
            </w: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23"/>
              <w:spacing w:after="0" w:line="153" w:lineRule="exact"/>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53"/>
        </w:trPr>
        <w:tc>
          <w:tcPr>
            <w:tcW w:w="5080" w:type="dxa"/>
            <w:vAlign w:val="bottom"/>
            <w:gridSpan w:val="2"/>
            <w:vMerge w:val="continue"/>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Net loss</w:t>
            </w:r>
          </w:p>
        </w:tc>
        <w:tc>
          <w:tcPr>
            <w:tcW w:w="2320" w:type="dxa"/>
            <w:vAlign w:val="bottom"/>
            <w:gridSpan w:val="2"/>
            <w:shd w:val="clear" w:color="auto" w:fill="CCEEFF"/>
          </w:tcPr>
          <w:p>
            <w:pPr>
              <w:jc w:val="right"/>
              <w:ind w:right="797"/>
              <w:spacing w:after="0" w:line="161"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93"/>
              </w:rPr>
              <w:t>(49,851)</w:t>
            </w:r>
          </w:p>
        </w:tc>
        <w:tc>
          <w:tcPr>
            <w:tcW w:w="520" w:type="dxa"/>
            <w:vAlign w:val="bottom"/>
            <w:gridSpan w:val="2"/>
            <w:shd w:val="clear" w:color="auto" w:fill="CCEEFF"/>
          </w:tcPr>
          <w:p>
            <w:pPr>
              <w:jc w:val="right"/>
              <w:ind w:right="183"/>
              <w:spacing w:after="0" w:line="161" w:lineRule="exact"/>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(46,971)</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3"/>
              <w:spacing w:after="0" w:line="161" w:lineRule="exact"/>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(37,545)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60" w:type="dxa"/>
            <w:vAlign w:val="bottom"/>
          </w:tcPr>
          <w:p>
            <w:pPr>
              <w:spacing w:after="0" w:line="139" w:lineRule="exact"/>
              <w:rPr>
                <w:sz w:val="20"/>
                <w:szCs w:val="20"/>
                <w:color w:val="auto"/>
              </w:rPr>
            </w:pPr>
            <w:r>
              <w:rPr>
                <w:rFonts w:ascii="Arial" w:cs="Arial" w:eastAsia="Arial" w:hAnsi="Arial"/>
                <w:sz w:val="15"/>
                <w:szCs w:val="15"/>
                <w:color w:val="auto"/>
              </w:rPr>
              <w:t>Adjustments to reconcile net loss to net cash used in</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60" w:type="dxa"/>
            <w:vAlign w:val="bottom"/>
          </w:tcPr>
          <w:p>
            <w:pPr>
              <w:ind w:left="40"/>
              <w:spacing w:after="0"/>
              <w:rPr>
                <w:sz w:val="20"/>
                <w:szCs w:val="20"/>
                <w:color w:val="auto"/>
              </w:rPr>
            </w:pPr>
            <w:r>
              <w:rPr>
                <w:rFonts w:ascii="Arial" w:cs="Arial" w:eastAsia="Arial" w:hAnsi="Arial"/>
                <w:sz w:val="15"/>
                <w:szCs w:val="15"/>
                <w:color w:val="auto"/>
              </w:rPr>
              <w:t>operating activities:</w:t>
            </w: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CEEFF"/>
          </w:tcPr>
          <w:p>
            <w:pPr>
              <w:ind w:left="160"/>
              <w:spacing w:after="0" w:line="161" w:lineRule="exact"/>
              <w:rPr>
                <w:sz w:val="20"/>
                <w:szCs w:val="20"/>
                <w:color w:val="auto"/>
              </w:rPr>
            </w:pPr>
            <w:r>
              <w:rPr>
                <w:rFonts w:ascii="Arial" w:cs="Arial" w:eastAsia="Arial" w:hAnsi="Arial"/>
                <w:sz w:val="15"/>
                <w:szCs w:val="15"/>
                <w:color w:val="auto"/>
              </w:rPr>
              <w:t>Depreciation and amortization</w:t>
            </w:r>
          </w:p>
        </w:tc>
        <w:tc>
          <w:tcPr>
            <w:tcW w:w="1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430</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494</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645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160"/>
              <w:spacing w:after="0" w:line="161" w:lineRule="exact"/>
              <w:rPr>
                <w:sz w:val="20"/>
                <w:szCs w:val="20"/>
                <w:color w:val="auto"/>
              </w:rPr>
            </w:pPr>
            <w:r>
              <w:rPr>
                <w:rFonts w:ascii="Arial" w:cs="Arial" w:eastAsia="Arial" w:hAnsi="Arial"/>
                <w:sz w:val="15"/>
                <w:szCs w:val="15"/>
                <w:color w:val="auto"/>
              </w:rPr>
              <w:t>Loss on disposal of fixed assets</w:t>
            </w: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line="161" w:lineRule="exact"/>
              <w:rPr>
                <w:sz w:val="20"/>
                <w:szCs w:val="20"/>
                <w:color w:val="auto"/>
              </w:rPr>
            </w:pPr>
            <w:r>
              <w:rPr>
                <w:rFonts w:ascii="Arial" w:cs="Arial" w:eastAsia="Arial" w:hAnsi="Arial"/>
                <w:sz w:val="15"/>
                <w:szCs w:val="15"/>
                <w:color w:val="auto"/>
              </w:rPr>
              <w:t>119</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1160" w:type="dxa"/>
            <w:vAlign w:val="bottom"/>
          </w:tcPr>
          <w:p>
            <w:pPr>
              <w:jc w:val="right"/>
              <w:spacing w:after="0" w:line="161" w:lineRule="exact"/>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CEEFF"/>
          </w:tcPr>
          <w:p>
            <w:pPr>
              <w:ind w:left="160"/>
              <w:spacing w:after="0" w:line="161" w:lineRule="exact"/>
              <w:rPr>
                <w:sz w:val="20"/>
                <w:szCs w:val="20"/>
                <w:color w:val="auto"/>
              </w:rPr>
            </w:pPr>
            <w:r>
              <w:rPr>
                <w:rFonts w:ascii="Arial" w:cs="Arial" w:eastAsia="Arial" w:hAnsi="Arial"/>
                <w:sz w:val="15"/>
                <w:szCs w:val="15"/>
                <w:color w:val="auto"/>
              </w:rPr>
              <w:t>Amortization of intangible assets</w:t>
            </w:r>
          </w:p>
        </w:tc>
        <w:tc>
          <w:tcPr>
            <w:tcW w:w="1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665</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666</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665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160"/>
              <w:spacing w:after="0" w:line="161" w:lineRule="exact"/>
              <w:rPr>
                <w:sz w:val="20"/>
                <w:szCs w:val="20"/>
                <w:color w:val="auto"/>
              </w:rPr>
            </w:pPr>
            <w:r>
              <w:rPr>
                <w:rFonts w:ascii="Arial" w:cs="Arial" w:eastAsia="Arial" w:hAnsi="Arial"/>
                <w:sz w:val="15"/>
                <w:szCs w:val="15"/>
                <w:color w:val="auto"/>
              </w:rPr>
              <w:t>Stock-based compensation</w:t>
            </w: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line="161" w:lineRule="exact"/>
              <w:rPr>
                <w:sz w:val="20"/>
                <w:szCs w:val="20"/>
                <w:color w:val="auto"/>
              </w:rPr>
            </w:pPr>
            <w:r>
              <w:rPr>
                <w:rFonts w:ascii="Arial" w:cs="Arial" w:eastAsia="Arial" w:hAnsi="Arial"/>
                <w:sz w:val="15"/>
                <w:szCs w:val="15"/>
                <w:color w:val="auto"/>
              </w:rPr>
              <w:t>10,075</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11,287</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1" w:lineRule="exact"/>
              <w:rPr>
                <w:sz w:val="20"/>
                <w:szCs w:val="20"/>
                <w:color w:val="auto"/>
              </w:rPr>
            </w:pPr>
            <w:r>
              <w:rPr>
                <w:rFonts w:ascii="Arial" w:cs="Arial" w:eastAsia="Arial" w:hAnsi="Arial"/>
                <w:sz w:val="15"/>
                <w:szCs w:val="15"/>
                <w:color w:val="auto"/>
              </w:rPr>
              <w:t>12,338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CEEFF"/>
          </w:tcPr>
          <w:p>
            <w:pPr>
              <w:ind w:left="160"/>
              <w:spacing w:after="0" w:line="161" w:lineRule="exact"/>
              <w:rPr>
                <w:sz w:val="20"/>
                <w:szCs w:val="20"/>
                <w:color w:val="auto"/>
              </w:rPr>
            </w:pPr>
            <w:r>
              <w:rPr>
                <w:rFonts w:ascii="Arial" w:cs="Arial" w:eastAsia="Arial" w:hAnsi="Arial"/>
                <w:sz w:val="15"/>
                <w:szCs w:val="15"/>
                <w:color w:val="auto"/>
              </w:rPr>
              <w:t>Net premium amortization and discount on available-for-sale securities</w:t>
            </w:r>
          </w:p>
        </w:tc>
        <w:tc>
          <w:tcPr>
            <w:tcW w:w="1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(521)</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160"/>
              <w:spacing w:after="0" w:line="161" w:lineRule="exact"/>
              <w:rPr>
                <w:sz w:val="20"/>
                <w:szCs w:val="20"/>
                <w:color w:val="auto"/>
              </w:rPr>
            </w:pPr>
            <w:r>
              <w:rPr>
                <w:rFonts w:ascii="Arial" w:cs="Arial" w:eastAsia="Arial" w:hAnsi="Arial"/>
                <w:sz w:val="15"/>
                <w:szCs w:val="15"/>
                <w:color w:val="auto"/>
              </w:rPr>
              <w:t>Gain on U.S. Treasury securities</w:t>
            </w: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line="161" w:lineRule="exact"/>
              <w:rPr>
                <w:sz w:val="20"/>
                <w:szCs w:val="20"/>
                <w:color w:val="auto"/>
              </w:rPr>
            </w:pPr>
            <w:r>
              <w:rPr>
                <w:rFonts w:ascii="Arial" w:cs="Arial" w:eastAsia="Arial" w:hAnsi="Arial"/>
                <w:sz w:val="15"/>
                <w:szCs w:val="15"/>
                <w:color w:val="auto"/>
              </w:rPr>
              <w:t>(8)</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11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CEEFF"/>
          </w:tcPr>
          <w:p>
            <w:pPr>
              <w:ind w:left="160"/>
              <w:spacing w:after="0" w:line="161" w:lineRule="exact"/>
              <w:rPr>
                <w:sz w:val="20"/>
                <w:szCs w:val="20"/>
                <w:color w:val="auto"/>
              </w:rPr>
            </w:pPr>
            <w:r>
              <w:rPr>
                <w:rFonts w:ascii="Arial" w:cs="Arial" w:eastAsia="Arial" w:hAnsi="Arial"/>
                <w:sz w:val="15"/>
                <w:szCs w:val="15"/>
                <w:color w:val="auto"/>
              </w:rPr>
              <w:t>Changes in operating assets and liabilities:</w:t>
            </w:r>
          </w:p>
        </w:tc>
        <w:tc>
          <w:tcPr>
            <w:tcW w:w="1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340"/>
              <w:spacing w:after="0" w:line="161" w:lineRule="exact"/>
              <w:rPr>
                <w:sz w:val="20"/>
                <w:szCs w:val="20"/>
                <w:color w:val="auto"/>
              </w:rPr>
            </w:pPr>
            <w:r>
              <w:rPr>
                <w:rFonts w:ascii="Arial" w:cs="Arial" w:eastAsia="Arial" w:hAnsi="Arial"/>
                <w:sz w:val="15"/>
                <w:szCs w:val="15"/>
                <w:color w:val="auto"/>
              </w:rPr>
              <w:t>Prepaid expenses and other current assets</w:t>
            </w: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line="161" w:lineRule="exact"/>
              <w:rPr>
                <w:sz w:val="20"/>
                <w:szCs w:val="20"/>
                <w:color w:val="auto"/>
              </w:rPr>
            </w:pPr>
            <w:r>
              <w:rPr>
                <w:rFonts w:ascii="Arial" w:cs="Arial" w:eastAsia="Arial" w:hAnsi="Arial"/>
                <w:sz w:val="15"/>
                <w:szCs w:val="15"/>
                <w:color w:val="auto"/>
              </w:rPr>
              <w:t>194</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(226)</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1" w:lineRule="exact"/>
              <w:rPr>
                <w:sz w:val="20"/>
                <w:szCs w:val="20"/>
                <w:color w:val="auto"/>
              </w:rPr>
            </w:pPr>
            <w:r>
              <w:rPr>
                <w:rFonts w:ascii="Arial" w:cs="Arial" w:eastAsia="Arial" w:hAnsi="Arial"/>
                <w:sz w:val="15"/>
                <w:szCs w:val="15"/>
                <w:color w:val="auto"/>
              </w:rPr>
              <w:t>(367)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CEEFF"/>
          </w:tcPr>
          <w:p>
            <w:pPr>
              <w:ind w:left="340"/>
              <w:spacing w:after="0" w:line="161" w:lineRule="exact"/>
              <w:rPr>
                <w:sz w:val="20"/>
                <w:szCs w:val="20"/>
                <w:color w:val="auto"/>
              </w:rPr>
            </w:pPr>
            <w:r>
              <w:rPr>
                <w:rFonts w:ascii="Arial" w:cs="Arial" w:eastAsia="Arial" w:hAnsi="Arial"/>
                <w:sz w:val="15"/>
                <w:szCs w:val="15"/>
                <w:color w:val="auto"/>
              </w:rPr>
              <w:t>Accounts payable</w:t>
            </w:r>
          </w:p>
        </w:tc>
        <w:tc>
          <w:tcPr>
            <w:tcW w:w="1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(266)</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646</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490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340"/>
              <w:spacing w:after="0" w:line="161" w:lineRule="exact"/>
              <w:rPr>
                <w:sz w:val="20"/>
                <w:szCs w:val="20"/>
                <w:color w:val="auto"/>
              </w:rPr>
            </w:pPr>
            <w:r>
              <w:rPr>
                <w:rFonts w:ascii="Arial" w:cs="Arial" w:eastAsia="Arial" w:hAnsi="Arial"/>
                <w:sz w:val="15"/>
                <w:szCs w:val="15"/>
                <w:color w:val="auto"/>
              </w:rPr>
              <w:t>Accrued expenses</w:t>
            </w: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line="161" w:lineRule="exact"/>
              <w:rPr>
                <w:sz w:val="20"/>
                <w:szCs w:val="20"/>
                <w:color w:val="auto"/>
              </w:rPr>
            </w:pPr>
            <w:r>
              <w:rPr>
                <w:rFonts w:ascii="Arial" w:cs="Arial" w:eastAsia="Arial" w:hAnsi="Arial"/>
                <w:sz w:val="15"/>
                <w:szCs w:val="15"/>
                <w:color w:val="auto"/>
              </w:rPr>
              <w:t>2,830</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841</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1" w:lineRule="exact"/>
              <w:rPr>
                <w:sz w:val="20"/>
                <w:szCs w:val="20"/>
                <w:color w:val="auto"/>
              </w:rPr>
            </w:pPr>
            <w:r>
              <w:rPr>
                <w:rFonts w:ascii="Arial" w:cs="Arial" w:eastAsia="Arial" w:hAnsi="Arial"/>
                <w:sz w:val="15"/>
                <w:szCs w:val="15"/>
                <w:color w:val="auto"/>
              </w:rPr>
              <w:t>387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CEEFF"/>
          </w:tcPr>
          <w:p>
            <w:pPr>
              <w:ind w:left="340"/>
              <w:spacing w:after="0" w:line="161" w:lineRule="exact"/>
              <w:rPr>
                <w:sz w:val="20"/>
                <w:szCs w:val="20"/>
                <w:color w:val="auto"/>
              </w:rPr>
            </w:pPr>
            <w:r>
              <w:rPr>
                <w:rFonts w:ascii="Arial" w:cs="Arial" w:eastAsia="Arial" w:hAnsi="Arial"/>
                <w:sz w:val="15"/>
                <w:szCs w:val="15"/>
                <w:color w:val="auto"/>
              </w:rPr>
              <w:t>Right-of-use assets</w:t>
            </w:r>
          </w:p>
        </w:tc>
        <w:tc>
          <w:tcPr>
            <w:tcW w:w="1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509</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68</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340"/>
              <w:spacing w:after="0" w:line="161" w:lineRule="exact"/>
              <w:rPr>
                <w:sz w:val="20"/>
                <w:szCs w:val="20"/>
                <w:color w:val="auto"/>
              </w:rPr>
            </w:pPr>
            <w:r>
              <w:rPr>
                <w:rFonts w:ascii="Arial" w:cs="Arial" w:eastAsia="Arial" w:hAnsi="Arial"/>
                <w:sz w:val="15"/>
                <w:szCs w:val="15"/>
                <w:color w:val="auto"/>
              </w:rPr>
              <w:t>Other assets</w:t>
            </w: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line="161" w:lineRule="exact"/>
              <w:rPr>
                <w:sz w:val="20"/>
                <w:szCs w:val="20"/>
                <w:color w:val="auto"/>
              </w:rPr>
            </w:pPr>
            <w:r>
              <w:rPr>
                <w:rFonts w:ascii="Arial" w:cs="Arial" w:eastAsia="Arial" w:hAnsi="Arial"/>
                <w:sz w:val="15"/>
                <w:szCs w:val="15"/>
                <w:color w:val="auto"/>
              </w:rPr>
              <w:t>129</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(393)</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CEEFF"/>
          </w:tcPr>
          <w:p>
            <w:pPr>
              <w:ind w:left="340"/>
              <w:spacing w:after="0" w:line="161" w:lineRule="exact"/>
              <w:rPr>
                <w:sz w:val="20"/>
                <w:szCs w:val="20"/>
                <w:color w:val="auto"/>
              </w:rPr>
            </w:pPr>
            <w:r>
              <w:rPr>
                <w:rFonts w:ascii="Arial" w:cs="Arial" w:eastAsia="Arial" w:hAnsi="Arial"/>
                <w:sz w:val="15"/>
                <w:szCs w:val="15"/>
                <w:color w:val="auto"/>
              </w:rPr>
              <w:t>Lease liabilities</w:t>
            </w:r>
          </w:p>
        </w:tc>
        <w:tc>
          <w:tcPr>
            <w:tcW w:w="1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(196)</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(76)</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340"/>
              <w:spacing w:after="0" w:line="161" w:lineRule="exact"/>
              <w:rPr>
                <w:sz w:val="20"/>
                <w:szCs w:val="20"/>
                <w:color w:val="auto"/>
              </w:rPr>
            </w:pPr>
            <w:r>
              <w:rPr>
                <w:rFonts w:ascii="Arial" w:cs="Arial" w:eastAsia="Arial" w:hAnsi="Arial"/>
                <w:sz w:val="15"/>
                <w:szCs w:val="15"/>
                <w:color w:val="auto"/>
              </w:rPr>
              <w:t>Other current and non-current liabilities</w:t>
            </w: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1160" w:type="dxa"/>
            <w:vAlign w:val="bottom"/>
          </w:tcPr>
          <w:p>
            <w:pPr>
              <w:jc w:val="right"/>
              <w:spacing w:after="0" w:line="161" w:lineRule="exact"/>
              <w:rPr>
                <w:sz w:val="20"/>
                <w:szCs w:val="20"/>
                <w:color w:val="auto"/>
              </w:rPr>
            </w:pPr>
            <w:r>
              <w:rPr>
                <w:rFonts w:ascii="Arial" w:cs="Arial" w:eastAsia="Arial" w:hAnsi="Arial"/>
                <w:sz w:val="15"/>
                <w:szCs w:val="15"/>
                <w:color w:val="auto"/>
              </w:rPr>
              <w:t>(397)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60" w:type="dxa"/>
            <w:vAlign w:val="bottom"/>
            <w:tcBorders>
              <w:top w:val="single" w:sz="8" w:color="CCEEFF"/>
            </w:tcBorders>
            <w:shd w:val="clear" w:color="auto" w:fill="CCEEFF"/>
          </w:tcPr>
          <w:p>
            <w:pPr>
              <w:ind w:left="520"/>
              <w:spacing w:after="0" w:line="153" w:lineRule="exact"/>
              <w:rPr>
                <w:sz w:val="20"/>
                <w:szCs w:val="20"/>
                <w:color w:val="auto"/>
              </w:rPr>
            </w:pPr>
            <w:r>
              <w:rPr>
                <w:rFonts w:ascii="Arial" w:cs="Arial" w:eastAsia="Arial" w:hAnsi="Arial"/>
                <w:sz w:val="15"/>
                <w:szCs w:val="15"/>
                <w:color w:val="auto"/>
              </w:rPr>
              <w:t>Net cash used in operating activities</w:t>
            </w:r>
          </w:p>
        </w:tc>
        <w:tc>
          <w:tcPr>
            <w:tcW w:w="14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w w:val="93"/>
              </w:rPr>
              <w:t>(35,365)</w:t>
            </w:r>
          </w:p>
        </w:tc>
        <w:tc>
          <w:tcPr>
            <w:tcW w:w="1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(34,185)</w:t>
            </w:r>
          </w:p>
        </w:tc>
        <w:tc>
          <w:tcPr>
            <w:tcW w:w="1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(23,896)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60" w:type="dxa"/>
            <w:vAlign w:val="bottom"/>
          </w:tcPr>
          <w:p>
            <w:pPr>
              <w:spacing w:after="0" w:line="153" w:lineRule="exact"/>
              <w:rPr>
                <w:sz w:val="20"/>
                <w:szCs w:val="20"/>
                <w:color w:val="auto"/>
              </w:rPr>
            </w:pPr>
            <w:r>
              <w:rPr>
                <w:rFonts w:ascii="Arial" w:cs="Arial" w:eastAsia="Arial" w:hAnsi="Arial"/>
                <w:sz w:val="15"/>
                <w:szCs w:val="15"/>
                <w:b w:val="1"/>
                <w:bCs w:val="1"/>
                <w:color w:val="auto"/>
              </w:rPr>
              <w:t>Cash flows from investing activities:</w:t>
            </w: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CEEFF"/>
          </w:tcPr>
          <w:p>
            <w:pPr>
              <w:ind w:left="160"/>
              <w:spacing w:after="0" w:line="161" w:lineRule="exact"/>
              <w:rPr>
                <w:sz w:val="20"/>
                <w:szCs w:val="20"/>
                <w:color w:val="auto"/>
              </w:rPr>
            </w:pPr>
            <w:r>
              <w:rPr>
                <w:rFonts w:ascii="Arial" w:cs="Arial" w:eastAsia="Arial" w:hAnsi="Arial"/>
                <w:sz w:val="15"/>
                <w:szCs w:val="15"/>
                <w:color w:val="auto"/>
              </w:rPr>
              <w:t>Purchases of property and equipment</w:t>
            </w:r>
          </w:p>
        </w:tc>
        <w:tc>
          <w:tcPr>
            <w:tcW w:w="1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(441)</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(608)</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(276)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160"/>
              <w:spacing w:after="0" w:line="161" w:lineRule="exact"/>
              <w:rPr>
                <w:sz w:val="20"/>
                <w:szCs w:val="20"/>
                <w:color w:val="auto"/>
              </w:rPr>
            </w:pPr>
            <w:r>
              <w:rPr>
                <w:rFonts w:ascii="Arial" w:cs="Arial" w:eastAsia="Arial" w:hAnsi="Arial"/>
                <w:sz w:val="15"/>
                <w:szCs w:val="15"/>
                <w:color w:val="auto"/>
              </w:rPr>
              <w:t>Purchases of investments</w:t>
            </w: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line="161" w:lineRule="exact"/>
              <w:rPr>
                <w:sz w:val="20"/>
                <w:szCs w:val="20"/>
                <w:color w:val="auto"/>
              </w:rPr>
            </w:pPr>
            <w:r>
              <w:rPr>
                <w:rFonts w:ascii="Arial" w:cs="Arial" w:eastAsia="Arial" w:hAnsi="Arial"/>
                <w:sz w:val="15"/>
                <w:szCs w:val="15"/>
                <w:color w:val="auto"/>
                <w:w w:val="93"/>
              </w:rPr>
              <w:t>(29,025)</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(77,993)</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1" w:lineRule="exact"/>
              <w:rPr>
                <w:sz w:val="20"/>
                <w:szCs w:val="20"/>
                <w:color w:val="auto"/>
              </w:rPr>
            </w:pPr>
            <w:r>
              <w:rPr>
                <w:rFonts w:ascii="Arial" w:cs="Arial" w:eastAsia="Arial" w:hAnsi="Arial"/>
                <w:sz w:val="15"/>
                <w:szCs w:val="15"/>
                <w:color w:val="auto"/>
              </w:rPr>
              <w:t>(40,297)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CEEFF"/>
          </w:tcPr>
          <w:p>
            <w:pPr>
              <w:ind w:left="160"/>
              <w:spacing w:after="0" w:line="161" w:lineRule="exact"/>
              <w:rPr>
                <w:sz w:val="20"/>
                <w:szCs w:val="20"/>
                <w:color w:val="auto"/>
              </w:rPr>
            </w:pPr>
            <w:r>
              <w:rPr>
                <w:rFonts w:ascii="Arial" w:cs="Arial" w:eastAsia="Arial" w:hAnsi="Arial"/>
                <w:sz w:val="15"/>
                <w:szCs w:val="15"/>
                <w:color w:val="auto"/>
              </w:rPr>
              <w:t>Maturities of investments</w:t>
            </w:r>
          </w:p>
        </w:tc>
        <w:tc>
          <w:tcPr>
            <w:tcW w:w="1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35,000</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68,500</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41,815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160"/>
              <w:spacing w:after="0" w:line="161" w:lineRule="exact"/>
              <w:rPr>
                <w:sz w:val="20"/>
                <w:szCs w:val="20"/>
                <w:color w:val="auto"/>
              </w:rPr>
            </w:pPr>
            <w:r>
              <w:rPr>
                <w:rFonts w:ascii="Arial" w:cs="Arial" w:eastAsia="Arial" w:hAnsi="Arial"/>
                <w:sz w:val="15"/>
                <w:szCs w:val="15"/>
                <w:color w:val="auto"/>
              </w:rPr>
              <w:t>Sales of investments</w:t>
            </w: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line="161" w:lineRule="exact"/>
              <w:rPr>
                <w:sz w:val="20"/>
                <w:szCs w:val="20"/>
                <w:color w:val="auto"/>
              </w:rPr>
            </w:pPr>
            <w:r>
              <w:rPr>
                <w:rFonts w:ascii="Arial" w:cs="Arial" w:eastAsia="Arial" w:hAnsi="Arial"/>
                <w:sz w:val="15"/>
                <w:szCs w:val="15"/>
                <w:color w:val="auto"/>
              </w:rPr>
              <w:t>4,510</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1160" w:type="dxa"/>
            <w:vAlign w:val="bottom"/>
          </w:tcPr>
          <w:p>
            <w:pPr>
              <w:jc w:val="right"/>
              <w:spacing w:after="0" w:line="161" w:lineRule="exact"/>
              <w:rPr>
                <w:sz w:val="20"/>
                <w:szCs w:val="20"/>
                <w:color w:val="auto"/>
              </w:rPr>
            </w:pPr>
            <w:r>
              <w:rPr>
                <w:rFonts w:ascii="Arial" w:cs="Arial" w:eastAsia="Arial" w:hAnsi="Arial"/>
                <w:sz w:val="15"/>
                <w:szCs w:val="15"/>
                <w:color w:val="auto"/>
              </w:rPr>
              <w:t>24,875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60" w:type="dxa"/>
            <w:vAlign w:val="bottom"/>
            <w:tcBorders>
              <w:top w:val="single" w:sz="8" w:color="CCEEFF"/>
            </w:tcBorders>
            <w:shd w:val="clear" w:color="auto" w:fill="CCEEFF"/>
          </w:tcPr>
          <w:p>
            <w:pPr>
              <w:ind w:left="520"/>
              <w:spacing w:after="0" w:line="153" w:lineRule="exact"/>
              <w:rPr>
                <w:sz w:val="20"/>
                <w:szCs w:val="20"/>
                <w:color w:val="auto"/>
              </w:rPr>
            </w:pPr>
            <w:r>
              <w:rPr>
                <w:rFonts w:ascii="Arial" w:cs="Arial" w:eastAsia="Arial" w:hAnsi="Arial"/>
                <w:sz w:val="15"/>
                <w:szCs w:val="15"/>
                <w:color w:val="auto"/>
              </w:rPr>
              <w:t>Net cash provided by (used in) investing activities</w:t>
            </w:r>
          </w:p>
        </w:tc>
        <w:tc>
          <w:tcPr>
            <w:tcW w:w="14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10,044</w:t>
            </w:r>
          </w:p>
        </w:tc>
        <w:tc>
          <w:tcPr>
            <w:tcW w:w="1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(10,101)</w:t>
            </w:r>
          </w:p>
        </w:tc>
        <w:tc>
          <w:tcPr>
            <w:tcW w:w="1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26,117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60" w:type="dxa"/>
            <w:vAlign w:val="bottom"/>
          </w:tcPr>
          <w:p>
            <w:pPr>
              <w:spacing w:after="0" w:line="153" w:lineRule="exact"/>
              <w:rPr>
                <w:sz w:val="20"/>
                <w:szCs w:val="20"/>
                <w:color w:val="auto"/>
              </w:rPr>
            </w:pPr>
            <w:r>
              <w:rPr>
                <w:rFonts w:ascii="Arial" w:cs="Arial" w:eastAsia="Arial" w:hAnsi="Arial"/>
                <w:sz w:val="15"/>
                <w:szCs w:val="15"/>
                <w:b w:val="1"/>
                <w:bCs w:val="1"/>
                <w:color w:val="auto"/>
              </w:rPr>
              <w:t>Cash flows from financing activities:</w:t>
            </w: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CEEFF"/>
          </w:tcPr>
          <w:p>
            <w:pPr>
              <w:ind w:left="160"/>
              <w:spacing w:after="0" w:line="161" w:lineRule="exact"/>
              <w:rPr>
                <w:sz w:val="20"/>
                <w:szCs w:val="20"/>
                <w:color w:val="auto"/>
              </w:rPr>
            </w:pPr>
            <w:r>
              <w:rPr>
                <w:rFonts w:ascii="Arial" w:cs="Arial" w:eastAsia="Arial" w:hAnsi="Arial"/>
                <w:sz w:val="15"/>
                <w:szCs w:val="15"/>
                <w:color w:val="auto"/>
              </w:rPr>
              <w:t>Proceeds from exercises of stock options and warrants</w:t>
            </w:r>
          </w:p>
        </w:tc>
        <w:tc>
          <w:tcPr>
            <w:tcW w:w="1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961</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272</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498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160"/>
              <w:spacing w:after="0" w:line="161" w:lineRule="exact"/>
              <w:rPr>
                <w:sz w:val="20"/>
                <w:szCs w:val="20"/>
                <w:color w:val="auto"/>
              </w:rPr>
            </w:pPr>
            <w:r>
              <w:rPr>
                <w:rFonts w:ascii="Arial" w:cs="Arial" w:eastAsia="Arial" w:hAnsi="Arial"/>
                <w:sz w:val="15"/>
                <w:szCs w:val="15"/>
                <w:color w:val="auto"/>
                <w:w w:val="92"/>
              </w:rPr>
              <w:t>Proceeds from issuance of common stock under employee stock purchase plan</w:t>
            </w: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line="161" w:lineRule="exact"/>
              <w:rPr>
                <w:sz w:val="20"/>
                <w:szCs w:val="20"/>
                <w:color w:val="auto"/>
              </w:rPr>
            </w:pPr>
            <w:r>
              <w:rPr>
                <w:rFonts w:ascii="Arial" w:cs="Arial" w:eastAsia="Arial" w:hAnsi="Arial"/>
                <w:sz w:val="15"/>
                <w:szCs w:val="15"/>
                <w:color w:val="auto"/>
              </w:rPr>
              <w:t>490</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423</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1" w:lineRule="exact"/>
              <w:rPr>
                <w:sz w:val="20"/>
                <w:szCs w:val="20"/>
                <w:color w:val="auto"/>
              </w:rPr>
            </w:pPr>
            <w:r>
              <w:rPr>
                <w:rFonts w:ascii="Arial" w:cs="Arial" w:eastAsia="Arial" w:hAnsi="Arial"/>
                <w:sz w:val="15"/>
                <w:szCs w:val="15"/>
                <w:color w:val="auto"/>
              </w:rPr>
              <w:t>327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CEEFF"/>
          </w:tcPr>
          <w:p>
            <w:pPr>
              <w:ind w:left="160"/>
              <w:spacing w:after="0" w:line="161" w:lineRule="exact"/>
              <w:rPr>
                <w:sz w:val="20"/>
                <w:szCs w:val="20"/>
                <w:color w:val="auto"/>
              </w:rPr>
            </w:pPr>
            <w:r>
              <w:rPr>
                <w:rFonts w:ascii="Arial" w:cs="Arial" w:eastAsia="Arial" w:hAnsi="Arial"/>
                <w:sz w:val="15"/>
                <w:szCs w:val="15"/>
                <w:color w:val="auto"/>
              </w:rPr>
              <w:t>Proceeds from issuance of common stock from rights offering</w:t>
            </w:r>
          </w:p>
        </w:tc>
        <w:tc>
          <w:tcPr>
            <w:tcW w:w="1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29,434</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44,786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Borders>
              <w:bottom w:val="single" w:sz="8" w:color="CCEEFF"/>
            </w:tcBorders>
          </w:tcPr>
          <w:p>
            <w:pPr>
              <w:ind w:left="160"/>
              <w:spacing w:after="0" w:line="161" w:lineRule="exact"/>
              <w:rPr>
                <w:sz w:val="20"/>
                <w:szCs w:val="20"/>
                <w:color w:val="auto"/>
              </w:rPr>
            </w:pPr>
            <w:r>
              <w:rPr>
                <w:rFonts w:ascii="Arial" w:cs="Arial" w:eastAsia="Arial" w:hAnsi="Arial"/>
                <w:sz w:val="15"/>
                <w:szCs w:val="15"/>
                <w:color w:val="auto"/>
              </w:rPr>
              <w:t>Tax payments related to shares withheld for vested restricted stock units</w:t>
            </w:r>
          </w:p>
        </w:tc>
        <w:tc>
          <w:tcPr>
            <w:tcW w:w="14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(613)</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60" w:type="dxa"/>
            <w:vAlign w:val="bottom"/>
            <w:shd w:val="clear" w:color="auto" w:fill="CCEEFF"/>
          </w:tcPr>
          <w:p>
            <w:pPr>
              <w:ind w:left="520"/>
              <w:spacing w:after="0" w:line="153" w:lineRule="exact"/>
              <w:rPr>
                <w:sz w:val="20"/>
                <w:szCs w:val="20"/>
                <w:color w:val="auto"/>
              </w:rPr>
            </w:pPr>
            <w:r>
              <w:rPr>
                <w:rFonts w:ascii="Arial" w:cs="Arial" w:eastAsia="Arial" w:hAnsi="Arial"/>
                <w:sz w:val="15"/>
                <w:szCs w:val="15"/>
                <w:color w:val="auto"/>
              </w:rPr>
              <w:t>Net cash provided by financing activities</w:t>
            </w:r>
          </w:p>
        </w:tc>
        <w:tc>
          <w:tcPr>
            <w:tcW w:w="140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30,885</w:t>
            </w:r>
          </w:p>
        </w:tc>
        <w:tc>
          <w:tcPr>
            <w:tcW w:w="1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82</w:t>
            </w:r>
          </w:p>
        </w:tc>
        <w:tc>
          <w:tcPr>
            <w:tcW w:w="1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45,496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60" w:type="dxa"/>
            <w:vAlign w:val="bottom"/>
          </w:tcPr>
          <w:p>
            <w:pPr>
              <w:ind w:left="520"/>
              <w:spacing w:after="0" w:line="153" w:lineRule="exact"/>
              <w:rPr>
                <w:sz w:val="20"/>
                <w:szCs w:val="20"/>
                <w:color w:val="auto"/>
              </w:rPr>
            </w:pPr>
            <w:r>
              <w:rPr>
                <w:rFonts w:ascii="Arial" w:cs="Arial" w:eastAsia="Arial" w:hAnsi="Arial"/>
                <w:sz w:val="15"/>
                <w:szCs w:val="15"/>
                <w:color w:val="auto"/>
              </w:rPr>
              <w:t>Net increase (decrease) in cash and cash equivalents</w:t>
            </w: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jc w:val="right"/>
              <w:spacing w:after="0" w:line="153" w:lineRule="exact"/>
              <w:rPr>
                <w:sz w:val="20"/>
                <w:szCs w:val="20"/>
                <w:color w:val="auto"/>
              </w:rPr>
            </w:pPr>
            <w:r>
              <w:rPr>
                <w:rFonts w:ascii="Arial" w:cs="Arial" w:eastAsia="Arial" w:hAnsi="Arial"/>
                <w:sz w:val="15"/>
                <w:szCs w:val="15"/>
                <w:color w:val="auto"/>
              </w:rPr>
              <w:t>5,564</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Arial" w:cs="Arial" w:eastAsia="Arial" w:hAnsi="Arial"/>
                <w:sz w:val="15"/>
                <w:szCs w:val="15"/>
                <w:color w:val="auto"/>
              </w:rPr>
              <w:t>(44,204)</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Arial" w:cs="Arial" w:eastAsia="Arial" w:hAnsi="Arial"/>
                <w:sz w:val="15"/>
                <w:szCs w:val="15"/>
                <w:color w:val="auto"/>
              </w:rPr>
              <w:t>47,717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Cash and cash equivalents at beginning of period</w:t>
            </w:r>
          </w:p>
        </w:tc>
        <w:tc>
          <w:tcPr>
            <w:tcW w:w="14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6,899</w:t>
            </w:r>
          </w:p>
        </w:tc>
        <w:tc>
          <w:tcPr>
            <w:tcW w:w="1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51,103</w:t>
            </w:r>
          </w:p>
        </w:tc>
        <w:tc>
          <w:tcPr>
            <w:tcW w:w="1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3,386</w:t>
            </w:r>
          </w:p>
        </w:tc>
        <w:tc>
          <w:tcPr>
            <w:tcW w:w="0" w:type="dxa"/>
            <w:vAlign w:val="bottom"/>
          </w:tcPr>
          <w:p>
            <w:pPr>
              <w:spacing w:after="0"/>
              <w:rPr>
                <w:sz w:val="1"/>
                <w:szCs w:val="1"/>
                <w:color w:val="auto"/>
              </w:rPr>
            </w:pPr>
          </w:p>
        </w:tc>
      </w:tr>
      <w:tr>
        <w:trPr>
          <w:trHeight w:val="193"/>
        </w:trPr>
        <w:tc>
          <w:tcPr>
            <w:tcW w:w="5080" w:type="dxa"/>
            <w:vAlign w:val="bottom"/>
            <w:gridSpan w:val="2"/>
          </w:tcPr>
          <w:p>
            <w:pPr>
              <w:spacing w:after="0" w:line="153" w:lineRule="exact"/>
              <w:rPr>
                <w:sz w:val="20"/>
                <w:szCs w:val="20"/>
                <w:color w:val="auto"/>
              </w:rPr>
            </w:pPr>
            <w:r>
              <w:rPr>
                <w:rFonts w:ascii="Arial" w:cs="Arial" w:eastAsia="Arial" w:hAnsi="Arial"/>
                <w:sz w:val="15"/>
                <w:szCs w:val="15"/>
                <w:color w:val="auto"/>
              </w:rPr>
              <w:t>Cash and cash equivalents at end of period</w:t>
            </w:r>
          </w:p>
        </w:tc>
        <w:tc>
          <w:tcPr>
            <w:tcW w:w="1400" w:type="dxa"/>
            <w:vAlign w:val="bottom"/>
          </w:tcPr>
          <w:p>
            <w:pPr>
              <w:spacing w:after="0"/>
              <w:rPr>
                <w:sz w:val="16"/>
                <w:szCs w:val="16"/>
                <w:color w:val="auto"/>
              </w:rPr>
            </w:pPr>
          </w:p>
        </w:tc>
        <w:tc>
          <w:tcPr>
            <w:tcW w:w="920" w:type="dxa"/>
            <w:vAlign w:val="bottom"/>
            <w:tcBorders>
              <w:bottom w:val="single" w:sz="8" w:color="auto"/>
            </w:tcBorders>
          </w:tcPr>
          <w:p>
            <w:pPr>
              <w:jc w:val="right"/>
              <w:ind w:right="797"/>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12,463</w:t>
            </w:r>
          </w:p>
        </w:tc>
        <w:tc>
          <w:tcPr>
            <w:tcW w:w="180" w:type="dxa"/>
            <w:vAlign w:val="bottom"/>
          </w:tcPr>
          <w:p>
            <w:pPr>
              <w:spacing w:after="0"/>
              <w:rPr>
                <w:sz w:val="16"/>
                <w:szCs w:val="16"/>
                <w:color w:val="auto"/>
              </w:rPr>
            </w:pPr>
          </w:p>
        </w:tc>
        <w:tc>
          <w:tcPr>
            <w:tcW w:w="340" w:type="dxa"/>
            <w:vAlign w:val="bottom"/>
            <w:tcBorders>
              <w:bottom w:val="single" w:sz="8" w:color="auto"/>
            </w:tcBorders>
          </w:tcPr>
          <w:p>
            <w:pPr>
              <w:jc w:val="right"/>
              <w:ind w:right="183"/>
              <w:spacing w:after="0" w:line="153"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6,899</w:t>
            </w: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ind w:right="183"/>
              <w:spacing w:after="0" w:line="153"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51,103</w:t>
            </w: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506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060" w:type="dxa"/>
            <w:vAlign w:val="bottom"/>
          </w:tcPr>
          <w:p>
            <w:pPr>
              <w:spacing w:after="0" w:line="136" w:lineRule="exact"/>
              <w:rPr>
                <w:sz w:val="20"/>
                <w:szCs w:val="20"/>
                <w:color w:val="auto"/>
              </w:rPr>
            </w:pPr>
            <w:r>
              <w:rPr>
                <w:rFonts w:ascii="Arial" w:cs="Arial" w:eastAsia="Arial" w:hAnsi="Arial"/>
                <w:sz w:val="15"/>
                <w:szCs w:val="15"/>
                <w:b w:val="1"/>
                <w:bCs w:val="1"/>
                <w:color w:val="auto"/>
              </w:rPr>
              <w:t>Supplemental disclosure of noncash investing</w:t>
            </w:r>
          </w:p>
        </w:tc>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60" w:type="dxa"/>
            <w:vAlign w:val="bottom"/>
          </w:tcPr>
          <w:p>
            <w:pPr>
              <w:ind w:left="40"/>
              <w:spacing w:after="0"/>
              <w:rPr>
                <w:sz w:val="20"/>
                <w:szCs w:val="20"/>
                <w:color w:val="auto"/>
              </w:rPr>
            </w:pPr>
            <w:r>
              <w:rPr>
                <w:rFonts w:ascii="Arial" w:cs="Arial" w:eastAsia="Arial" w:hAnsi="Arial"/>
                <w:sz w:val="15"/>
                <w:szCs w:val="15"/>
                <w:b w:val="1"/>
                <w:bCs w:val="1"/>
                <w:color w:val="auto"/>
              </w:rPr>
              <w:t>and financing activities:</w:t>
            </w:r>
          </w:p>
        </w:tc>
        <w:tc>
          <w:tcPr>
            <w:tcW w:w="1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CEEFF"/>
          </w:tcPr>
          <w:p>
            <w:pPr>
              <w:ind w:left="160"/>
              <w:spacing w:after="0" w:line="161" w:lineRule="exact"/>
              <w:rPr>
                <w:sz w:val="20"/>
                <w:szCs w:val="20"/>
                <w:color w:val="auto"/>
              </w:rPr>
            </w:pPr>
            <w:r>
              <w:rPr>
                <w:rFonts w:ascii="Arial" w:cs="Arial" w:eastAsia="Arial" w:hAnsi="Arial"/>
                <w:sz w:val="15"/>
                <w:szCs w:val="15"/>
                <w:color w:val="auto"/>
              </w:rPr>
              <w:t>Other receivable from exercise of warrants and stock options</w:t>
            </w:r>
          </w:p>
        </w:tc>
        <w:tc>
          <w:tcPr>
            <w:tcW w:w="2320" w:type="dxa"/>
            <w:vAlign w:val="bottom"/>
            <w:gridSpan w:val="2"/>
            <w:shd w:val="clear" w:color="auto" w:fill="CCEEFF"/>
          </w:tcPr>
          <w:p>
            <w:pPr>
              <w:jc w:val="right"/>
              <w:ind w:right="797"/>
              <w:spacing w:after="0" w:line="161"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1,053</w:t>
            </w:r>
          </w:p>
        </w:tc>
        <w:tc>
          <w:tcPr>
            <w:tcW w:w="520" w:type="dxa"/>
            <w:vAlign w:val="bottom"/>
            <w:gridSpan w:val="2"/>
            <w:shd w:val="clear" w:color="auto" w:fill="CCEEFF"/>
          </w:tcPr>
          <w:p>
            <w:pPr>
              <w:jc w:val="right"/>
              <w:ind w:right="183"/>
              <w:spacing w:after="0" w:line="161" w:lineRule="exact"/>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183"/>
              <w:spacing w:after="0" w:line="161" w:lineRule="exact"/>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160"/>
              <w:spacing w:after="0" w:line="161" w:lineRule="exact"/>
              <w:rPr>
                <w:sz w:val="20"/>
                <w:szCs w:val="20"/>
                <w:color w:val="auto"/>
              </w:rPr>
            </w:pPr>
            <w:r>
              <w:rPr>
                <w:rFonts w:ascii="Arial" w:cs="Arial" w:eastAsia="Arial" w:hAnsi="Arial"/>
                <w:sz w:val="15"/>
                <w:szCs w:val="15"/>
                <w:color w:val="auto"/>
              </w:rPr>
              <w:t>Change in unrealized gains on available-for-sale securities</w:t>
            </w:r>
          </w:p>
        </w:tc>
        <w:tc>
          <w:tcPr>
            <w:tcW w:w="2320" w:type="dxa"/>
            <w:vAlign w:val="bottom"/>
            <w:gridSpan w:val="2"/>
          </w:tcPr>
          <w:p>
            <w:pPr>
              <w:jc w:val="right"/>
              <w:ind w:right="797"/>
              <w:spacing w:after="0" w:line="161"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61" w:lineRule="exact"/>
              <w:rPr>
                <w:sz w:val="20"/>
                <w:szCs w:val="20"/>
                <w:color w:val="auto"/>
              </w:rPr>
            </w:pPr>
            <w:r>
              <w:rPr>
                <w:rFonts w:ascii="Arial" w:cs="Arial" w:eastAsia="Arial" w:hAnsi="Arial"/>
                <w:sz w:val="15"/>
                <w:szCs w:val="15"/>
                <w:color w:val="auto"/>
              </w:rPr>
              <w:t>(5)</w:t>
            </w:r>
          </w:p>
        </w:tc>
        <w:tc>
          <w:tcPr>
            <w:tcW w:w="520" w:type="dxa"/>
            <w:vAlign w:val="bottom"/>
            <w:gridSpan w:val="2"/>
          </w:tcPr>
          <w:p>
            <w:pPr>
              <w:jc w:val="right"/>
              <w:ind w:right="183"/>
              <w:spacing w:after="0" w:line="161" w:lineRule="exact"/>
              <w:rPr>
                <w:sz w:val="20"/>
                <w:szCs w:val="20"/>
                <w:color w:val="auto"/>
              </w:rPr>
            </w:pPr>
            <w:r>
              <w:rPr>
                <w:rFonts w:ascii="Arial" w:cs="Arial" w:eastAsia="Arial" w:hAnsi="Arial"/>
                <w:sz w:val="15"/>
                <w:szCs w:val="15"/>
                <w:color w:val="auto"/>
              </w:rPr>
              <w:t>$</w:t>
            </w: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5</w:t>
            </w:r>
          </w:p>
        </w:tc>
        <w:tc>
          <w:tcPr>
            <w:tcW w:w="160" w:type="dxa"/>
            <w:vAlign w:val="bottom"/>
          </w:tcPr>
          <w:p>
            <w:pPr>
              <w:spacing w:after="0"/>
              <w:rPr>
                <w:sz w:val="14"/>
                <w:szCs w:val="14"/>
                <w:color w:val="auto"/>
              </w:rPr>
            </w:pPr>
          </w:p>
        </w:tc>
        <w:tc>
          <w:tcPr>
            <w:tcW w:w="340" w:type="dxa"/>
            <w:vAlign w:val="bottom"/>
          </w:tcPr>
          <w:p>
            <w:pPr>
              <w:jc w:val="right"/>
              <w:ind w:right="183"/>
              <w:spacing w:after="0" w:line="161" w:lineRule="exact"/>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61"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CEEFF"/>
          </w:tcPr>
          <w:p>
            <w:pPr>
              <w:ind w:left="160"/>
              <w:spacing w:after="0" w:line="161" w:lineRule="exact"/>
              <w:rPr>
                <w:sz w:val="20"/>
                <w:szCs w:val="20"/>
                <w:color w:val="auto"/>
              </w:rPr>
            </w:pPr>
            <w:r>
              <w:rPr>
                <w:rFonts w:ascii="Arial" w:cs="Arial" w:eastAsia="Arial" w:hAnsi="Arial"/>
                <w:sz w:val="15"/>
                <w:szCs w:val="15"/>
                <w:color w:val="auto"/>
                <w:w w:val="98"/>
              </w:rPr>
              <w:t>Equipment purchases included in accounts payable and accrued expenses</w:t>
            </w:r>
          </w:p>
        </w:tc>
        <w:tc>
          <w:tcPr>
            <w:tcW w:w="2320" w:type="dxa"/>
            <w:vAlign w:val="bottom"/>
            <w:gridSpan w:val="2"/>
            <w:shd w:val="clear" w:color="auto" w:fill="CCEEFF"/>
          </w:tcPr>
          <w:p>
            <w:pPr>
              <w:jc w:val="right"/>
              <w:ind w:right="797"/>
              <w:spacing w:after="0" w:line="161"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20</w:t>
            </w:r>
          </w:p>
        </w:tc>
        <w:tc>
          <w:tcPr>
            <w:tcW w:w="520" w:type="dxa"/>
            <w:vAlign w:val="bottom"/>
            <w:gridSpan w:val="2"/>
            <w:shd w:val="clear" w:color="auto" w:fill="CCEEFF"/>
          </w:tcPr>
          <w:p>
            <w:pPr>
              <w:jc w:val="right"/>
              <w:ind w:right="183"/>
              <w:spacing w:after="0" w:line="161" w:lineRule="exact"/>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279</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3"/>
              <w:spacing w:after="0" w:line="161" w:lineRule="exact"/>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62" w:name="page63"/>
    <w:bookmarkEnd w:id="62"/>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PULSE BIOSCIENCES,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Description of the Business</w:t>
      </w:r>
    </w:p>
    <w:p>
      <w:pPr>
        <w:spacing w:after="0" w:line="154"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Pulse Biosciences, Inc. (the Company) is a novel bioelectric medicine company committed to health innovation that improves and potentially extends the lives of patients. The Company’s CellFX System utilizes its patented Nano-Pulse Stimulation™ (NPS™) technology to treat a variety of applications for which an optimal solution remains unfulfilled. NPS is a proprietary technology that delivers nanosecond duration pulses of high amplitude electrical energy to non-thermally clear targeted cells while sparing adjacent non-cellular tissue. The cell-specific effects of NPS technology have been validated in a series of completed and ongoing clinical studies.</w:t>
      </w:r>
    </w:p>
    <w:p>
      <w:pPr>
        <w:spacing w:after="0" w:line="129"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The Company was incorporated in Nevada on May 19, 2014, and was reincorporated in the State of Delaware on June 18, 2018. The Company’s headquarters and research facility are located in Hayward, California.</w:t>
      </w:r>
    </w:p>
    <w:p>
      <w:pPr>
        <w:spacing w:after="0" w:line="118"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The Company’s activities are subject to significant risks and uncertainties, including the need for additional capital. The Company has not yet commenced any revenue-generating operations, does not have any cash flows from operations,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Principles of Consolidation</w:t>
      </w:r>
    </w:p>
    <w:p>
      <w:pPr>
        <w:spacing w:after="0" w:line="150"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The accompanying consolidated financial statements are prepared in accordance with accounting principles generally accepted in the United States of America (U.S. GAAP) and pursuant to the rules and regulations of the United States Securities Exchange Commission (the SEC). The consolidated financial statements include the financial statements of the Company and its wholly-owned subsidiaries and intercompany balances and transactions have been eliminated in consolidation.</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50" w:lineRule="exact"/>
        <w:rPr>
          <w:sz w:val="20"/>
          <w:szCs w:val="20"/>
          <w:color w:val="auto"/>
        </w:rPr>
      </w:pPr>
    </w:p>
    <w:p>
      <w:pPr>
        <w:jc w:val="both"/>
        <w:ind w:right="20" w:firstLine="376"/>
        <w:spacing w:after="0"/>
        <w:rPr>
          <w:sz w:val="20"/>
          <w:szCs w:val="20"/>
          <w:color w:val="auto"/>
        </w:rPr>
      </w:pPr>
      <w:r>
        <w:rPr>
          <w:rFonts w:ascii="Arial" w:cs="Arial" w:eastAsia="Arial" w:hAnsi="Arial"/>
          <w:sz w:val="15"/>
          <w:szCs w:val="15"/>
          <w:color w:val="auto"/>
        </w:rPr>
        <w:t>The preparation of financial statements in conformity with U.S. GAAP requires the Company to make estimates that affect the amounts reported in the financial statements and accompanying notes to the financial statements. Estimates include, but are not limited to, the valuation of investments, clinical trial accruals, the valuation and recognition of stock-based compensation and useful lives assigned to long-lived assets. Actual amounts could differ from these estimates.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Concentration of Credit Risk</w:t>
      </w:r>
    </w:p>
    <w:p>
      <w:pPr>
        <w:spacing w:after="0" w:line="150"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333333"/>
        </w:rPr>
        <w:t>Financial instruments that potentially subject the Company to a concentration of credit risk consist of cash and cash equivalents and investments. The Company places its cash equivalents and investments with high credit quality financial institutions and, by policy, limits the amounts invested with any one financial institution or issuer. Deposits held with banks may exceed the amount of insurance provided on such deposits. The Company has not experienced any losses since inception.</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150"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333333"/>
        </w:rPr>
        <w:t xml:space="preserve">The </w:t>
      </w:r>
      <w:r>
        <w:rPr>
          <w:rFonts w:ascii="Arial" w:cs="Arial" w:eastAsia="Arial" w:hAnsi="Arial"/>
          <w:sz w:val="15"/>
          <w:szCs w:val="15"/>
          <w:color w:val="000000"/>
        </w:rPr>
        <w:t>Company believes the carrying amounts of its financial instruments, including cash equivalents, prepaid expenses and other current assets, accounts payable and accrued</w:t>
      </w:r>
      <w:r>
        <w:rPr>
          <w:rFonts w:ascii="Arial" w:cs="Arial" w:eastAsia="Arial" w:hAnsi="Arial"/>
          <w:sz w:val="15"/>
          <w:szCs w:val="15"/>
          <w:color w:val="333333"/>
        </w:rPr>
        <w:t xml:space="preserve"> </w:t>
      </w:r>
      <w:r>
        <w:rPr>
          <w:rFonts w:ascii="Arial" w:cs="Arial" w:eastAsia="Arial" w:hAnsi="Arial"/>
          <w:sz w:val="15"/>
          <w:szCs w:val="15"/>
          <w:color w:val="000000"/>
        </w:rPr>
        <w:t>expenses, approximate fair value due to the short-term nature of such instruments.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33333"/>
        </w:rPr>
        <w:t>Cash, Cash Equivalents and Investments</w:t>
      </w:r>
    </w:p>
    <w:p>
      <w:pPr>
        <w:spacing w:after="0" w:line="150"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333333"/>
        </w:rPr>
        <w:t>The Company considers all highly liquid investments purchased with an original maturity of three months or less to be cash equivalents. The Company has designated all investments as available-for-sale and therefore, such investments are reported at fair value, with unrealized gains and losses recognized in accumulated other comprehensive income (loss) in stockholders’ equity. The cost of marketable securities is adjusted for the amortization of premiums and discounts to expected maturity. Premium and discount amortization is included in other income, net. Realized gains and losses, as well as interest income, on available-for-sale securities are also included in other income, net. The Company includes all of its available-for-sale securities in current assets.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63" w:name="page64"/>
    <w:bookmarkEnd w:id="63"/>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333333"/>
        </w:rPr>
        <w:t>All of the Company’s investments are subject to annual impairment review. The Company recognizes an impairment loss when a decline in the fair value of its marketable investments below the cost basis is judged to be other-than-temporary. Factors considered in determining whether a loss is temporary include the length of time and extent to which the marketable investments fair value has been less than the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No impairment losses were incurred during the periods presented</w:t>
      </w:r>
      <w:r>
        <w:rPr>
          <w:rFonts w:ascii="Arial" w:cs="Arial" w:eastAsia="Arial" w:hAnsi="Arial"/>
          <w:sz w:val="15"/>
          <w:szCs w:val="15"/>
          <w:color w:val="000000"/>
        </w:rPr>
        <w:t>.</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Property and Equipment</w:t>
      </w:r>
    </w:p>
    <w:p>
      <w:pPr>
        <w:spacing w:after="0" w:line="150"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Leasehold improvements are amortized using the straight-line method over the shorter of the lease term or estimated useful life. Equipment is recorded at cost and depreciated using the straight-line method over their estimated useful lives, ranging from three to five years.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Intangible Assets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Company’s intangible assets consist of acquired patents and licenses, which are amortized over their estimated useful lives of twelve years.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Long-Lived Assets</w:t>
      </w:r>
    </w:p>
    <w:p>
      <w:pPr>
        <w:spacing w:after="0" w:line="150" w:lineRule="exact"/>
        <w:rPr>
          <w:sz w:val="20"/>
          <w:szCs w:val="20"/>
          <w:color w:val="auto"/>
        </w:rPr>
      </w:pPr>
    </w:p>
    <w:p>
      <w:pPr>
        <w:jc w:val="both"/>
        <w:ind w:firstLine="376"/>
        <w:spacing w:after="0" w:line="295" w:lineRule="auto"/>
        <w:rPr>
          <w:sz w:val="20"/>
          <w:szCs w:val="20"/>
          <w:color w:val="auto"/>
        </w:rPr>
      </w:pPr>
      <w:r>
        <w:rPr>
          <w:rFonts w:ascii="Arial" w:cs="Arial" w:eastAsia="Arial" w:hAnsi="Arial"/>
          <w:sz w:val="13"/>
          <w:szCs w:val="13"/>
          <w:color w:val="auto"/>
        </w:rPr>
        <w:t>The Company reviews long-lived assets, consisting of property and equipment and intangible assets, for impairment during each fiscal year or when events or changes in circumstances indicate the carrying value of these assets may exceed their current fair values. Recoverability of assets to be held and used is measured by a comparison of the carrying amount of an asset to the estimated undiscounted future cash flows expected to be generated by the asset. No impairment losses were incurred during the periods presented.</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Goodwill</w:t>
      </w:r>
    </w:p>
    <w:p>
      <w:pPr>
        <w:spacing w:after="0" w:line="150" w:lineRule="exact"/>
        <w:rPr>
          <w:sz w:val="20"/>
          <w:szCs w:val="20"/>
          <w:color w:val="auto"/>
        </w:rPr>
      </w:pPr>
    </w:p>
    <w:p>
      <w:pPr>
        <w:jc w:val="both"/>
        <w:ind w:right="20" w:firstLine="376"/>
        <w:spacing w:after="0"/>
        <w:rPr>
          <w:sz w:val="20"/>
          <w:szCs w:val="20"/>
          <w:color w:val="auto"/>
        </w:rPr>
      </w:pPr>
      <w:r>
        <w:rPr>
          <w:rFonts w:ascii="Arial" w:cs="Arial" w:eastAsia="Arial" w:hAnsi="Arial"/>
          <w:sz w:val="15"/>
          <w:szCs w:val="15"/>
          <w:color w:val="auto"/>
        </w:rPr>
        <w:t>The Company records goodwill when the consideration paid in a business acquisition exceeds the fair value of the net tangible assets and the identified intangible assets acquired. The Company reviews goodwill for impairment at the reporting unit level at least annually or whenever changes in circumstances indicate that the carrying value of the goodwill may not be recoverable. To date, there has been no impairment of goodwill.</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50" w:lineRule="exact"/>
        <w:rPr>
          <w:sz w:val="20"/>
          <w:szCs w:val="20"/>
          <w:color w:val="auto"/>
        </w:rPr>
      </w:pPr>
    </w:p>
    <w:p>
      <w:pPr>
        <w:jc w:val="both"/>
        <w:ind w:firstLine="376"/>
        <w:spacing w:after="0" w:line="249" w:lineRule="auto"/>
        <w:rPr>
          <w:sz w:val="20"/>
          <w:szCs w:val="20"/>
          <w:color w:val="auto"/>
        </w:rPr>
      </w:pPr>
      <w:r>
        <w:rPr>
          <w:rFonts w:ascii="Arial" w:cs="Arial" w:eastAsia="Arial" w:hAnsi="Arial"/>
          <w:sz w:val="14"/>
          <w:szCs w:val="14"/>
          <w:color w:val="auto"/>
        </w:rPr>
        <w:t>The Company recognizes the cost of stock-based compensation in the financial statements based upon fair value. The fair value of stock options is determined as of the grant date using the Black-Scholes option pricing model. The fair value of RSU awards is determined based on the number of units granted and the closing price of the Company’s common stock on the grant date. The fair value of each purchase under the employee stock purchase plan (ESPP) is estimated at the beginning of the offering period using the Black-Scholes option pricing model. The Company’s determination of the fair value of equity-settled awards is impacted by the price of the Company's common stock as well as changes in assumptions regarding a number of complex and subjective variables. These variables include, but are not limited to, the expected term that awards will remain outstanding, expected common stock price volatility over the term of the awards, risk-free interest rates and expected dividends. The fair value of an award is recognized over the period during which service is required to be performed in exchange for the award, the requisite service period (usually the vesting period) on a straight-line basis.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Equity instruments issued to non-employees are recorded at their fair value on the grant date and are subject to periodic adjustments as the underlying equity instruments vest.</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these equity instruments are expensed over the service period.</w:t>
      </w:r>
    </w:p>
    <w:p>
      <w:pPr>
        <w:spacing w:after="0" w:line="138"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4"/>
          <w:szCs w:val="14"/>
          <w:color w:val="auto"/>
        </w:rPr>
        <w:t>Estimates of the fair value of equity-settled awards as of the grant date using valuation models, such as the Black-Scholes option pricing model, are affected by assumptions regarding a number of complex variables. Changes in the assumptions can materially affect the fair value of the award and the stock-based compensation expense recognized. These inputs are subjective and generally require significant analysis and judgment to develop. The Company determines the volatility factor based on the historical volatilities of comparable public companies in similar industries. The risk-free interest rate is based on the yield available on U.S. Treasury zero-coupon issues similar in duration to the expected term of the equity-settled award. For all stock options granted to date, the Company used the simplified method to calculate the expected term, which is the average of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64" w:name="page65"/>
    <w:bookmarkEnd w:id="64"/>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contractual term and vesting period. Prior to the Company’s initial public offering, the fair value of common stock was determined by reference to either recent or anticipated cash transactions involving the sale of the Company’s common stock.</w:t>
      </w:r>
    </w:p>
    <w:p>
      <w:pPr>
        <w:spacing w:after="0" w:line="118"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The Company recognizes the fair value of stock-based compensation costs in general and administrative costs and in research and development costs, as appropriate, in the Company’s consolidated statements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Research and Development Costs</w:t>
      </w:r>
    </w:p>
    <w:p>
      <w:pPr>
        <w:spacing w:after="0" w:line="150"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Research and development costs consist primarily of compensation costs, fees paid to consultants and outside service providers and organizations (including university research institutes), costs associated with clinical trials, development prototypes and other expenses relating to the acquisition, design, development and testing of the Company’s product candidates, and certain facilities related costs. Research and development costs incurred by the Company are expensed as incurred, unless the achievement of milestones, the completion of contracted work, or other information indicates that a different expensing schedule is more appropriate.</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Patent Costs</w:t>
      </w:r>
    </w:p>
    <w:p>
      <w:pPr>
        <w:spacing w:after="0" w:line="150" w:lineRule="exact"/>
        <w:rPr>
          <w:sz w:val="20"/>
          <w:szCs w:val="20"/>
          <w:color w:val="auto"/>
        </w:rPr>
      </w:pPr>
    </w:p>
    <w:p>
      <w:pPr>
        <w:jc w:val="both"/>
        <w:ind w:firstLine="376"/>
        <w:spacing w:after="0" w:line="283" w:lineRule="auto"/>
        <w:rPr>
          <w:sz w:val="20"/>
          <w:szCs w:val="20"/>
          <w:color w:val="auto"/>
        </w:rPr>
      </w:pPr>
      <w:r>
        <w:rPr>
          <w:rFonts w:ascii="Arial" w:cs="Arial" w:eastAsia="Arial" w:hAnsi="Arial"/>
          <w:sz w:val="13"/>
          <w:szCs w:val="13"/>
          <w:color w:val="auto"/>
        </w:rPr>
        <w:t>The Company is the owner of numerous domestic and foreign patents. Due to the significant uncertainty associated with the successful development of one or more commercially viable products based on the Company’s research efforts and any related patent applications, patent costs not related to acquired patents, including patent-related legal fees, filing fees and other costs, including internally generated costs, are expensed as incurred. During the years ended December 31, 2020, 2019 and 2018, patent costs totaled $0.5 million, $0.6 million and $0.6 million, respectively. Patent costs are included in general and administrative costs in the consolidated statements of operations and comprehensive loss.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150"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The Company accounts for income taxes under an asset and liability approach for financial accounting and reporting for income taxes. Accordingly, the Company recognizes deferred tax assets and liabilities for the expected impact of differences between the financial statements and the tax basis of assets and liabilities.</w:t>
      </w:r>
    </w:p>
    <w:p>
      <w:pPr>
        <w:spacing w:after="0" w:line="118" w:lineRule="exact"/>
        <w:rPr>
          <w:sz w:val="20"/>
          <w:szCs w:val="20"/>
          <w:color w:val="auto"/>
        </w:rPr>
      </w:pPr>
    </w:p>
    <w:p>
      <w:pPr>
        <w:jc w:val="both"/>
        <w:ind w:firstLine="354"/>
        <w:spacing w:after="0" w:line="236" w:lineRule="auto"/>
        <w:rPr>
          <w:sz w:val="20"/>
          <w:szCs w:val="20"/>
          <w:color w:val="auto"/>
        </w:rPr>
      </w:pPr>
      <w:r>
        <w:rPr>
          <w:rFonts w:ascii="Arial" w:cs="Arial" w:eastAsia="Arial" w:hAnsi="Arial"/>
          <w:sz w:val="15"/>
          <w:szCs w:val="15"/>
          <w:color w:val="auto"/>
        </w:rPr>
        <w:t>The Company records a valuation allowance to reduce its deferred tax assets to the amount that is more-likely-than-not to be realized. In the event the Company determines that it would be able to realize its deferred tax assets in the future in excess of its recorded amount, an adjustment to the deferred tax assets would be credited to operations in the period such determination was made. Likewise, should the Company determine that it would not be able to realize all or part of its deferred tax assets in the future, an adjustment to the deferred tax assets would be charged to operations in the period such determination was made.</w:t>
      </w:r>
    </w:p>
    <w:p>
      <w:pPr>
        <w:spacing w:after="0" w:line="129"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The Company is subject to U.S. federal income taxes and income taxes in the state of California. As the Company’s net operating losses have yet to be utilized, previous tax years remain open to examination by federal authorities and other jurisdictions in which the Company currently operates or has operated in the past. The Company is not currently under examination by any tax authority.</w:t>
      </w:r>
    </w:p>
    <w:p>
      <w:pPr>
        <w:spacing w:after="0" w:line="128"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auto"/>
        </w:rPr>
        <w:t>The Company accounts for uncertainties in income tax law under a comprehensive model for the financial statement recognition, measurement, presentation and disclosure of uncertain tax positions taken or expected to be taken in income tax returns as prescribed by U.S. GAAP. The tax effects of a position are recognized only if it is more-likely-than-not to be sustained by the taxing authority as of the reporting date. If the tax position is not considered more-likely-than-not to be sustained, then no benefits of the position are recognized. At December 31, 2020 and 2019, the Company had not recorded any liability for uncertain tax positions. The Company includes interest and penalties related to uncertain tax positions as a component of income tax expense.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Comprehensive Loss</w:t>
      </w:r>
    </w:p>
    <w:p>
      <w:pPr>
        <w:spacing w:after="0" w:line="150"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Comprehensive loss consists of net loss and unrealized gains or losses on available-for-sale investments. The Company displays comprehensive loss and its components as part of the consolidated statements of operations and comprehensive loss.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Loss per Share</w:t>
      </w:r>
    </w:p>
    <w:p>
      <w:pPr>
        <w:spacing w:after="0" w:line="150"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The Company calculates basic net loss per share by dividing net loss by the weighted average number of shares of common stock outstanding during the period. Diluted net loss per share is computed by giving effect to all potential dilutive common stock equivalents outstanding during the period. For purposes of this calculation, options to purchase common stock</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65" w:name="page66"/>
    <w:bookmarkEnd w:id="65"/>
    <w:p>
      <w:pPr>
        <w:ind w:left="8"/>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ind w:left="8" w:right="20"/>
        <w:spacing w:after="0" w:line="255" w:lineRule="auto"/>
        <w:rPr>
          <w:sz w:val="20"/>
          <w:szCs w:val="20"/>
          <w:color w:val="auto"/>
        </w:rPr>
      </w:pPr>
      <w:r>
        <w:rPr>
          <w:rFonts w:ascii="Arial" w:cs="Arial" w:eastAsia="Arial" w:hAnsi="Arial"/>
          <w:sz w:val="15"/>
          <w:szCs w:val="15"/>
          <w:color w:val="auto"/>
        </w:rPr>
        <w:t>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118" w:lineRule="exact"/>
        <w:rPr>
          <w:sz w:val="20"/>
          <w:szCs w:val="20"/>
          <w:color w:val="auto"/>
        </w:rPr>
      </w:pPr>
    </w:p>
    <w:p>
      <w:pPr>
        <w:jc w:val="both"/>
        <w:ind w:left="8" w:right="20" w:firstLine="376"/>
        <w:spacing w:after="0" w:line="255" w:lineRule="auto"/>
        <w:rPr>
          <w:sz w:val="20"/>
          <w:szCs w:val="20"/>
          <w:color w:val="auto"/>
        </w:rPr>
      </w:pPr>
      <w:r>
        <w:rPr>
          <w:rFonts w:ascii="Arial" w:cs="Arial" w:eastAsia="Arial" w:hAnsi="Arial"/>
          <w:sz w:val="15"/>
          <w:szCs w:val="15"/>
          <w:color w:val="auto"/>
        </w:rPr>
        <w:t>The following outstanding stock options, warrants and RSUs to purchase common stock were excluded from the computation of diluted net loss per share for the periods presented because including them would have had an anti-dilutive effect:</w:t>
      </w:r>
    </w:p>
    <w:p>
      <w:pPr>
        <w:spacing w:after="0" w:line="281" w:lineRule="exact"/>
        <w:rPr>
          <w:sz w:val="20"/>
          <w:szCs w:val="20"/>
          <w:color w:val="auto"/>
        </w:rPr>
      </w:pPr>
    </w:p>
    <w:p>
      <w:pPr>
        <w:ind w:left="7308"/>
        <w:spacing w:after="0"/>
        <w:rPr>
          <w:sz w:val="20"/>
          <w:szCs w:val="20"/>
          <w:color w:val="auto"/>
        </w:rPr>
      </w:pPr>
      <w:r>
        <w:rPr>
          <w:rFonts w:ascii="Arial" w:cs="Arial" w:eastAsia="Arial" w:hAnsi="Arial"/>
          <w:sz w:val="12"/>
          <w:szCs w:val="12"/>
          <w:b w:val="1"/>
          <w:bCs w:val="1"/>
          <w:color w:val="auto"/>
        </w:rPr>
        <w:t>Year Ended December 31,</w:t>
      </w:r>
    </w:p>
    <w:p>
      <w:pPr>
        <w:spacing w:after="0" w:line="9" w:lineRule="exact"/>
        <w:rPr>
          <w:sz w:val="20"/>
          <w:szCs w:val="20"/>
          <w:color w:val="auto"/>
        </w:rPr>
      </w:pPr>
    </w:p>
    <w:tbl>
      <w:tblPr>
        <w:tblLayout w:type="fixed"/>
        <w:tblInd w:w="8" w:type="dxa"/>
        <w:tblCellMar>
          <w:top w:w="0" w:type="dxa"/>
          <w:left w:w="0" w:type="dxa"/>
          <w:bottom w:w="0" w:type="dxa"/>
          <w:right w:w="0" w:type="dxa"/>
        </w:tblCellMar>
      </w:tblPr>
      <w:tr>
        <w:trPr>
          <w:trHeight w:val="118"/>
        </w:trPr>
        <w:tc>
          <w:tcPr>
            <w:tcW w:w="4700" w:type="dxa"/>
            <w:vAlign w:val="bottom"/>
            <w:tcBorders>
              <w:bottom w:val="single" w:sz="8" w:color="CCEEFF"/>
            </w:tcBorders>
          </w:tcPr>
          <w:p>
            <w:pPr>
              <w:spacing w:after="0"/>
              <w:rPr>
                <w:sz w:val="10"/>
                <w:szCs w:val="10"/>
                <w:color w:val="auto"/>
              </w:rPr>
            </w:pPr>
          </w:p>
        </w:tc>
        <w:tc>
          <w:tcPr>
            <w:tcW w:w="1240" w:type="dxa"/>
            <w:vAlign w:val="bottom"/>
            <w:tcBorders>
              <w:top w:val="single" w:sz="8" w:color="auto"/>
              <w:bottom w:val="single" w:sz="8" w:color="auto"/>
            </w:tcBorders>
          </w:tcPr>
          <w:p>
            <w:pPr>
              <w:jc w:val="right"/>
              <w:ind w:right="59"/>
              <w:spacing w:after="0" w:line="118" w:lineRule="exact"/>
              <w:rPr>
                <w:sz w:val="20"/>
                <w:szCs w:val="20"/>
                <w:color w:val="auto"/>
              </w:rPr>
            </w:pPr>
            <w:r>
              <w:rPr>
                <w:rFonts w:ascii="Arial" w:cs="Arial" w:eastAsia="Arial" w:hAnsi="Arial"/>
                <w:sz w:val="12"/>
                <w:szCs w:val="12"/>
                <w:b w:val="1"/>
                <w:bCs w:val="1"/>
                <w:color w:val="auto"/>
              </w:rPr>
              <w:t>2020</w:t>
            </w:r>
          </w:p>
        </w:tc>
        <w:tc>
          <w:tcPr>
            <w:tcW w:w="78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auto"/>
              <w:bottom w:val="single" w:sz="8" w:color="CCEEFF"/>
            </w:tcBorders>
          </w:tcPr>
          <w:p>
            <w:pPr>
              <w:spacing w:after="0"/>
              <w:rPr>
                <w:sz w:val="10"/>
                <w:szCs w:val="10"/>
                <w:color w:val="auto"/>
              </w:rPr>
            </w:pPr>
          </w:p>
        </w:tc>
        <w:tc>
          <w:tcPr>
            <w:tcW w:w="2020" w:type="dxa"/>
            <w:vAlign w:val="bottom"/>
            <w:tcBorders>
              <w:top w:val="single" w:sz="8" w:color="auto"/>
              <w:bottom w:val="single" w:sz="8" w:color="auto"/>
            </w:tcBorders>
          </w:tcPr>
          <w:p>
            <w:pPr>
              <w:jc w:val="right"/>
              <w:ind w:right="826"/>
              <w:spacing w:after="0" w:line="118" w:lineRule="exact"/>
              <w:rPr>
                <w:sz w:val="20"/>
                <w:szCs w:val="20"/>
                <w:color w:val="auto"/>
              </w:rPr>
            </w:pPr>
            <w:r>
              <w:rPr>
                <w:rFonts w:ascii="Arial" w:cs="Arial" w:eastAsia="Arial" w:hAnsi="Arial"/>
                <w:sz w:val="12"/>
                <w:szCs w:val="12"/>
                <w:b w:val="1"/>
                <w:bCs w:val="1"/>
                <w:color w:val="auto"/>
              </w:rPr>
              <w:t>2019</w:t>
            </w:r>
          </w:p>
        </w:tc>
        <w:tc>
          <w:tcPr>
            <w:tcW w:w="240" w:type="dxa"/>
            <w:vAlign w:val="bottom"/>
            <w:tcBorders>
              <w:top w:val="single" w:sz="8" w:color="auto"/>
              <w:bottom w:val="single" w:sz="8" w:color="CCEEFF"/>
            </w:tcBorders>
          </w:tcPr>
          <w:p>
            <w:pPr>
              <w:spacing w:after="0"/>
              <w:rPr>
                <w:sz w:val="10"/>
                <w:szCs w:val="10"/>
                <w:color w:val="auto"/>
              </w:rPr>
            </w:pPr>
          </w:p>
        </w:tc>
        <w:tc>
          <w:tcPr>
            <w:tcW w:w="2040" w:type="dxa"/>
            <w:vAlign w:val="bottom"/>
            <w:tcBorders>
              <w:top w:val="single" w:sz="8" w:color="auto"/>
              <w:bottom w:val="single" w:sz="8" w:color="auto"/>
            </w:tcBorders>
          </w:tcPr>
          <w:p>
            <w:pPr>
              <w:jc w:val="right"/>
              <w:ind w:right="826"/>
              <w:spacing w:after="0" w:line="118" w:lineRule="exact"/>
              <w:rPr>
                <w:sz w:val="20"/>
                <w:szCs w:val="20"/>
                <w:color w:val="auto"/>
              </w:rPr>
            </w:pPr>
            <w:r>
              <w:rPr>
                <w:rFonts w:ascii="Arial" w:cs="Arial" w:eastAsia="Arial" w:hAnsi="Arial"/>
                <w:sz w:val="12"/>
                <w:szCs w:val="12"/>
                <w:b w:val="1"/>
                <w:bCs w:val="1"/>
                <w:color w:val="auto"/>
              </w:rPr>
              <w:t>2018</w:t>
            </w:r>
          </w:p>
        </w:tc>
      </w:tr>
      <w:tr>
        <w:trPr>
          <w:trHeight w:val="153"/>
        </w:trPr>
        <w:tc>
          <w:tcPr>
            <w:tcW w:w="47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Common stock warrants</w:t>
            </w:r>
          </w:p>
        </w:tc>
        <w:tc>
          <w:tcPr>
            <w:tcW w:w="1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612,310</w:t>
            </w:r>
          </w:p>
        </w:tc>
        <w:tc>
          <w:tcPr>
            <w:tcW w:w="240" w:type="dxa"/>
            <w:vAlign w:val="bottom"/>
            <w:shd w:val="clear" w:color="auto" w:fill="CCEEFF"/>
          </w:tcPr>
          <w:p>
            <w:pPr>
              <w:spacing w:after="0"/>
              <w:rPr>
                <w:sz w:val="13"/>
                <w:szCs w:val="13"/>
                <w:color w:val="auto"/>
              </w:rPr>
            </w:pPr>
          </w:p>
        </w:tc>
        <w:tc>
          <w:tcPr>
            <w:tcW w:w="202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167,847</w:t>
            </w:r>
          </w:p>
        </w:tc>
        <w:tc>
          <w:tcPr>
            <w:tcW w:w="240" w:type="dxa"/>
            <w:vAlign w:val="bottom"/>
            <w:shd w:val="clear" w:color="auto" w:fill="CCEEFF"/>
          </w:tcPr>
          <w:p>
            <w:pPr>
              <w:spacing w:after="0"/>
              <w:rPr>
                <w:sz w:val="13"/>
                <w:szCs w:val="13"/>
                <w:color w:val="auto"/>
              </w:rPr>
            </w:pPr>
          </w:p>
        </w:tc>
        <w:tc>
          <w:tcPr>
            <w:tcW w:w="204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213,485</w:t>
            </w:r>
          </w:p>
        </w:tc>
      </w:tr>
      <w:tr>
        <w:trPr>
          <w:trHeight w:val="161"/>
        </w:trPr>
        <w:tc>
          <w:tcPr>
            <w:tcW w:w="5940" w:type="dxa"/>
            <w:vAlign w:val="bottom"/>
            <w:gridSpan w:val="2"/>
          </w:tcPr>
          <w:p>
            <w:pPr>
              <w:spacing w:after="0" w:line="161" w:lineRule="exact"/>
              <w:rPr>
                <w:sz w:val="20"/>
                <w:szCs w:val="20"/>
                <w:color w:val="auto"/>
              </w:rPr>
            </w:pPr>
            <w:r>
              <w:rPr>
                <w:rFonts w:ascii="Arial" w:cs="Arial" w:eastAsia="Arial" w:hAnsi="Arial"/>
                <w:sz w:val="15"/>
                <w:szCs w:val="15"/>
                <w:color w:val="auto"/>
              </w:rPr>
              <w:t>Common stock options</w:t>
            </w:r>
          </w:p>
        </w:tc>
        <w:tc>
          <w:tcPr>
            <w:tcW w:w="780" w:type="dxa"/>
            <w:vAlign w:val="bottom"/>
          </w:tcPr>
          <w:p>
            <w:pPr>
              <w:jc w:val="right"/>
              <w:spacing w:after="0" w:line="161" w:lineRule="exact"/>
              <w:rPr>
                <w:sz w:val="20"/>
                <w:szCs w:val="20"/>
                <w:color w:val="auto"/>
              </w:rPr>
            </w:pPr>
            <w:r>
              <w:rPr>
                <w:rFonts w:ascii="Arial" w:cs="Arial" w:eastAsia="Arial" w:hAnsi="Arial"/>
                <w:sz w:val="15"/>
                <w:szCs w:val="15"/>
                <w:color w:val="auto"/>
              </w:rPr>
              <w:t>5,039,194</w:t>
            </w:r>
          </w:p>
        </w:tc>
        <w:tc>
          <w:tcPr>
            <w:tcW w:w="240" w:type="dxa"/>
            <w:vAlign w:val="bottom"/>
          </w:tcPr>
          <w:p>
            <w:pPr>
              <w:spacing w:after="0"/>
              <w:rPr>
                <w:sz w:val="14"/>
                <w:szCs w:val="14"/>
                <w:color w:val="auto"/>
              </w:rPr>
            </w:pPr>
          </w:p>
        </w:tc>
        <w:tc>
          <w:tcPr>
            <w:tcW w:w="2020" w:type="dxa"/>
            <w:vAlign w:val="bottom"/>
          </w:tcPr>
          <w:p>
            <w:pPr>
              <w:jc w:val="right"/>
              <w:spacing w:after="0" w:line="161" w:lineRule="exact"/>
              <w:rPr>
                <w:sz w:val="20"/>
                <w:szCs w:val="20"/>
                <w:color w:val="auto"/>
              </w:rPr>
            </w:pPr>
            <w:r>
              <w:rPr>
                <w:rFonts w:ascii="Arial" w:cs="Arial" w:eastAsia="Arial" w:hAnsi="Arial"/>
                <w:sz w:val="15"/>
                <w:szCs w:val="15"/>
                <w:color w:val="auto"/>
              </w:rPr>
              <w:t>3,749,186</w:t>
            </w:r>
          </w:p>
        </w:tc>
        <w:tc>
          <w:tcPr>
            <w:tcW w:w="240" w:type="dxa"/>
            <w:vAlign w:val="bottom"/>
          </w:tcPr>
          <w:p>
            <w:pPr>
              <w:spacing w:after="0"/>
              <w:rPr>
                <w:sz w:val="14"/>
                <w:szCs w:val="14"/>
                <w:color w:val="auto"/>
              </w:rPr>
            </w:pPr>
          </w:p>
        </w:tc>
        <w:tc>
          <w:tcPr>
            <w:tcW w:w="2040" w:type="dxa"/>
            <w:vAlign w:val="bottom"/>
          </w:tcPr>
          <w:p>
            <w:pPr>
              <w:jc w:val="right"/>
              <w:spacing w:after="0" w:line="161" w:lineRule="exact"/>
              <w:rPr>
                <w:sz w:val="20"/>
                <w:szCs w:val="20"/>
                <w:color w:val="auto"/>
              </w:rPr>
            </w:pPr>
            <w:r>
              <w:rPr>
                <w:rFonts w:ascii="Arial" w:cs="Arial" w:eastAsia="Arial" w:hAnsi="Arial"/>
                <w:sz w:val="15"/>
                <w:szCs w:val="15"/>
                <w:color w:val="auto"/>
              </w:rPr>
              <w:t>2,956,687</w:t>
            </w:r>
          </w:p>
        </w:tc>
      </w:tr>
      <w:tr>
        <w:trPr>
          <w:trHeight w:val="161"/>
        </w:trPr>
        <w:tc>
          <w:tcPr>
            <w:tcW w:w="594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Restricted stock units</w:t>
            </w:r>
          </w:p>
        </w:tc>
        <w:tc>
          <w:tcPr>
            <w:tcW w:w="7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111,305</w:t>
            </w:r>
          </w:p>
        </w:tc>
        <w:tc>
          <w:tcPr>
            <w:tcW w:w="240" w:type="dxa"/>
            <w:vAlign w:val="bottom"/>
            <w:shd w:val="clear" w:color="auto" w:fill="CCEEFF"/>
          </w:tcPr>
          <w:p>
            <w:pPr>
              <w:spacing w:after="0"/>
              <w:rPr>
                <w:sz w:val="14"/>
                <w:szCs w:val="14"/>
                <w:color w:val="auto"/>
              </w:rPr>
            </w:pPr>
          </w:p>
        </w:tc>
        <w:tc>
          <w:tcPr>
            <w:tcW w:w="20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222,606</w:t>
            </w:r>
          </w:p>
        </w:tc>
        <w:tc>
          <w:tcPr>
            <w:tcW w:w="24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222,606</w:t>
            </w:r>
          </w:p>
        </w:tc>
      </w:tr>
      <w:tr>
        <w:trPr>
          <w:trHeight w:val="153"/>
        </w:trPr>
        <w:tc>
          <w:tcPr>
            <w:tcW w:w="4700" w:type="dxa"/>
            <w:vAlign w:val="bottom"/>
          </w:tcPr>
          <w:p>
            <w:pPr>
              <w:spacing w:after="0" w:line="153" w:lineRule="exact"/>
              <w:rPr>
                <w:sz w:val="20"/>
                <w:szCs w:val="20"/>
                <w:color w:val="auto"/>
              </w:rPr>
            </w:pPr>
            <w:r>
              <w:rPr>
                <w:rFonts w:ascii="Arial" w:cs="Arial" w:eastAsia="Arial" w:hAnsi="Arial"/>
                <w:sz w:val="15"/>
                <w:szCs w:val="15"/>
                <w:color w:val="auto"/>
              </w:rPr>
              <w:t>Total</w:t>
            </w:r>
          </w:p>
        </w:tc>
        <w:tc>
          <w:tcPr>
            <w:tcW w:w="1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5,762,809</w:t>
            </w:r>
          </w:p>
        </w:tc>
        <w:tc>
          <w:tcPr>
            <w:tcW w:w="240" w:type="dxa"/>
            <w:vAlign w:val="bottom"/>
          </w:tcPr>
          <w:p>
            <w:pPr>
              <w:spacing w:after="0"/>
              <w:rPr>
                <w:sz w:val="13"/>
                <w:szCs w:val="13"/>
                <w:color w:val="auto"/>
              </w:rPr>
            </w:pPr>
          </w:p>
        </w:tc>
        <w:tc>
          <w:tcPr>
            <w:tcW w:w="20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4,139,639</w:t>
            </w:r>
          </w:p>
        </w:tc>
        <w:tc>
          <w:tcPr>
            <w:tcW w:w="240" w:type="dxa"/>
            <w:vAlign w:val="bottom"/>
          </w:tcPr>
          <w:p>
            <w:pPr>
              <w:spacing w:after="0"/>
              <w:rPr>
                <w:sz w:val="13"/>
                <w:szCs w:val="13"/>
                <w:color w:val="auto"/>
              </w:rPr>
            </w:pPr>
          </w:p>
        </w:tc>
        <w:tc>
          <w:tcPr>
            <w:tcW w:w="20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3,392,778</w:t>
            </w:r>
          </w:p>
        </w:tc>
      </w:tr>
      <w:tr>
        <w:trPr>
          <w:trHeight w:val="20"/>
        </w:trPr>
        <w:tc>
          <w:tcPr>
            <w:tcW w:w="4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Segment and Geographical Information</w:t>
      </w:r>
    </w:p>
    <w:p>
      <w:pPr>
        <w:spacing w:after="0" w:line="150" w:lineRule="exact"/>
        <w:rPr>
          <w:sz w:val="20"/>
          <w:szCs w:val="20"/>
          <w:color w:val="auto"/>
        </w:rPr>
      </w:pPr>
    </w:p>
    <w:p>
      <w:pPr>
        <w:jc w:val="both"/>
        <w:ind w:left="8" w:firstLine="376"/>
        <w:spacing w:after="0"/>
        <w:rPr>
          <w:sz w:val="20"/>
          <w:szCs w:val="20"/>
          <w:color w:val="auto"/>
        </w:rPr>
      </w:pPr>
      <w:r>
        <w:rPr>
          <w:rFonts w:ascii="Arial" w:cs="Arial" w:eastAsia="Arial" w:hAnsi="Arial"/>
          <w:sz w:val="15"/>
          <w:szCs w:val="15"/>
          <w:color w:val="auto"/>
        </w:rPr>
        <w:t>The Company operates and manages its business as one reportable and operating segment. The Company’s Chief Executive Officer, who is the chief operating decision maker, reviews financial information on an aggregate basis for purposes of allocating resources and evaluating financial performance. All of the Company’s assets are based in the United States (U.S.).</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50" w:lineRule="exact"/>
        <w:rPr>
          <w:sz w:val="20"/>
          <w:szCs w:val="20"/>
          <w:color w:val="auto"/>
        </w:rPr>
      </w:pPr>
    </w:p>
    <w:p>
      <w:pPr>
        <w:jc w:val="both"/>
        <w:ind w:left="8" w:firstLine="376"/>
        <w:spacing w:after="0" w:line="236" w:lineRule="auto"/>
        <w:rPr>
          <w:sz w:val="20"/>
          <w:szCs w:val="20"/>
          <w:color w:val="auto"/>
        </w:rPr>
      </w:pPr>
      <w:r>
        <w:rPr>
          <w:rFonts w:ascii="Arial" w:cs="Arial" w:eastAsia="Arial" w:hAnsi="Arial"/>
          <w:sz w:val="15"/>
          <w:szCs w:val="15"/>
          <w:color w:val="auto"/>
        </w:rPr>
        <w:t xml:space="preserve">In May 2014, the Financial Accounting Standards Board (FASB) issued Accounting Standards Update (ASU) No.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requiring an entity to recognize the amount of revenue to which it expects to be entitled for the transfer of promised goods or services to customers. This updated standard became effective for the Company in the first quarter of fiscal year 2018. Since the Company has not recognized or generated revenue to date, the adoption of this pronouncement did not have any impact to its financial statements.</w:t>
      </w:r>
    </w:p>
    <w:p>
      <w:pPr>
        <w:spacing w:after="0" w:line="129" w:lineRule="exact"/>
        <w:rPr>
          <w:sz w:val="20"/>
          <w:szCs w:val="20"/>
          <w:color w:val="auto"/>
        </w:rPr>
      </w:pPr>
    </w:p>
    <w:p>
      <w:pPr>
        <w:jc w:val="both"/>
        <w:ind w:left="8" w:firstLine="376"/>
        <w:spacing w:after="0" w:line="231"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amended Accounting Standard Codification (ASC) 842,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The new standard requires lessees to record a right-of-use asset and a corresponding lease liability on the balance sheet (with the exception of short-term leases). The Company adopted ASC 842 on January 1, 2019, using the modified retrospective transition method per ASU No. 2018-11 issued on July 2018 wherein entities were allowed to initially apply the new lease standard at the adoption date and recognize a cumulative-effect adjustment to the opening balance of retained earnings in the period of adoption. Accordingly, all periods prior to January 1, 2019 were presented in accordance with ASC 840, </w:t>
      </w:r>
      <w:r>
        <w:rPr>
          <w:rFonts w:ascii="Arial" w:cs="Arial" w:eastAsia="Arial" w:hAnsi="Arial"/>
          <w:sz w:val="15"/>
          <w:szCs w:val="15"/>
          <w:i w:val="1"/>
          <w:iCs w:val="1"/>
          <w:color w:val="auto"/>
        </w:rPr>
        <w:t>Leases</w:t>
      </w:r>
      <w:r>
        <w:rPr>
          <w:rFonts w:ascii="Arial" w:cs="Arial" w:eastAsia="Arial" w:hAnsi="Arial"/>
          <w:sz w:val="15"/>
          <w:szCs w:val="15"/>
          <w:color w:val="auto"/>
        </w:rPr>
        <w:t>, and no retrospective adjustments were made to the comparative periods presented. The adoption of ASC 842 resulted in an increase to total assets and liabilities due to the recording of operating lease right-of-use (ROU) assets presented within other assets and operating lease liabilities of approximately $0.1 million as of January 1, 2019.</w:t>
      </w:r>
    </w:p>
    <w:p>
      <w:pPr>
        <w:spacing w:after="0" w:line="129" w:lineRule="exact"/>
        <w:rPr>
          <w:sz w:val="20"/>
          <w:szCs w:val="20"/>
          <w:color w:val="auto"/>
        </w:rPr>
      </w:pPr>
    </w:p>
    <w:p>
      <w:pPr>
        <w:jc w:val="both"/>
        <w:ind w:left="8" w:firstLine="376"/>
        <w:spacing w:after="0" w:line="236" w:lineRule="auto"/>
        <w:rPr>
          <w:sz w:val="20"/>
          <w:szCs w:val="20"/>
          <w:color w:val="auto"/>
        </w:rPr>
      </w:pPr>
      <w:r>
        <w:rPr>
          <w:rFonts w:ascii="Arial" w:cs="Arial" w:eastAsia="Arial" w:hAnsi="Arial"/>
          <w:sz w:val="15"/>
          <w:szCs w:val="15"/>
          <w:color w:val="auto"/>
        </w:rPr>
        <w:t xml:space="preserve">In June 2018, the FASB issued ASU 2018-07, </w:t>
      </w:r>
      <w:r>
        <w:rPr>
          <w:rFonts w:ascii="Arial" w:cs="Arial" w:eastAsia="Arial" w:hAnsi="Arial"/>
          <w:sz w:val="15"/>
          <w:szCs w:val="15"/>
          <w:i w:val="1"/>
          <w:iCs w:val="1"/>
          <w:color w:val="auto"/>
        </w:rPr>
        <w:t>Compensation-Stock Compensation (Topic 718): Improvements to Non-employee Share-Based Payment Accounting,</w:t>
      </w:r>
      <w:r>
        <w:rPr>
          <w:rFonts w:ascii="Arial" w:cs="Arial" w:eastAsia="Arial" w:hAnsi="Arial"/>
          <w:sz w:val="15"/>
          <w:szCs w:val="15"/>
          <w:color w:val="auto"/>
        </w:rPr>
        <w:t xml:space="preserve"> which expands the scope of Topic 718, Compensation—Stock Compensation to include share-based payments issued to non-employees for goods or services. Consequently, the accounting for share-based payments to non-employees and employees will be substantially aligned. The Company adopted ASU 2018-07 in the first quarter of 2019, and the adoption had no significant impact to its financial statements.</w:t>
      </w:r>
    </w:p>
    <w:p>
      <w:pPr>
        <w:spacing w:after="0" w:line="129" w:lineRule="exact"/>
        <w:rPr>
          <w:sz w:val="20"/>
          <w:szCs w:val="20"/>
          <w:color w:val="auto"/>
        </w:rPr>
      </w:pPr>
    </w:p>
    <w:p>
      <w:pPr>
        <w:jc w:val="both"/>
        <w:ind w:left="8" w:firstLine="376"/>
        <w:spacing w:after="0" w:line="257" w:lineRule="auto"/>
        <w:rPr>
          <w:sz w:val="20"/>
          <w:szCs w:val="20"/>
          <w:color w:val="auto"/>
        </w:rPr>
      </w:pPr>
      <w:r>
        <w:rPr>
          <w:rFonts w:ascii="Arial" w:cs="Arial" w:eastAsia="Arial" w:hAnsi="Arial"/>
          <w:sz w:val="14"/>
          <w:szCs w:val="14"/>
          <w:color w:val="auto"/>
        </w:rPr>
        <w:t xml:space="preserve">In December 2019, the FASB issued ASU 2019-12, </w:t>
      </w:r>
      <w:r>
        <w:rPr>
          <w:rFonts w:ascii="Arial" w:cs="Arial" w:eastAsia="Arial" w:hAnsi="Arial"/>
          <w:sz w:val="14"/>
          <w:szCs w:val="14"/>
          <w:i w:val="1"/>
          <w:iCs w:val="1"/>
          <w:color w:val="auto"/>
        </w:rPr>
        <w:t>Income Taxes (Topic 740): Simplifying the Accounting for Income Taxes</w:t>
      </w:r>
      <w:r>
        <w:rPr>
          <w:rFonts w:ascii="Arial" w:cs="Arial" w:eastAsia="Arial" w:hAnsi="Arial"/>
          <w:sz w:val="14"/>
          <w:szCs w:val="14"/>
          <w:color w:val="auto"/>
        </w:rPr>
        <w:t>, which eliminates certain exceptions related to the general principles in ASC 740 and makes amendments to other areas with the intention of simplifying various aspects related to accounting for income taxes. The new standard is effective for fiscal years beginning after December 15, 2020, including interim periods therein; with early adoption permitted. The Company is currently evaluating the impact that the standard will have on its financial statements and related disclosures; and does not expect the adoption to have a material impact on the Company’s financial statements.</w:t>
      </w:r>
    </w:p>
    <w:p>
      <w:pPr>
        <w:spacing w:after="0" w:line="113" w:lineRule="exact"/>
        <w:rPr>
          <w:sz w:val="20"/>
          <w:szCs w:val="20"/>
          <w:color w:val="auto"/>
        </w:rPr>
      </w:pPr>
    </w:p>
    <w:p>
      <w:pPr>
        <w:ind w:left="368" w:right="7640" w:hanging="368"/>
        <w:spacing w:after="0" w:line="451" w:lineRule="auto"/>
        <w:tabs>
          <w:tab w:leader="none" w:pos="145"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Investments and Fair Value of Financial Instruments Investments</w:t>
      </w:r>
    </w:p>
    <w:p>
      <w:pPr>
        <w:spacing w:after="0" w:line="1" w:lineRule="exact"/>
        <w:rPr>
          <w:rFonts w:ascii="Arial" w:cs="Arial" w:eastAsia="Arial" w:hAnsi="Arial"/>
          <w:sz w:val="15"/>
          <w:szCs w:val="15"/>
          <w:b w:val="1"/>
          <w:bCs w:val="1"/>
          <w:color w:val="auto"/>
        </w:rPr>
      </w:pPr>
    </w:p>
    <w:p>
      <w:pPr>
        <w:ind w:left="368"/>
        <w:spacing w:after="0"/>
        <w:rPr>
          <w:rFonts w:ascii="Arial" w:cs="Arial" w:eastAsia="Arial" w:hAnsi="Arial"/>
          <w:sz w:val="15"/>
          <w:szCs w:val="15"/>
          <w:b w:val="1"/>
          <w:bCs w:val="1"/>
          <w:color w:val="auto"/>
        </w:rPr>
      </w:pPr>
      <w:r>
        <w:rPr>
          <w:rFonts w:ascii="Arial" w:cs="Arial" w:eastAsia="Arial" w:hAnsi="Arial"/>
          <w:sz w:val="15"/>
          <w:szCs w:val="15"/>
          <w:color w:val="auto"/>
        </w:rPr>
        <w:t>The Company’s investments have been classified and accounted for as available-for-sale. The Company’s investments consisted of the following (in thousands):</w:t>
      </w:r>
    </w:p>
    <w:p>
      <w:pPr>
        <w:spacing w:after="0" w:line="200" w:lineRule="exact"/>
        <w:rPr>
          <w:sz w:val="20"/>
          <w:szCs w:val="20"/>
          <w:color w:val="auto"/>
        </w:rPr>
      </w:pPr>
    </w:p>
    <w:p>
      <w:pPr>
        <w:spacing w:after="0" w:line="27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715264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8"/>
          </w:cols>
          <w:pgMar w:left="312" w:top="112" w:right="319" w:bottom="1440" w:gutter="0" w:footer="0" w:header="0"/>
        </w:sectPr>
      </w:pPr>
    </w:p>
    <w:bookmarkStart w:id="66" w:name="page67"/>
    <w:bookmarkEnd w:id="66"/>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8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560" w:type="dxa"/>
            <w:vAlign w:val="bottom"/>
            <w:tcBorders>
              <w:bottom w:val="single" w:sz="8" w:color="auto"/>
            </w:tcBorders>
            <w:gridSpan w:val="3"/>
          </w:tcPr>
          <w:p>
            <w:pPr>
              <w:jc w:val="right"/>
              <w:ind w:right="1288"/>
              <w:spacing w:after="0"/>
              <w:rPr>
                <w:sz w:val="20"/>
                <w:szCs w:val="20"/>
                <w:color w:val="auto"/>
              </w:rPr>
            </w:pPr>
            <w:r>
              <w:rPr>
                <w:rFonts w:ascii="Arial" w:cs="Arial" w:eastAsia="Arial" w:hAnsi="Arial"/>
                <w:sz w:val="12"/>
                <w:szCs w:val="12"/>
                <w:b w:val="1"/>
                <w:bCs w:val="1"/>
                <w:color w:val="auto"/>
              </w:rPr>
              <w:t>December 31, 2020</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2"/>
                <w:szCs w:val="12"/>
                <w:b w:val="1"/>
                <w:bCs w:val="1"/>
                <w:color w:val="auto"/>
              </w:rPr>
              <w:t>Cost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2"/>
          </w:tcPr>
          <w:p>
            <w:pPr>
              <w:ind w:left="180"/>
              <w:spacing w:after="0"/>
              <w:rPr>
                <w:sz w:val="20"/>
                <w:szCs w:val="20"/>
                <w:color w:val="auto"/>
              </w:rPr>
            </w:pPr>
            <w:r>
              <w:rPr>
                <w:rFonts w:ascii="Arial" w:cs="Arial" w:eastAsia="Arial" w:hAnsi="Arial"/>
                <w:sz w:val="12"/>
                <w:szCs w:val="12"/>
                <w:b w:val="1"/>
                <w:bCs w:val="1"/>
                <w:color w:val="auto"/>
              </w:rPr>
              <w:t>Gross Unrealized Gains</w:t>
            </w:r>
          </w:p>
        </w:tc>
        <w:tc>
          <w:tcPr>
            <w:tcW w:w="1720" w:type="dxa"/>
            <w:vAlign w:val="bottom"/>
          </w:tcPr>
          <w:p>
            <w:pPr>
              <w:jc w:val="right"/>
              <w:spacing w:after="0"/>
              <w:rPr>
                <w:sz w:val="20"/>
                <w:szCs w:val="20"/>
                <w:color w:val="auto"/>
              </w:rPr>
            </w:pPr>
            <w:r>
              <w:rPr>
                <w:rFonts w:ascii="Arial" w:cs="Arial" w:eastAsia="Arial" w:hAnsi="Arial"/>
                <w:sz w:val="12"/>
                <w:szCs w:val="12"/>
                <w:b w:val="1"/>
                <w:bCs w:val="1"/>
                <w:color w:val="auto"/>
              </w:rPr>
              <w:t>Gross Unrealized Losses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ind w:left="200"/>
              <w:spacing w:after="0"/>
              <w:rPr>
                <w:sz w:val="20"/>
                <w:szCs w:val="20"/>
                <w:color w:val="auto"/>
              </w:rPr>
            </w:pPr>
            <w:r>
              <w:rPr>
                <w:rFonts w:ascii="Arial" w:cs="Arial" w:eastAsia="Arial" w:hAnsi="Arial"/>
                <w:sz w:val="12"/>
                <w:szCs w:val="12"/>
                <w:b w:val="1"/>
                <w:bCs w:val="1"/>
                <w:color w:val="auto"/>
              </w:rPr>
              <w:t>Fair Value</w:t>
            </w:r>
          </w:p>
        </w:tc>
      </w:tr>
      <w:tr>
        <w:trPr>
          <w:trHeight w:val="153"/>
        </w:trPr>
        <w:tc>
          <w:tcPr>
            <w:tcW w:w="388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5"/>
                <w:szCs w:val="15"/>
                <w:color w:val="auto"/>
              </w:rPr>
              <w:t>U.S. Treasury securities</w:t>
            </w:r>
          </w:p>
        </w:tc>
        <w:tc>
          <w:tcPr>
            <w:tcW w:w="44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5"/>
                <w:szCs w:val="15"/>
                <w:color w:val="auto"/>
              </w:rPr>
              <w:t>$</w:t>
            </w:r>
          </w:p>
        </w:tc>
        <w:tc>
          <w:tcPr>
            <w:tcW w:w="120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8,013</w:t>
            </w:r>
          </w:p>
        </w:tc>
        <w:tc>
          <w:tcPr>
            <w:tcW w:w="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gridSpan w:val="2"/>
            <w:shd w:val="clear" w:color="auto" w:fill="CCEEFF"/>
          </w:tcPr>
          <w:p>
            <w:pPr>
              <w:jc w:val="right"/>
              <w:ind w:right="131"/>
              <w:spacing w:after="0" w:line="153" w:lineRule="exact"/>
              <w:rPr>
                <w:sz w:val="20"/>
                <w:szCs w:val="20"/>
                <w:color w:val="auto"/>
              </w:rPr>
            </w:pPr>
            <w:r>
              <w:rPr>
                <w:rFonts w:ascii="Arial" w:cs="Arial" w:eastAsia="Arial" w:hAnsi="Arial"/>
                <w:sz w:val="15"/>
                <w:szCs w:val="15"/>
                <w:color w:val="auto"/>
              </w:rPr>
              <w:t>$</w:t>
            </w:r>
          </w:p>
        </w:tc>
        <w:tc>
          <w:tcPr>
            <w:tcW w:w="1840" w:type="dxa"/>
            <w:vAlign w:val="bottom"/>
            <w:tcBorders>
              <w:top w:val="single" w:sz="8" w:color="auto"/>
            </w:tcBorders>
            <w:gridSpan w:val="2"/>
            <w:shd w:val="clear" w:color="auto" w:fill="CCEEFF"/>
          </w:tcPr>
          <w:p>
            <w:pPr>
              <w:jc w:val="right"/>
              <w:ind w:right="180"/>
              <w:spacing w:after="0" w:line="153" w:lineRule="exact"/>
              <w:rPr>
                <w:sz w:val="20"/>
                <w:szCs w:val="20"/>
                <w:color w:val="auto"/>
              </w:rPr>
            </w:pPr>
            <w:r>
              <w:rPr>
                <w:rFonts w:ascii="Arial" w:cs="Arial" w:eastAsia="Arial" w:hAnsi="Arial"/>
                <w:sz w:val="15"/>
                <w:szCs w:val="15"/>
                <w:color w:val="auto"/>
              </w:rPr>
              <w:t>—</w:t>
            </w:r>
          </w:p>
        </w:tc>
        <w:tc>
          <w:tcPr>
            <w:tcW w:w="1720" w:type="dxa"/>
            <w:vAlign w:val="bottom"/>
            <w:tcBorders>
              <w:top w:val="single" w:sz="8" w:color="auto"/>
            </w:tcBorders>
            <w:shd w:val="clear" w:color="auto" w:fill="CCEEFF"/>
          </w:tcPr>
          <w:p>
            <w:pPr>
              <w:jc w:val="right"/>
              <w:ind w:right="1568"/>
              <w:spacing w:after="0" w:line="153" w:lineRule="exact"/>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w w:val="97"/>
              </w:rPr>
              <w:t>(1)</w:t>
            </w:r>
          </w:p>
        </w:tc>
        <w:tc>
          <w:tcPr>
            <w:tcW w:w="1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8,012</w:t>
            </w:r>
          </w:p>
        </w:tc>
        <w:tc>
          <w:tcPr>
            <w:tcW w:w="20" w:type="dxa"/>
            <w:vAlign w:val="bottom"/>
          </w:tcPr>
          <w:p>
            <w:pPr>
              <w:spacing w:after="0"/>
              <w:rPr>
                <w:sz w:val="13"/>
                <w:szCs w:val="13"/>
                <w:color w:val="auto"/>
              </w:rPr>
            </w:pPr>
          </w:p>
        </w:tc>
      </w:tr>
      <w:tr>
        <w:trPr>
          <w:trHeight w:val="153"/>
        </w:trPr>
        <w:tc>
          <w:tcPr>
            <w:tcW w:w="3880" w:type="dxa"/>
            <w:vAlign w:val="bottom"/>
          </w:tcPr>
          <w:p>
            <w:pPr>
              <w:spacing w:after="0" w:line="153" w:lineRule="exact"/>
              <w:rPr>
                <w:sz w:val="20"/>
                <w:szCs w:val="20"/>
                <w:color w:val="auto"/>
              </w:rPr>
            </w:pPr>
            <w:r>
              <w:rPr>
                <w:rFonts w:ascii="Arial" w:cs="Arial" w:eastAsia="Arial" w:hAnsi="Arial"/>
                <w:sz w:val="15"/>
                <w:szCs w:val="15"/>
                <w:color w:val="auto"/>
              </w:rPr>
              <w:t>Total assets measured at fair value</w:t>
            </w:r>
          </w:p>
        </w:tc>
        <w:tc>
          <w:tcPr>
            <w:tcW w:w="44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5"/>
                <w:szCs w:val="15"/>
                <w:color w:val="auto"/>
              </w:rPr>
              <w:t>$</w:t>
            </w:r>
          </w:p>
        </w:tc>
        <w:tc>
          <w:tcPr>
            <w:tcW w:w="12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8,013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720" w:type="dxa"/>
            <w:vAlign w:val="bottom"/>
            <w:tcBorders>
              <w:top w:val="single" w:sz="8" w:color="auto"/>
              <w:bottom w:val="single" w:sz="8" w:color="auto"/>
            </w:tcBorders>
          </w:tcPr>
          <w:p>
            <w:pPr>
              <w:jc w:val="right"/>
              <w:ind w:right="1568"/>
              <w:spacing w:after="0" w:line="153" w:lineRule="exact"/>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8,012</w:t>
            </w:r>
          </w:p>
        </w:tc>
        <w:tc>
          <w:tcPr>
            <w:tcW w:w="20" w:type="dxa"/>
            <w:vAlign w:val="bottom"/>
          </w:tcPr>
          <w:p>
            <w:pPr>
              <w:spacing w:after="0"/>
              <w:rPr>
                <w:sz w:val="13"/>
                <w:szCs w:val="13"/>
                <w:color w:val="auto"/>
              </w:rPr>
            </w:pPr>
          </w:p>
        </w:tc>
      </w:tr>
      <w:tr>
        <w:trPr>
          <w:trHeight w:val="20"/>
        </w:trPr>
        <w:tc>
          <w:tcPr>
            <w:tcW w:w="3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38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3"/>
          </w:tcPr>
          <w:p>
            <w:pPr>
              <w:jc w:val="right"/>
              <w:ind w:right="1288"/>
              <w:spacing w:after="0"/>
              <w:rPr>
                <w:sz w:val="20"/>
                <w:szCs w:val="20"/>
                <w:color w:val="auto"/>
              </w:rPr>
            </w:pPr>
            <w:r>
              <w:rPr>
                <w:rFonts w:ascii="Arial" w:cs="Arial" w:eastAsia="Arial" w:hAnsi="Arial"/>
                <w:sz w:val="12"/>
                <w:szCs w:val="12"/>
                <w:b w:val="1"/>
                <w:bCs w:val="1"/>
                <w:color w:val="auto"/>
              </w:rPr>
              <w:t>December 31, 2019</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38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jc w:val="right"/>
              <w:ind w:right="700"/>
              <w:spacing w:after="0" w:line="118" w:lineRule="exact"/>
              <w:rPr>
                <w:sz w:val="20"/>
                <w:szCs w:val="20"/>
                <w:color w:val="auto"/>
              </w:rPr>
            </w:pPr>
            <w:r>
              <w:rPr>
                <w:rFonts w:ascii="Arial" w:cs="Arial" w:eastAsia="Arial" w:hAnsi="Arial"/>
                <w:sz w:val="12"/>
                <w:szCs w:val="12"/>
                <w:b w:val="1"/>
                <w:bCs w:val="1"/>
                <w:color w:val="auto"/>
              </w:rPr>
              <w:t>Cost</w:t>
            </w: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2"/>
          </w:tcPr>
          <w:p>
            <w:pPr>
              <w:ind w:left="180"/>
              <w:spacing w:after="0" w:line="118" w:lineRule="exact"/>
              <w:rPr>
                <w:sz w:val="20"/>
                <w:szCs w:val="20"/>
                <w:color w:val="auto"/>
              </w:rPr>
            </w:pPr>
            <w:r>
              <w:rPr>
                <w:rFonts w:ascii="Arial" w:cs="Arial" w:eastAsia="Arial" w:hAnsi="Arial"/>
                <w:sz w:val="12"/>
                <w:szCs w:val="12"/>
                <w:b w:val="1"/>
                <w:bCs w:val="1"/>
                <w:color w:val="auto"/>
              </w:rPr>
              <w:t>Gross Unrealized Gains</w:t>
            </w:r>
          </w:p>
        </w:tc>
        <w:tc>
          <w:tcPr>
            <w:tcW w:w="17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b w:val="1"/>
                <w:bCs w:val="1"/>
                <w:color w:val="auto"/>
              </w:rPr>
              <w:t>Gross Unrealized Losses</w:t>
            </w: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ind w:left="200"/>
              <w:spacing w:after="0" w:line="118" w:lineRule="exact"/>
              <w:rPr>
                <w:sz w:val="20"/>
                <w:szCs w:val="20"/>
                <w:color w:val="auto"/>
              </w:rPr>
            </w:pPr>
            <w:r>
              <w:rPr>
                <w:rFonts w:ascii="Arial" w:cs="Arial" w:eastAsia="Arial" w:hAnsi="Arial"/>
                <w:sz w:val="12"/>
                <w:szCs w:val="12"/>
                <w:b w:val="1"/>
                <w:bCs w:val="1"/>
                <w:color w:val="auto"/>
              </w:rPr>
              <w:t>Fair Value</w:t>
            </w:r>
          </w:p>
        </w:tc>
        <w:tc>
          <w:tcPr>
            <w:tcW w:w="20" w:type="dxa"/>
            <w:vAlign w:val="bottom"/>
          </w:tcPr>
          <w:p>
            <w:pPr>
              <w:spacing w:after="0"/>
              <w:rPr>
                <w:sz w:val="10"/>
                <w:szCs w:val="10"/>
                <w:color w:val="auto"/>
              </w:rPr>
            </w:pPr>
          </w:p>
        </w:tc>
      </w:tr>
      <w:tr>
        <w:trPr>
          <w:trHeight w:val="153"/>
        </w:trPr>
        <w:tc>
          <w:tcPr>
            <w:tcW w:w="38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U.S. Treasury securities</w:t>
            </w:r>
          </w:p>
        </w:tc>
        <w:tc>
          <w:tcPr>
            <w:tcW w:w="4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100"/>
              <w:spacing w:after="0" w:line="153" w:lineRule="exact"/>
              <w:rPr>
                <w:sz w:val="20"/>
                <w:szCs w:val="20"/>
                <w:color w:val="auto"/>
              </w:rPr>
            </w:pPr>
            <w:r>
              <w:rPr>
                <w:rFonts w:ascii="Arial" w:cs="Arial" w:eastAsia="Arial" w:hAnsi="Arial"/>
                <w:sz w:val="15"/>
                <w:szCs w:val="15"/>
                <w:color w:val="auto"/>
              </w:rPr>
              <w:t>18,495</w:t>
            </w:r>
          </w:p>
        </w:tc>
        <w:tc>
          <w:tcPr>
            <w:tcW w:w="340" w:type="dxa"/>
            <w:vAlign w:val="bottom"/>
            <w:gridSpan w:val="2"/>
            <w:shd w:val="clear" w:color="auto" w:fill="CCEEFF"/>
          </w:tcPr>
          <w:p>
            <w:pPr>
              <w:jc w:val="right"/>
              <w:ind w:right="131"/>
              <w:spacing w:after="0" w:line="153" w:lineRule="exact"/>
              <w:rPr>
                <w:sz w:val="20"/>
                <w:szCs w:val="20"/>
                <w:color w:val="auto"/>
              </w:rPr>
            </w:pPr>
            <w:r>
              <w:rPr>
                <w:rFonts w:ascii="Arial" w:cs="Arial" w:eastAsia="Arial" w:hAnsi="Arial"/>
                <w:sz w:val="15"/>
                <w:szCs w:val="15"/>
                <w:color w:val="auto"/>
              </w:rPr>
              <w:t>$</w:t>
            </w:r>
          </w:p>
        </w:tc>
        <w:tc>
          <w:tcPr>
            <w:tcW w:w="1840" w:type="dxa"/>
            <w:vAlign w:val="bottom"/>
            <w:gridSpan w:val="2"/>
            <w:shd w:val="clear" w:color="auto" w:fill="CCEEFF"/>
          </w:tcPr>
          <w:p>
            <w:pPr>
              <w:jc w:val="right"/>
              <w:ind w:right="180"/>
              <w:spacing w:after="0" w:line="153" w:lineRule="exact"/>
              <w:rPr>
                <w:sz w:val="20"/>
                <w:szCs w:val="20"/>
                <w:color w:val="auto"/>
              </w:rPr>
            </w:pPr>
            <w:r>
              <w:rPr>
                <w:rFonts w:ascii="Arial" w:cs="Arial" w:eastAsia="Arial" w:hAnsi="Arial"/>
                <w:sz w:val="15"/>
                <w:szCs w:val="15"/>
                <w:color w:val="auto"/>
              </w:rPr>
              <w:t>4</w:t>
            </w:r>
          </w:p>
        </w:tc>
        <w:tc>
          <w:tcPr>
            <w:tcW w:w="1720" w:type="dxa"/>
            <w:vAlign w:val="bottom"/>
            <w:shd w:val="clear" w:color="auto" w:fill="CCEEFF"/>
          </w:tcPr>
          <w:p>
            <w:pPr>
              <w:jc w:val="right"/>
              <w:ind w:right="1568"/>
              <w:spacing w:after="0" w:line="153" w:lineRule="exact"/>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80"/>
              <w:spacing w:after="0" w:line="153"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18,499</w:t>
            </w:r>
          </w:p>
        </w:tc>
        <w:tc>
          <w:tcPr>
            <w:tcW w:w="20" w:type="dxa"/>
            <w:vAlign w:val="bottom"/>
          </w:tcPr>
          <w:p>
            <w:pPr>
              <w:spacing w:after="0"/>
              <w:rPr>
                <w:sz w:val="13"/>
                <w:szCs w:val="13"/>
                <w:color w:val="auto"/>
              </w:rPr>
            </w:pPr>
          </w:p>
        </w:tc>
      </w:tr>
      <w:tr>
        <w:trPr>
          <w:trHeight w:val="153"/>
        </w:trPr>
        <w:tc>
          <w:tcPr>
            <w:tcW w:w="3880" w:type="dxa"/>
            <w:vAlign w:val="bottom"/>
          </w:tcPr>
          <w:p>
            <w:pPr>
              <w:spacing w:after="0" w:line="153" w:lineRule="exact"/>
              <w:rPr>
                <w:sz w:val="20"/>
                <w:szCs w:val="20"/>
                <w:color w:val="auto"/>
              </w:rPr>
            </w:pPr>
            <w:r>
              <w:rPr>
                <w:rFonts w:ascii="Arial" w:cs="Arial" w:eastAsia="Arial" w:hAnsi="Arial"/>
                <w:sz w:val="15"/>
                <w:szCs w:val="15"/>
                <w:color w:val="auto"/>
              </w:rPr>
              <w:t>Total assets measured at fair value</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12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18,495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4</w:t>
            </w:r>
          </w:p>
        </w:tc>
        <w:tc>
          <w:tcPr>
            <w:tcW w:w="180" w:type="dxa"/>
            <w:vAlign w:val="bottom"/>
          </w:tcPr>
          <w:p>
            <w:pPr>
              <w:spacing w:after="0"/>
              <w:rPr>
                <w:sz w:val="13"/>
                <w:szCs w:val="13"/>
                <w:color w:val="auto"/>
              </w:rPr>
            </w:pPr>
          </w:p>
        </w:tc>
        <w:tc>
          <w:tcPr>
            <w:tcW w:w="1720" w:type="dxa"/>
            <w:vAlign w:val="bottom"/>
            <w:tcBorders>
              <w:top w:val="single" w:sz="8" w:color="auto"/>
              <w:bottom w:val="single" w:sz="8" w:color="auto"/>
            </w:tcBorders>
          </w:tcPr>
          <w:p>
            <w:pPr>
              <w:jc w:val="right"/>
              <w:ind w:right="1568"/>
              <w:spacing w:after="0" w:line="153" w:lineRule="exact"/>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18,499</w:t>
            </w:r>
          </w:p>
        </w:tc>
        <w:tc>
          <w:tcPr>
            <w:tcW w:w="20" w:type="dxa"/>
            <w:vAlign w:val="bottom"/>
            <w:tcBorders>
              <w:bottom w:val="single" w:sz="8" w:color="auto"/>
            </w:tcBorders>
          </w:tcPr>
          <w:p>
            <w:pPr>
              <w:spacing w:after="0"/>
              <w:rPr>
                <w:sz w:val="13"/>
                <w:szCs w:val="13"/>
                <w:color w:val="auto"/>
              </w:rPr>
            </w:pPr>
          </w:p>
        </w:tc>
      </w:tr>
      <w:tr>
        <w:trPr>
          <w:trHeight w:val="20"/>
        </w:trPr>
        <w:tc>
          <w:tcPr>
            <w:tcW w:w="3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contractual maturities of the Company’s investments were as follows (in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20" w:type="dxa"/>
            <w:vAlign w:val="bottom"/>
            <w:vMerge w:val="restart"/>
          </w:tcPr>
          <w:p>
            <w:pPr>
              <w:spacing w:after="0"/>
              <w:rPr>
                <w:sz w:val="20"/>
                <w:szCs w:val="20"/>
                <w:color w:val="auto"/>
              </w:rPr>
            </w:pPr>
            <w:r>
              <w:rPr>
                <w:rFonts w:ascii="Arial" w:cs="Arial" w:eastAsia="Arial" w:hAnsi="Arial"/>
                <w:sz w:val="15"/>
                <w:szCs w:val="15"/>
                <w:b w:val="1"/>
                <w:bCs w:val="1"/>
                <w:color w:val="auto"/>
              </w:rPr>
              <w:t>Investments</w:t>
            </w: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2"/>
                <w:szCs w:val="12"/>
                <w:b w:val="1"/>
                <w:bCs w:val="1"/>
                <w:color w:val="auto"/>
              </w:rPr>
              <w:t>December 31,</w:t>
            </w: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22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47"/>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53"/>
        </w:trPr>
        <w:tc>
          <w:tcPr>
            <w:tcW w:w="822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Due in one year</w:t>
            </w: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8,012</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03"/>
              <w:spacing w:after="0" w:line="153" w:lineRule="exact"/>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18,499</w:t>
            </w:r>
          </w:p>
        </w:tc>
        <w:tc>
          <w:tcPr>
            <w:tcW w:w="0" w:type="dxa"/>
            <w:vAlign w:val="bottom"/>
          </w:tcPr>
          <w:p>
            <w:pPr>
              <w:spacing w:after="0"/>
              <w:rPr>
                <w:sz w:val="1"/>
                <w:szCs w:val="1"/>
                <w:color w:val="auto"/>
              </w:rPr>
            </w:pPr>
          </w:p>
        </w:tc>
      </w:tr>
      <w:tr>
        <w:trPr>
          <w:trHeight w:val="161"/>
        </w:trPr>
        <w:tc>
          <w:tcPr>
            <w:tcW w:w="822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color w:val="auto"/>
              </w:rPr>
              <w:t>Due in one to two years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8220" w:type="dxa"/>
            <w:vAlign w:val="bottom"/>
            <w:tcBorders>
              <w:bottom w:val="single" w:sz="8" w:color="CCEEFF"/>
            </w:tcBorders>
            <w:shd w:val="clear" w:color="auto" w:fill="CCEEFF"/>
          </w:tcPr>
          <w:p>
            <w:pPr>
              <w:spacing w:after="0" w:line="153" w:lineRule="exact"/>
              <w:rPr>
                <w:sz w:val="20"/>
                <w:szCs w:val="20"/>
                <w:color w:val="auto"/>
              </w:rPr>
            </w:pPr>
            <w:r>
              <w:rPr>
                <w:rFonts w:ascii="Arial" w:cs="Arial" w:eastAsia="Arial" w:hAnsi="Arial"/>
                <w:sz w:val="15"/>
                <w:szCs w:val="15"/>
                <w:color w:val="auto"/>
              </w:rPr>
              <w:t>Total</w:t>
            </w: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8,012</w:t>
            </w:r>
          </w:p>
        </w:tc>
        <w:tc>
          <w:tcPr>
            <w:tcW w:w="1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03"/>
              <w:spacing w:after="0" w:line="153"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18,499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Fair Value of Financial Instruments</w:t>
      </w:r>
    </w:p>
    <w:p>
      <w:pPr>
        <w:spacing w:after="0" w:line="154"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The Company determines the fair value of its financial instruments based on a fair value hierarchy that prioritizes the inputs to valuation techniques used to measure fair value into three levels:</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Level 1 - Observable inputs such as quoted prices in active markets for an identical asset or liability that the Company has the ability to access as of the measurement date.</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Financial assets and liabilities utilizing Level 1 inputs include money market funds.</w:t>
      </w:r>
    </w:p>
    <w:p>
      <w:pPr>
        <w:spacing w:after="0" w:line="138"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and asset-backed securities.</w:t>
      </w:r>
    </w:p>
    <w:p>
      <w:pPr>
        <w:spacing w:after="0" w:line="118"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Level 3 - Unobservable inputs in which there is little or no market data for the asset or liability which requires the reporting entity to develop its own assumptions. The Company did not classify any of its investments within Level 3 of the fair value hierarchy.</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sets forth the fair value of the Company’s financial assets measured on a recurring basis (in thousands):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Assets</w:t>
            </w:r>
          </w:p>
        </w:tc>
        <w:tc>
          <w:tcPr>
            <w:tcW w:w="22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0"/>
              </w:rPr>
              <w:t>Classification</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5"/>
                <w:szCs w:val="15"/>
                <w:b w:val="1"/>
                <w:bCs w:val="1"/>
                <w:color w:val="auto"/>
              </w:rPr>
              <w:t>December 31, 2020</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400" w:type="dxa"/>
            <w:vAlign w:val="bottom"/>
            <w:gridSpan w:val="2"/>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ind w:left="200"/>
              <w:spacing w:after="0" w:line="153" w:lineRule="exact"/>
              <w:rPr>
                <w:sz w:val="20"/>
                <w:szCs w:val="20"/>
                <w:color w:val="auto"/>
              </w:rPr>
            </w:pPr>
            <w:r>
              <w:rPr>
                <w:rFonts w:ascii="Arial" w:cs="Arial" w:eastAsia="Arial" w:hAnsi="Arial"/>
                <w:sz w:val="15"/>
                <w:szCs w:val="15"/>
                <w:b w:val="1"/>
                <w:bCs w:val="1"/>
                <w:color w:val="auto"/>
              </w:rPr>
              <w:t>Level 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203"/>
              <w:spacing w:after="0" w:line="153" w:lineRule="exact"/>
              <w:rPr>
                <w:sz w:val="20"/>
                <w:szCs w:val="20"/>
                <w:color w:val="auto"/>
              </w:rPr>
            </w:pPr>
            <w:r>
              <w:rPr>
                <w:rFonts w:ascii="Arial" w:cs="Arial" w:eastAsia="Arial" w:hAnsi="Arial"/>
                <w:sz w:val="15"/>
                <w:szCs w:val="15"/>
                <w:b w:val="1"/>
                <w:bCs w:val="1"/>
                <w:color w:val="auto"/>
              </w:rPr>
              <w:t>Level 2</w:t>
            </w:r>
          </w:p>
        </w:tc>
        <w:tc>
          <w:tcPr>
            <w:tcW w:w="20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5"/>
                <w:szCs w:val="15"/>
                <w:b w:val="1"/>
                <w:bCs w:val="1"/>
                <w:color w:val="auto"/>
              </w:rPr>
              <w:t>Level 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gridSpan w:val="2"/>
          </w:tcPr>
          <w:p>
            <w:pPr>
              <w:ind w:left="220"/>
              <w:spacing w:after="0" w:line="153"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3"/>
        </w:trPr>
        <w:tc>
          <w:tcPr>
            <w:tcW w:w="322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5"/>
                <w:szCs w:val="15"/>
                <w:color w:val="auto"/>
              </w:rPr>
              <w:t>Money market funds</w:t>
            </w:r>
          </w:p>
        </w:tc>
        <w:tc>
          <w:tcPr>
            <w:tcW w:w="180" w:type="dxa"/>
            <w:vAlign w:val="bottom"/>
            <w:tcBorders>
              <w:top w:val="single" w:sz="8" w:color="CCEEFF"/>
            </w:tcBorders>
            <w:shd w:val="clear" w:color="auto" w:fill="CCEEFF"/>
          </w:tcPr>
          <w:p>
            <w:pPr>
              <w:spacing w:after="0"/>
              <w:rPr>
                <w:sz w:val="13"/>
                <w:szCs w:val="13"/>
                <w:color w:val="auto"/>
              </w:rPr>
            </w:pPr>
          </w:p>
        </w:tc>
        <w:tc>
          <w:tcPr>
            <w:tcW w:w="2220" w:type="dxa"/>
            <w:vAlign w:val="bottom"/>
            <w:tcBorders>
              <w:top w:val="single" w:sz="8" w:color="auto"/>
            </w:tcBorders>
            <w:shd w:val="clear" w:color="auto" w:fill="CCEEFF"/>
          </w:tcPr>
          <w:p>
            <w:pPr>
              <w:jc w:val="center"/>
              <w:spacing w:after="0" w:line="153" w:lineRule="exact"/>
              <w:rPr>
                <w:sz w:val="20"/>
                <w:szCs w:val="20"/>
                <w:color w:val="auto"/>
              </w:rPr>
            </w:pPr>
            <w:r>
              <w:rPr>
                <w:rFonts w:ascii="Arial" w:cs="Arial" w:eastAsia="Arial" w:hAnsi="Arial"/>
                <w:sz w:val="15"/>
                <w:szCs w:val="15"/>
                <w:color w:val="auto"/>
                <w:w w:val="89"/>
              </w:rPr>
              <w:t>Cash and cash equivalents</w:t>
            </w:r>
          </w:p>
        </w:tc>
        <w:tc>
          <w:tcPr>
            <w:tcW w:w="2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03"/>
              <w:spacing w:after="0" w:line="153"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7,176</w:t>
            </w: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gridSpan w:val="2"/>
            <w:shd w:val="clear" w:color="auto" w:fill="CCEEFF"/>
          </w:tcPr>
          <w:p>
            <w:pPr>
              <w:jc w:val="right"/>
              <w:ind w:right="857"/>
              <w:spacing w:after="0" w:line="153" w:lineRule="exact"/>
              <w:rPr>
                <w:sz w:val="20"/>
                <w:szCs w:val="20"/>
                <w:color w:val="auto"/>
              </w:rPr>
            </w:pPr>
            <w:r>
              <w:rPr>
                <w:rFonts w:ascii="Arial" w:cs="Arial" w:eastAsia="Arial" w:hAnsi="Arial"/>
                <w:sz w:val="15"/>
                <w:szCs w:val="15"/>
                <w:color w:val="auto"/>
              </w:rPr>
              <w:t>$</w:t>
            </w:r>
          </w:p>
        </w:tc>
        <w:tc>
          <w:tcPr>
            <w:tcW w:w="400" w:type="dxa"/>
            <w:vAlign w:val="bottom"/>
            <w:tcBorders>
              <w:top w:val="single" w:sz="8" w:color="auto"/>
            </w:tcBorders>
            <w:gridSpan w:val="2"/>
            <w:shd w:val="clear" w:color="auto" w:fill="CCEEFF"/>
          </w:tcPr>
          <w:p>
            <w:pPr>
              <w:ind w:left="60"/>
              <w:spacing w:after="0" w:line="153" w:lineRule="exact"/>
              <w:rPr>
                <w:sz w:val="20"/>
                <w:szCs w:val="20"/>
                <w:color w:val="auto"/>
              </w:rPr>
            </w:pPr>
            <w:r>
              <w:rPr>
                <w:rFonts w:ascii="Arial" w:cs="Arial" w:eastAsia="Arial" w:hAnsi="Arial"/>
                <w:sz w:val="15"/>
                <w:szCs w:val="15"/>
                <w:color w:val="auto"/>
              </w:rPr>
              <w:t>—</w:t>
            </w:r>
          </w:p>
        </w:tc>
        <w:tc>
          <w:tcPr>
            <w:tcW w:w="300" w:type="dxa"/>
            <w:vAlign w:val="bottom"/>
            <w:tcBorders>
              <w:top w:val="single" w:sz="8" w:color="auto"/>
            </w:tcBorders>
            <w:shd w:val="clear" w:color="auto" w:fill="CCEEFF"/>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7,176</w:t>
            </w: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line="161" w:lineRule="exact"/>
              <w:rPr>
                <w:sz w:val="20"/>
                <w:szCs w:val="20"/>
                <w:color w:val="auto"/>
              </w:rPr>
            </w:pPr>
            <w:r>
              <w:rPr>
                <w:rFonts w:ascii="Arial" w:cs="Arial" w:eastAsia="Arial" w:hAnsi="Arial"/>
                <w:sz w:val="15"/>
                <w:szCs w:val="15"/>
                <w:color w:val="auto"/>
              </w:rPr>
              <w:t>U.S. Treasury securities</w:t>
            </w:r>
          </w:p>
        </w:tc>
        <w:tc>
          <w:tcPr>
            <w:tcW w:w="2220" w:type="dxa"/>
            <w:vAlign w:val="bottom"/>
          </w:tcPr>
          <w:p>
            <w:pPr>
              <w:jc w:val="center"/>
              <w:spacing w:after="0" w:line="161" w:lineRule="exact"/>
              <w:rPr>
                <w:sz w:val="20"/>
                <w:szCs w:val="20"/>
                <w:color w:val="auto"/>
              </w:rPr>
            </w:pPr>
            <w:r>
              <w:rPr>
                <w:rFonts w:ascii="Arial" w:cs="Arial" w:eastAsia="Arial" w:hAnsi="Arial"/>
                <w:sz w:val="15"/>
                <w:szCs w:val="15"/>
                <w:color w:val="auto"/>
                <w:w w:val="89"/>
              </w:rPr>
              <w:t>Cash and cash equivalents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820"/>
              <w:spacing w:after="0" w:line="16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line="161" w:lineRule="exact"/>
              <w:rPr>
                <w:sz w:val="20"/>
                <w:szCs w:val="20"/>
                <w:color w:val="auto"/>
              </w:rPr>
            </w:pPr>
            <w:r>
              <w:rPr>
                <w:rFonts w:ascii="Arial" w:cs="Arial" w:eastAsia="Arial" w:hAnsi="Arial"/>
                <w:sz w:val="15"/>
                <w:szCs w:val="15"/>
                <w:color w:val="auto"/>
              </w:rPr>
              <w:t>2,004</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gridSpan w:val="2"/>
          </w:tcPr>
          <w:p>
            <w:pPr>
              <w:ind w:left="60"/>
              <w:spacing w:after="0" w:line="161"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spacing w:after="0" w:line="161" w:lineRule="exact"/>
              <w:rPr>
                <w:sz w:val="20"/>
                <w:szCs w:val="20"/>
                <w:color w:val="auto"/>
              </w:rPr>
            </w:pPr>
            <w:r>
              <w:rPr>
                <w:rFonts w:ascii="Arial" w:cs="Arial" w:eastAsia="Arial" w:hAnsi="Arial"/>
                <w:sz w:val="15"/>
                <w:szCs w:val="15"/>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U.S. Treasury securities</w:t>
            </w:r>
          </w:p>
        </w:tc>
        <w:tc>
          <w:tcPr>
            <w:tcW w:w="2220" w:type="dxa"/>
            <w:vAlign w:val="bottom"/>
            <w:shd w:val="clear" w:color="auto" w:fill="CCEEFF"/>
          </w:tcPr>
          <w:p>
            <w:pPr>
              <w:jc w:val="center"/>
              <w:spacing w:after="0" w:line="161" w:lineRule="exact"/>
              <w:rPr>
                <w:sz w:val="20"/>
                <w:szCs w:val="20"/>
                <w:color w:val="auto"/>
              </w:rPr>
            </w:pPr>
            <w:r>
              <w:rPr>
                <w:rFonts w:ascii="Arial" w:cs="Arial" w:eastAsia="Arial" w:hAnsi="Arial"/>
                <w:sz w:val="15"/>
                <w:szCs w:val="15"/>
                <w:color w:val="auto"/>
                <w:w w:val="91"/>
              </w:rPr>
              <w:t>Investments</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820"/>
              <w:spacing w:after="0" w:line="161"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8,012</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60"/>
              <w:spacing w:after="0" w:line="161"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8,012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400" w:type="dxa"/>
            <w:vAlign w:val="bottom"/>
            <w:gridSpan w:val="2"/>
          </w:tcPr>
          <w:p>
            <w:pPr>
              <w:spacing w:after="0" w:line="153" w:lineRule="exact"/>
              <w:rPr>
                <w:sz w:val="20"/>
                <w:szCs w:val="20"/>
                <w:color w:val="auto"/>
              </w:rPr>
            </w:pPr>
            <w:r>
              <w:rPr>
                <w:rFonts w:ascii="Arial" w:cs="Arial" w:eastAsia="Arial" w:hAnsi="Arial"/>
                <w:sz w:val="15"/>
                <w:szCs w:val="15"/>
                <w:color w:val="auto"/>
              </w:rPr>
              <w:t>Total assets measured at fair value</w:t>
            </w:r>
          </w:p>
        </w:tc>
        <w:tc>
          <w:tcPr>
            <w:tcW w:w="2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3"/>
              <w:spacing w:after="0" w:line="153"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7,176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10,016</w:t>
            </w:r>
          </w:p>
        </w:tc>
        <w:tc>
          <w:tcPr>
            <w:tcW w:w="20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ind w:left="60"/>
              <w:spacing w:after="0" w:line="153" w:lineRule="exact"/>
              <w:rPr>
                <w:sz w:val="20"/>
                <w:szCs w:val="20"/>
                <w:color w:val="auto"/>
              </w:rPr>
            </w:pPr>
            <w:r>
              <w:rPr>
                <w:rFonts w:ascii="Arial" w:cs="Arial" w:eastAsia="Arial" w:hAnsi="Arial"/>
                <w:sz w:val="15"/>
                <w:szCs w:val="15"/>
                <w:color w:val="auto"/>
                <w:w w:val="93"/>
              </w:rPr>
              <w:t>—</w:t>
            </w:r>
          </w:p>
        </w:tc>
        <w:tc>
          <w:tcPr>
            <w:tcW w:w="1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17,192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Assets</w:t>
            </w:r>
          </w:p>
        </w:tc>
        <w:tc>
          <w:tcPr>
            <w:tcW w:w="1880" w:type="dxa"/>
            <w:vAlign w:val="bottom"/>
            <w:vMerge w:val="restart"/>
          </w:tcPr>
          <w:p>
            <w:pPr>
              <w:spacing w:after="0"/>
              <w:rPr>
                <w:sz w:val="20"/>
                <w:szCs w:val="20"/>
                <w:color w:val="auto"/>
              </w:rPr>
            </w:pPr>
            <w:r>
              <w:rPr>
                <w:rFonts w:ascii="Arial" w:cs="Arial" w:eastAsia="Arial" w:hAnsi="Arial"/>
                <w:sz w:val="15"/>
                <w:szCs w:val="15"/>
                <w:b w:val="1"/>
                <w:bCs w:val="1"/>
                <w:color w:val="auto"/>
              </w:rPr>
              <w:t>Classification</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5"/>
                <w:szCs w:val="15"/>
                <w:b w:val="1"/>
                <w:bCs w:val="1"/>
                <w:color w:val="auto"/>
              </w:rPr>
              <w:t>December 31, 2019</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400" w:type="dxa"/>
            <w:vAlign w:val="bottom"/>
            <w:gridSpan w:val="2"/>
            <w:vMerge w:val="continue"/>
          </w:tcPr>
          <w:p>
            <w:pPr>
              <w:spacing w:after="0"/>
              <w:rPr>
                <w:sz w:val="13"/>
                <w:szCs w:val="13"/>
                <w:color w:val="auto"/>
              </w:rPr>
            </w:pPr>
          </w:p>
        </w:tc>
        <w:tc>
          <w:tcPr>
            <w:tcW w:w="18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380"/>
              <w:spacing w:after="0" w:line="153" w:lineRule="exact"/>
              <w:rPr>
                <w:sz w:val="20"/>
                <w:szCs w:val="20"/>
                <w:color w:val="auto"/>
              </w:rPr>
            </w:pPr>
            <w:r>
              <w:rPr>
                <w:rFonts w:ascii="Arial" w:cs="Arial" w:eastAsia="Arial" w:hAnsi="Arial"/>
                <w:sz w:val="15"/>
                <w:szCs w:val="15"/>
                <w:b w:val="1"/>
                <w:bCs w:val="1"/>
                <w:color w:val="auto"/>
              </w:rPr>
              <w:t>Level 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380"/>
              <w:spacing w:after="0" w:line="153" w:lineRule="exact"/>
              <w:rPr>
                <w:sz w:val="20"/>
                <w:szCs w:val="20"/>
                <w:color w:val="auto"/>
              </w:rPr>
            </w:pPr>
            <w:r>
              <w:rPr>
                <w:rFonts w:ascii="Arial" w:cs="Arial" w:eastAsia="Arial" w:hAnsi="Arial"/>
                <w:sz w:val="15"/>
                <w:szCs w:val="15"/>
                <w:b w:val="1"/>
                <w:bCs w:val="1"/>
                <w:color w:val="auto"/>
              </w:rPr>
              <w:t>Level 2</w:t>
            </w:r>
          </w:p>
        </w:tc>
        <w:tc>
          <w:tcPr>
            <w:tcW w:w="10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5"/>
                <w:szCs w:val="15"/>
                <w:b w:val="1"/>
                <w:bCs w:val="1"/>
                <w:color w:val="auto"/>
              </w:rPr>
              <w:t>Level 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gridSpan w:val="2"/>
          </w:tcPr>
          <w:p>
            <w:pPr>
              <w:jc w:val="right"/>
              <w:ind w:right="360"/>
              <w:spacing w:after="0" w:line="153"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3"/>
        </w:trPr>
        <w:tc>
          <w:tcPr>
            <w:tcW w:w="320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5"/>
                <w:szCs w:val="15"/>
                <w:color w:val="auto"/>
              </w:rPr>
              <w:t>Money market funds</w:t>
            </w:r>
          </w:p>
        </w:tc>
        <w:tc>
          <w:tcPr>
            <w:tcW w:w="200" w:type="dxa"/>
            <w:vAlign w:val="bottom"/>
            <w:tcBorders>
              <w:top w:val="single" w:sz="8" w:color="CCEEFF"/>
            </w:tcBorders>
            <w:shd w:val="clear" w:color="auto" w:fill="CCEEFF"/>
          </w:tcPr>
          <w:p>
            <w:pPr>
              <w:spacing w:after="0"/>
              <w:rPr>
                <w:sz w:val="13"/>
                <w:szCs w:val="13"/>
                <w:color w:val="auto"/>
              </w:rPr>
            </w:pPr>
          </w:p>
        </w:tc>
        <w:tc>
          <w:tcPr>
            <w:tcW w:w="188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5"/>
                <w:szCs w:val="15"/>
                <w:color w:val="auto"/>
              </w:rPr>
              <w:t>Cash and cash equivalents</w:t>
            </w: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03"/>
              <w:spacing w:after="0" w:line="153"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ind w:right="100"/>
              <w:spacing w:after="0" w:line="153" w:lineRule="exact"/>
              <w:rPr>
                <w:sz w:val="20"/>
                <w:szCs w:val="20"/>
                <w:color w:val="auto"/>
              </w:rPr>
            </w:pPr>
            <w:r>
              <w:rPr>
                <w:rFonts w:ascii="Arial" w:cs="Arial" w:eastAsia="Arial" w:hAnsi="Arial"/>
                <w:sz w:val="15"/>
                <w:szCs w:val="15"/>
                <w:color w:val="auto"/>
              </w:rPr>
              <w:t>6,429</w:t>
            </w:r>
          </w:p>
        </w:tc>
        <w:tc>
          <w:tcPr>
            <w:tcW w:w="360" w:type="dxa"/>
            <w:vAlign w:val="bottom"/>
            <w:tcBorders>
              <w:top w:val="single" w:sz="8" w:color="auto"/>
            </w:tcBorders>
            <w:gridSpan w:val="2"/>
            <w:shd w:val="clear" w:color="auto" w:fill="CCEEFF"/>
          </w:tcPr>
          <w:p>
            <w:pPr>
              <w:jc w:val="right"/>
              <w:ind w:right="151"/>
              <w:spacing w:after="0" w:line="153" w:lineRule="exact"/>
              <w:rPr>
                <w:sz w:val="20"/>
                <w:szCs w:val="20"/>
                <w:color w:val="auto"/>
              </w:rPr>
            </w:pPr>
            <w:r>
              <w:rPr>
                <w:rFonts w:ascii="Arial" w:cs="Arial" w:eastAsia="Arial" w:hAnsi="Arial"/>
                <w:sz w:val="15"/>
                <w:szCs w:val="15"/>
                <w:color w:val="auto"/>
              </w:rPr>
              <w:t>$</w:t>
            </w:r>
          </w:p>
        </w:tc>
        <w:tc>
          <w:tcPr>
            <w:tcW w:w="1060" w:type="dxa"/>
            <w:vAlign w:val="bottom"/>
            <w:tcBorders>
              <w:top w:val="single" w:sz="8" w:color="auto"/>
            </w:tcBorders>
            <w:gridSpan w:val="2"/>
            <w:shd w:val="clear" w:color="auto" w:fill="CCEEFF"/>
          </w:tcPr>
          <w:p>
            <w:pPr>
              <w:jc w:val="right"/>
              <w:ind w:right="100"/>
              <w:spacing w:after="0" w:line="153" w:lineRule="exact"/>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gridSpan w:val="2"/>
            <w:shd w:val="clear" w:color="auto" w:fill="CCEEFF"/>
          </w:tcPr>
          <w:p>
            <w:pPr>
              <w:jc w:val="right"/>
              <w:ind w:right="857"/>
              <w:spacing w:after="0" w:line="153" w:lineRule="exact"/>
              <w:rPr>
                <w:sz w:val="20"/>
                <w:szCs w:val="20"/>
                <w:color w:val="auto"/>
              </w:rPr>
            </w:pPr>
            <w:r>
              <w:rPr>
                <w:rFonts w:ascii="Arial" w:cs="Arial" w:eastAsia="Arial" w:hAnsi="Arial"/>
                <w:sz w:val="15"/>
                <w:szCs w:val="15"/>
                <w:color w:val="auto"/>
              </w:rPr>
              <w:t>$</w:t>
            </w:r>
          </w:p>
        </w:tc>
        <w:tc>
          <w:tcPr>
            <w:tcW w:w="400" w:type="dxa"/>
            <w:vAlign w:val="bottom"/>
            <w:tcBorders>
              <w:top w:val="single" w:sz="8" w:color="auto"/>
            </w:tcBorders>
            <w:gridSpan w:val="2"/>
            <w:shd w:val="clear" w:color="auto" w:fill="CCEEFF"/>
          </w:tcPr>
          <w:p>
            <w:pPr>
              <w:ind w:left="60"/>
              <w:spacing w:after="0" w:line="153" w:lineRule="exact"/>
              <w:rPr>
                <w:sz w:val="20"/>
                <w:szCs w:val="20"/>
                <w:color w:val="auto"/>
              </w:rPr>
            </w:pPr>
            <w:r>
              <w:rPr>
                <w:rFonts w:ascii="Arial" w:cs="Arial" w:eastAsia="Arial" w:hAnsi="Arial"/>
                <w:sz w:val="15"/>
                <w:szCs w:val="15"/>
                <w:color w:val="auto"/>
              </w:rPr>
              <w:t>—</w:t>
            </w:r>
          </w:p>
        </w:tc>
        <w:tc>
          <w:tcPr>
            <w:tcW w:w="300" w:type="dxa"/>
            <w:vAlign w:val="bottom"/>
            <w:tcBorders>
              <w:top w:val="single" w:sz="8" w:color="auto"/>
            </w:tcBorders>
            <w:shd w:val="clear" w:color="auto" w:fill="CCEEFF"/>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6,429</w:t>
            </w: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0" w:type="dxa"/>
            <w:vAlign w:val="bottom"/>
            <w:gridSpan w:val="2"/>
          </w:tcPr>
          <w:p>
            <w:pPr>
              <w:spacing w:after="0" w:line="161" w:lineRule="exact"/>
              <w:rPr>
                <w:sz w:val="20"/>
                <w:szCs w:val="20"/>
                <w:color w:val="auto"/>
              </w:rPr>
            </w:pPr>
            <w:r>
              <w:rPr>
                <w:rFonts w:ascii="Arial" w:cs="Arial" w:eastAsia="Arial" w:hAnsi="Arial"/>
                <w:sz w:val="15"/>
                <w:szCs w:val="15"/>
                <w:color w:val="auto"/>
              </w:rPr>
              <w:t>U.S. Treasury securities</w:t>
            </w:r>
          </w:p>
        </w:tc>
        <w:tc>
          <w:tcPr>
            <w:tcW w:w="1880" w:type="dxa"/>
            <w:vAlign w:val="bottom"/>
          </w:tcPr>
          <w:p>
            <w:pPr>
              <w:spacing w:after="0" w:line="161" w:lineRule="exact"/>
              <w:rPr>
                <w:sz w:val="20"/>
                <w:szCs w:val="20"/>
                <w:color w:val="auto"/>
              </w:rPr>
            </w:pPr>
            <w:r>
              <w:rPr>
                <w:rFonts w:ascii="Arial" w:cs="Arial" w:eastAsia="Arial" w:hAnsi="Arial"/>
                <w:sz w:val="15"/>
                <w:szCs w:val="15"/>
                <w:color w:val="auto"/>
              </w:rPr>
              <w:t>Investments</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100"/>
              <w:spacing w:after="0" w:line="16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100"/>
              <w:spacing w:after="0" w:line="161" w:lineRule="exact"/>
              <w:rPr>
                <w:sz w:val="20"/>
                <w:szCs w:val="20"/>
                <w:color w:val="auto"/>
              </w:rPr>
            </w:pPr>
            <w:r>
              <w:rPr>
                <w:rFonts w:ascii="Arial" w:cs="Arial" w:eastAsia="Arial" w:hAnsi="Arial"/>
                <w:sz w:val="15"/>
                <w:szCs w:val="15"/>
                <w:color w:val="auto"/>
              </w:rPr>
              <w:t>18,499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gridSpan w:val="2"/>
          </w:tcPr>
          <w:p>
            <w:pPr>
              <w:ind w:left="60"/>
              <w:spacing w:after="0" w:line="161"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920" w:type="dxa"/>
            <w:vAlign w:val="bottom"/>
            <w:gridSpan w:val="2"/>
          </w:tcPr>
          <w:p>
            <w:pPr>
              <w:jc w:val="right"/>
              <w:ind w:right="20"/>
              <w:spacing w:after="0" w:line="161" w:lineRule="exact"/>
              <w:rPr>
                <w:sz w:val="20"/>
                <w:szCs w:val="20"/>
                <w:color w:val="auto"/>
              </w:rPr>
            </w:pPr>
            <w:r>
              <w:rPr>
                <w:rFonts w:ascii="Arial" w:cs="Arial" w:eastAsia="Arial" w:hAnsi="Arial"/>
                <w:sz w:val="15"/>
                <w:szCs w:val="15"/>
                <w:color w:val="auto"/>
              </w:rPr>
              <w:t>18,499</w:t>
            </w:r>
          </w:p>
        </w:tc>
        <w:tc>
          <w:tcPr>
            <w:tcW w:w="0" w:type="dxa"/>
            <w:vAlign w:val="bottom"/>
          </w:tcPr>
          <w:p>
            <w:pPr>
              <w:spacing w:after="0"/>
              <w:rPr>
                <w:sz w:val="1"/>
                <w:szCs w:val="1"/>
                <w:color w:val="auto"/>
              </w:rPr>
            </w:pPr>
          </w:p>
        </w:tc>
      </w:tr>
      <w:tr>
        <w:trPr>
          <w:trHeight w:val="153"/>
        </w:trPr>
        <w:tc>
          <w:tcPr>
            <w:tcW w:w="3400" w:type="dxa"/>
            <w:vAlign w:val="bottom"/>
            <w:tcBorders>
              <w:top w:val="single" w:sz="8" w:color="CCEEFF"/>
              <w:bottom w:val="single" w:sz="8" w:color="CCEEFF"/>
            </w:tcBorders>
            <w:gridSpan w:val="2"/>
            <w:shd w:val="clear" w:color="auto" w:fill="CCEEFF"/>
          </w:tcPr>
          <w:p>
            <w:pPr>
              <w:spacing w:after="0" w:line="153" w:lineRule="exact"/>
              <w:rPr>
                <w:sz w:val="20"/>
                <w:szCs w:val="20"/>
                <w:color w:val="auto"/>
              </w:rPr>
            </w:pPr>
            <w:r>
              <w:rPr>
                <w:rFonts w:ascii="Arial" w:cs="Arial" w:eastAsia="Arial" w:hAnsi="Arial"/>
                <w:sz w:val="15"/>
                <w:szCs w:val="15"/>
                <w:color w:val="auto"/>
              </w:rPr>
              <w:t>Total assets measured at fair value</w:t>
            </w:r>
          </w:p>
        </w:tc>
        <w:tc>
          <w:tcPr>
            <w:tcW w:w="188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03"/>
              <w:spacing w:after="0" w:line="153"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6,429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18,499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ind w:left="60"/>
              <w:spacing w:after="0" w:line="153" w:lineRule="exact"/>
              <w:rPr>
                <w:sz w:val="20"/>
                <w:szCs w:val="20"/>
                <w:color w:val="auto"/>
              </w:rPr>
            </w:pPr>
            <w:r>
              <w:rPr>
                <w:rFonts w:ascii="Arial" w:cs="Arial" w:eastAsia="Arial" w:hAnsi="Arial"/>
                <w:sz w:val="15"/>
                <w:szCs w:val="15"/>
                <w:color w:val="auto"/>
                <w:w w:val="93"/>
              </w:rPr>
              <w:t>—</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24,928</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0" w:type="dxa"/>
            <w:vAlign w:val="bottom"/>
            <w:vMerge w:val="restart"/>
          </w:tcPr>
          <w:p>
            <w:pPr>
              <w:jc w:val="right"/>
              <w:ind w:right="23"/>
              <w:spacing w:after="0"/>
              <w:rPr>
                <w:sz w:val="20"/>
                <w:szCs w:val="20"/>
                <w:color w:val="auto"/>
              </w:rPr>
            </w:pPr>
            <w:r>
              <w:rPr>
                <w:rFonts w:ascii="Arial" w:cs="Arial" w:eastAsia="Arial" w:hAnsi="Arial"/>
                <w:sz w:val="15"/>
                <w:szCs w:val="15"/>
                <w:color w:val="auto"/>
              </w:rPr>
              <w:t>67</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20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88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96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96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98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-6985</wp:posOffset>
            </wp:positionV>
            <wp:extent cx="762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-13970</wp:posOffset>
            </wp:positionV>
            <wp:extent cx="7620"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67" w:name="page68"/>
    <w:bookmarkEnd w:id="67"/>
    <w:p>
      <w:pPr>
        <w:ind w:left="8"/>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00" w:lineRule="exact"/>
        <w:rPr>
          <w:sz w:val="20"/>
          <w:szCs w:val="20"/>
          <w:color w:val="auto"/>
        </w:rPr>
      </w:pPr>
    </w:p>
    <w:p>
      <w:pPr>
        <w:spacing w:after="0" w:line="244" w:lineRule="exact"/>
        <w:rPr>
          <w:sz w:val="20"/>
          <w:szCs w:val="20"/>
          <w:color w:val="auto"/>
        </w:rPr>
      </w:pPr>
    </w:p>
    <w:p>
      <w:pPr>
        <w:jc w:val="both"/>
        <w:ind w:left="8" w:firstLine="376"/>
        <w:spacing w:after="0"/>
        <w:rPr>
          <w:sz w:val="20"/>
          <w:szCs w:val="20"/>
          <w:color w:val="auto"/>
        </w:rPr>
      </w:pPr>
      <w:r>
        <w:rPr>
          <w:rFonts w:ascii="Arial" w:cs="Arial" w:eastAsia="Arial" w:hAnsi="Arial"/>
          <w:sz w:val="15"/>
          <w:szCs w:val="15"/>
          <w:color w:val="auto"/>
        </w:rPr>
        <w:t>During year ended December 31, 2020 and 2019, the Company did not record impairment charges related to its marketable investments. During the years ended December 31, 2020 and 2019, the Company did not have any transfers between Level 1, Level 2 or Level 3 of the fair value hierarchy. Additionally, the Company did not have any financial assets and liabilities measured at fair value on a non-recurring basis as of December 31, 2020 or 2019.</w:t>
      </w:r>
    </w:p>
    <w:p>
      <w:pPr>
        <w:spacing w:after="0" w:line="124" w:lineRule="exact"/>
        <w:rPr>
          <w:sz w:val="20"/>
          <w:szCs w:val="20"/>
          <w:color w:val="auto"/>
        </w:rPr>
      </w:pPr>
    </w:p>
    <w:p>
      <w:pPr>
        <w:ind w:left="368" w:right="8960" w:hanging="368"/>
        <w:spacing w:after="0" w:line="484" w:lineRule="auto"/>
        <w:tabs>
          <w:tab w:leader="none" w:pos="184"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Balance Sheet Components Property and Equipment, net</w:t>
      </w:r>
    </w:p>
    <w:p>
      <w:pPr>
        <w:ind w:left="368"/>
        <w:spacing w:after="0"/>
        <w:rPr>
          <w:rFonts w:ascii="Arial" w:cs="Arial" w:eastAsia="Arial" w:hAnsi="Arial"/>
          <w:sz w:val="14"/>
          <w:szCs w:val="14"/>
          <w:b w:val="1"/>
          <w:bCs w:val="1"/>
          <w:color w:val="auto"/>
        </w:rPr>
      </w:pPr>
      <w:r>
        <w:rPr>
          <w:rFonts w:ascii="Arial" w:cs="Arial" w:eastAsia="Arial" w:hAnsi="Arial"/>
          <w:sz w:val="15"/>
          <w:szCs w:val="15"/>
          <w:color w:val="auto"/>
        </w:rPr>
        <w:t>Property and equipment, net consisted of the following (in thousands):</w:t>
      </w:r>
    </w:p>
    <w:p>
      <w:pPr>
        <w:spacing w:after="0" w:line="210"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55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2"/>
                <w:szCs w:val="12"/>
                <w:b w:val="1"/>
                <w:bCs w:val="1"/>
                <w:color w:val="auto"/>
              </w:rPr>
              <w:t>December 31,</w:t>
            </w:r>
          </w:p>
        </w:tc>
        <w:tc>
          <w:tcPr>
            <w:tcW w:w="1040" w:type="dxa"/>
            <w:vAlign w:val="bottom"/>
            <w:tcBorders>
              <w:bottom w:val="single" w:sz="8" w:color="auto"/>
            </w:tcBorders>
          </w:tcPr>
          <w:p>
            <w:pPr>
              <w:spacing w:after="0"/>
              <w:rPr>
                <w:sz w:val="12"/>
                <w:szCs w:val="12"/>
                <w:color w:val="auto"/>
              </w:rPr>
            </w:pPr>
          </w:p>
        </w:tc>
      </w:tr>
      <w:tr>
        <w:trPr>
          <w:trHeight w:val="118"/>
        </w:trPr>
        <w:tc>
          <w:tcPr>
            <w:tcW w:w="5580" w:type="dxa"/>
            <w:vAlign w:val="bottom"/>
            <w:tcBorders>
              <w:bottom w:val="single" w:sz="8" w:color="CCEEFF"/>
            </w:tcBorders>
          </w:tcPr>
          <w:p>
            <w:pPr>
              <w:spacing w:after="0"/>
              <w:rPr>
                <w:sz w:val="10"/>
                <w:szCs w:val="10"/>
                <w:color w:val="auto"/>
              </w:rPr>
            </w:pPr>
          </w:p>
        </w:tc>
        <w:tc>
          <w:tcPr>
            <w:tcW w:w="256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46"/>
              <w:spacing w:after="0" w:line="11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45"/>
              <w:spacing w:after="0" w:line="118" w:lineRule="exact"/>
              <w:rPr>
                <w:sz w:val="20"/>
                <w:szCs w:val="20"/>
                <w:color w:val="auto"/>
              </w:rPr>
            </w:pPr>
            <w:r>
              <w:rPr>
                <w:rFonts w:ascii="Arial" w:cs="Arial" w:eastAsia="Arial" w:hAnsi="Arial"/>
                <w:sz w:val="12"/>
                <w:szCs w:val="12"/>
                <w:b w:val="1"/>
                <w:bCs w:val="1"/>
                <w:color w:val="auto"/>
              </w:rPr>
              <w:t>2019</w:t>
            </w:r>
          </w:p>
        </w:tc>
      </w:tr>
      <w:tr>
        <w:trPr>
          <w:trHeight w:val="153"/>
        </w:trPr>
        <w:tc>
          <w:tcPr>
            <w:tcW w:w="55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Leasehold improvements</w:t>
            </w:r>
          </w:p>
        </w:tc>
        <w:tc>
          <w:tcPr>
            <w:tcW w:w="256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2,805</w:t>
            </w: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03"/>
              <w:spacing w:after="0" w:line="153"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2,248</w:t>
            </w:r>
          </w:p>
        </w:tc>
      </w:tr>
      <w:tr>
        <w:trPr>
          <w:trHeight w:val="161"/>
        </w:trPr>
        <w:tc>
          <w:tcPr>
            <w:tcW w:w="5580" w:type="dxa"/>
            <w:vAlign w:val="bottom"/>
          </w:tcPr>
          <w:p>
            <w:pPr>
              <w:spacing w:after="0" w:line="161" w:lineRule="exact"/>
              <w:rPr>
                <w:sz w:val="20"/>
                <w:szCs w:val="20"/>
                <w:color w:val="auto"/>
              </w:rPr>
            </w:pPr>
            <w:r>
              <w:rPr>
                <w:rFonts w:ascii="Arial" w:cs="Arial" w:eastAsia="Arial" w:hAnsi="Arial"/>
                <w:sz w:val="15"/>
                <w:szCs w:val="15"/>
                <w:color w:val="auto"/>
              </w:rPr>
              <w:t>Laboratory equipment</w:t>
            </w: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line="161" w:lineRule="exact"/>
              <w:rPr>
                <w:sz w:val="20"/>
                <w:szCs w:val="20"/>
                <w:color w:val="auto"/>
              </w:rPr>
            </w:pPr>
            <w:r>
              <w:rPr>
                <w:rFonts w:ascii="Arial" w:cs="Arial" w:eastAsia="Arial" w:hAnsi="Arial"/>
                <w:sz w:val="15"/>
                <w:szCs w:val="15"/>
                <w:color w:val="auto"/>
              </w:rPr>
              <w:t>878</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5"/>
                <w:szCs w:val="15"/>
                <w:color w:val="auto"/>
              </w:rPr>
              <w:t>677</w:t>
            </w:r>
          </w:p>
        </w:tc>
      </w:tr>
      <w:tr>
        <w:trPr>
          <w:trHeight w:val="161"/>
        </w:trPr>
        <w:tc>
          <w:tcPr>
            <w:tcW w:w="55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Furniture, fixtures and equipment</w:t>
            </w:r>
          </w:p>
        </w:tc>
        <w:tc>
          <w:tcPr>
            <w:tcW w:w="2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517</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466</w:t>
            </w:r>
          </w:p>
        </w:tc>
      </w:tr>
      <w:tr>
        <w:trPr>
          <w:trHeight w:val="161"/>
        </w:trPr>
        <w:tc>
          <w:tcPr>
            <w:tcW w:w="5580" w:type="dxa"/>
            <w:vAlign w:val="bottom"/>
          </w:tcPr>
          <w:p>
            <w:pPr>
              <w:spacing w:after="0" w:line="161" w:lineRule="exact"/>
              <w:rPr>
                <w:sz w:val="20"/>
                <w:szCs w:val="20"/>
                <w:color w:val="auto"/>
              </w:rPr>
            </w:pPr>
            <w:r>
              <w:rPr>
                <w:rFonts w:ascii="Arial" w:cs="Arial" w:eastAsia="Arial" w:hAnsi="Arial"/>
                <w:sz w:val="15"/>
                <w:szCs w:val="15"/>
                <w:color w:val="auto"/>
              </w:rPr>
              <w:t>Software</w:t>
            </w: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line="161" w:lineRule="exact"/>
              <w:rPr>
                <w:sz w:val="20"/>
                <w:szCs w:val="20"/>
                <w:color w:val="auto"/>
              </w:rPr>
            </w:pPr>
            <w:r>
              <w:rPr>
                <w:rFonts w:ascii="Arial" w:cs="Arial" w:eastAsia="Arial" w:hAnsi="Arial"/>
                <w:sz w:val="15"/>
                <w:szCs w:val="15"/>
                <w:color w:val="auto"/>
              </w:rPr>
              <w:t>128</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5"/>
                <w:szCs w:val="15"/>
                <w:color w:val="auto"/>
              </w:rPr>
              <w:t>118</w:t>
            </w:r>
          </w:p>
        </w:tc>
      </w:tr>
      <w:tr>
        <w:trPr>
          <w:trHeight w:val="161"/>
        </w:trPr>
        <w:tc>
          <w:tcPr>
            <w:tcW w:w="55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Construction in progress</w:t>
            </w:r>
          </w:p>
        </w:tc>
        <w:tc>
          <w:tcPr>
            <w:tcW w:w="25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66</w:t>
            </w:r>
          </w:p>
        </w:tc>
        <w:tc>
          <w:tcPr>
            <w:tcW w:w="1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543</w:t>
            </w:r>
          </w:p>
        </w:tc>
      </w:tr>
      <w:tr>
        <w:trPr>
          <w:trHeight w:val="153"/>
        </w:trPr>
        <w:tc>
          <w:tcPr>
            <w:tcW w:w="55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5"/>
                <w:szCs w:val="15"/>
                <w:color w:val="auto"/>
              </w:rPr>
              <w:t>4,394</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5"/>
                <w:szCs w:val="15"/>
                <w:color w:val="auto"/>
              </w:rPr>
              <w:t>4,052</w:t>
            </w:r>
          </w:p>
        </w:tc>
      </w:tr>
      <w:tr>
        <w:trPr>
          <w:trHeight w:val="161"/>
        </w:trPr>
        <w:tc>
          <w:tcPr>
            <w:tcW w:w="55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Less: Accumulated depreciation and amortization</w:t>
            </w:r>
          </w:p>
        </w:tc>
        <w:tc>
          <w:tcPr>
            <w:tcW w:w="25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(1,916)</w:t>
            </w:r>
          </w:p>
        </w:tc>
        <w:tc>
          <w:tcPr>
            <w:tcW w:w="1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(1,486)</w:t>
            </w:r>
          </w:p>
        </w:tc>
      </w:tr>
      <w:tr>
        <w:trPr>
          <w:trHeight w:val="153"/>
        </w:trPr>
        <w:tc>
          <w:tcPr>
            <w:tcW w:w="55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2,478</w:t>
            </w:r>
          </w:p>
        </w:tc>
        <w:tc>
          <w:tcPr>
            <w:tcW w:w="160" w:type="dxa"/>
            <w:vAlign w:val="bottom"/>
          </w:tcPr>
          <w:p>
            <w:pPr>
              <w:spacing w:after="0"/>
              <w:rPr>
                <w:sz w:val="13"/>
                <w:szCs w:val="13"/>
                <w:color w:val="auto"/>
              </w:rPr>
            </w:pPr>
          </w:p>
        </w:tc>
        <w:tc>
          <w:tcPr>
            <w:tcW w:w="460" w:type="dxa"/>
            <w:vAlign w:val="bottom"/>
            <w:tcBorders>
              <w:bottom w:val="single" w:sz="8" w:color="auto"/>
            </w:tcBorders>
          </w:tcPr>
          <w:p>
            <w:pPr>
              <w:jc w:val="right"/>
              <w:ind w:right="303"/>
              <w:spacing w:after="0" w:line="153"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2,566</w:t>
            </w:r>
          </w:p>
        </w:tc>
      </w:tr>
      <w:tr>
        <w:trPr>
          <w:trHeight w:val="20"/>
        </w:trPr>
        <w:tc>
          <w:tcPr>
            <w:tcW w:w="5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left="8" w:firstLine="376"/>
        <w:spacing w:after="0" w:line="255" w:lineRule="auto"/>
        <w:rPr>
          <w:sz w:val="20"/>
          <w:szCs w:val="20"/>
          <w:color w:val="auto"/>
        </w:rPr>
      </w:pPr>
      <w:r>
        <w:rPr>
          <w:rFonts w:ascii="Arial" w:cs="Arial" w:eastAsia="Arial" w:hAnsi="Arial"/>
          <w:sz w:val="15"/>
          <w:szCs w:val="15"/>
          <w:color w:val="auto"/>
        </w:rPr>
        <w:t>The lease for Company’s current premises in Hayward, California began in July 2017, per terms of the lease, the landlord provided $2.1 million in tenant improvement allowance which was capitalized.</w:t>
      </w:r>
    </w:p>
    <w:p>
      <w:pPr>
        <w:spacing w:after="0" w:line="118" w:lineRule="exact"/>
        <w:rPr>
          <w:sz w:val="20"/>
          <w:szCs w:val="20"/>
          <w:color w:val="auto"/>
        </w:rPr>
      </w:pPr>
    </w:p>
    <w:p>
      <w:pPr>
        <w:ind w:left="368" w:right="1180"/>
        <w:spacing w:after="0" w:line="449" w:lineRule="auto"/>
        <w:rPr>
          <w:sz w:val="20"/>
          <w:szCs w:val="20"/>
          <w:color w:val="auto"/>
        </w:rPr>
      </w:pPr>
      <w:r>
        <w:rPr>
          <w:rFonts w:ascii="Arial" w:cs="Arial" w:eastAsia="Arial" w:hAnsi="Arial"/>
          <w:sz w:val="15"/>
          <w:szCs w:val="15"/>
          <w:color w:val="auto"/>
        </w:rPr>
        <w:t xml:space="preserve">Depreciation and amortization expense for the years ended December 31, 2020, 2019, and 2018 was $0.4 million, $0.5 million, and $0.6 million, respectively. </w:t>
      </w:r>
      <w:r>
        <w:rPr>
          <w:rFonts w:ascii="Arial" w:cs="Arial" w:eastAsia="Arial" w:hAnsi="Arial"/>
          <w:sz w:val="15"/>
          <w:szCs w:val="15"/>
          <w:b w:val="1"/>
          <w:bCs w:val="1"/>
          <w:color w:val="auto"/>
        </w:rPr>
        <w:t>Intangible Assets, net</w:t>
      </w:r>
    </w:p>
    <w:p>
      <w:pPr>
        <w:jc w:val="both"/>
        <w:ind w:left="8" w:firstLine="376"/>
        <w:spacing w:after="0" w:line="257" w:lineRule="auto"/>
        <w:rPr>
          <w:sz w:val="20"/>
          <w:szCs w:val="20"/>
          <w:color w:val="auto"/>
        </w:rPr>
      </w:pPr>
      <w:r>
        <w:rPr>
          <w:rFonts w:ascii="Arial" w:cs="Arial" w:eastAsia="Arial" w:hAnsi="Arial"/>
          <w:sz w:val="14"/>
          <w:szCs w:val="14"/>
          <w:color w:val="auto"/>
        </w:rPr>
        <w:t>Intangible assets primarily consist of a license to utilize certain patents, know-how and technology relating to the Company’s NPS for biomedical applications acquired from Old Dominion University Research Foundation (ODURF), Eastern Virginia Medical School (EVMS), and the University of Southern California. In addition, the Company entered into a Sponsored Research Agreement with Old Dominion University’s Frank Reidy Research Center for Bioelectrics, a leading research organization in the field, which includes certain intellectual property rights arising from the research. The Company is amortizing the intangible assets over an estimated useful life of 12 years.</w:t>
      </w:r>
    </w:p>
    <w:p>
      <w:pPr>
        <w:spacing w:after="0" w:line="117" w:lineRule="exact"/>
        <w:rPr>
          <w:sz w:val="20"/>
          <w:szCs w:val="20"/>
          <w:color w:val="auto"/>
        </w:rPr>
      </w:pPr>
    </w:p>
    <w:p>
      <w:pPr>
        <w:ind w:left="368"/>
        <w:spacing w:after="0"/>
        <w:rPr>
          <w:sz w:val="20"/>
          <w:szCs w:val="20"/>
          <w:color w:val="auto"/>
        </w:rPr>
      </w:pPr>
      <w:r>
        <w:rPr>
          <w:rFonts w:ascii="Arial" w:cs="Arial" w:eastAsia="Arial" w:hAnsi="Arial"/>
          <w:sz w:val="15"/>
          <w:szCs w:val="15"/>
          <w:color w:val="auto"/>
        </w:rPr>
        <w:t>Intangible assets, net consisted of the following (in thousands):</w:t>
      </w:r>
    </w:p>
    <w:p>
      <w:pPr>
        <w:spacing w:after="0" w:line="199"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54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2"/>
                <w:szCs w:val="12"/>
                <w:b w:val="1"/>
                <w:bCs w:val="1"/>
                <w:color w:val="auto"/>
              </w:rPr>
              <w:t>December 31,</w:t>
            </w: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400" w:type="dxa"/>
            <w:vAlign w:val="bottom"/>
            <w:tcBorders>
              <w:bottom w:val="single" w:sz="8" w:color="CCEEFF"/>
            </w:tcBorders>
          </w:tcPr>
          <w:p>
            <w:pPr>
              <w:spacing w:after="0"/>
              <w:rPr>
                <w:sz w:val="10"/>
                <w:szCs w:val="10"/>
                <w:color w:val="auto"/>
              </w:rPr>
            </w:pPr>
          </w:p>
        </w:tc>
        <w:tc>
          <w:tcPr>
            <w:tcW w:w="274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49"/>
              <w:spacing w:after="0" w:line="118"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45"/>
              <w:spacing w:after="0" w:line="118" w:lineRule="exact"/>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53"/>
        </w:trPr>
        <w:tc>
          <w:tcPr>
            <w:tcW w:w="5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Acquired patents and licenses</w:t>
            </w:r>
          </w:p>
        </w:tc>
        <w:tc>
          <w:tcPr>
            <w:tcW w:w="274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7,985</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303"/>
              <w:spacing w:after="0" w:line="153"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7,985</w:t>
            </w:r>
          </w:p>
        </w:tc>
        <w:tc>
          <w:tcPr>
            <w:tcW w:w="0" w:type="dxa"/>
            <w:vAlign w:val="bottom"/>
          </w:tcPr>
          <w:p>
            <w:pPr>
              <w:spacing w:after="0"/>
              <w:rPr>
                <w:sz w:val="1"/>
                <w:szCs w:val="1"/>
                <w:color w:val="auto"/>
              </w:rPr>
            </w:pPr>
          </w:p>
        </w:tc>
      </w:tr>
      <w:tr>
        <w:trPr>
          <w:trHeight w:val="161"/>
        </w:trPr>
        <w:tc>
          <w:tcPr>
            <w:tcW w:w="540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color w:val="auto"/>
              </w:rPr>
              <w:t>Less: Accumulated amortization</w:t>
            </w:r>
          </w:p>
        </w:tc>
        <w:tc>
          <w:tcPr>
            <w:tcW w:w="27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(4,103)</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(3,438)</w:t>
            </w:r>
          </w:p>
        </w:tc>
        <w:tc>
          <w:tcPr>
            <w:tcW w:w="0" w:type="dxa"/>
            <w:vAlign w:val="bottom"/>
          </w:tcPr>
          <w:p>
            <w:pPr>
              <w:spacing w:after="0"/>
              <w:rPr>
                <w:sz w:val="1"/>
                <w:szCs w:val="1"/>
                <w:color w:val="auto"/>
              </w:rPr>
            </w:pPr>
          </w:p>
        </w:tc>
      </w:tr>
      <w:tr>
        <w:trPr>
          <w:trHeight w:val="153"/>
        </w:trPr>
        <w:tc>
          <w:tcPr>
            <w:tcW w:w="5400" w:type="dxa"/>
            <w:vAlign w:val="bottom"/>
            <w:tcBorders>
              <w:bottom w:val="single" w:sz="8" w:color="CCEEFF"/>
            </w:tcBorders>
            <w:shd w:val="clear" w:color="auto" w:fill="CCEEFF"/>
          </w:tcPr>
          <w:p>
            <w:pPr>
              <w:spacing w:after="0"/>
              <w:rPr>
                <w:sz w:val="13"/>
                <w:szCs w:val="13"/>
                <w:color w:val="auto"/>
              </w:rPr>
            </w:pPr>
          </w:p>
        </w:tc>
        <w:tc>
          <w:tcPr>
            <w:tcW w:w="27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3,882</w:t>
            </w:r>
          </w:p>
        </w:tc>
        <w:tc>
          <w:tcPr>
            <w:tcW w:w="1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gridSpan w:val="2"/>
            <w:shd w:val="clear" w:color="auto" w:fill="CCEEFF"/>
          </w:tcPr>
          <w:p>
            <w:pPr>
              <w:jc w:val="right"/>
              <w:ind w:right="303"/>
              <w:spacing w:after="0" w:line="153"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4,547</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360"/>
              <w:spacing w:after="0"/>
              <w:rPr>
                <w:sz w:val="20"/>
                <w:szCs w:val="20"/>
                <w:color w:val="auto"/>
              </w:rPr>
            </w:pPr>
            <w:r>
              <w:rPr>
                <w:rFonts w:ascii="Arial" w:cs="Arial" w:eastAsia="Arial" w:hAnsi="Arial"/>
                <w:sz w:val="15"/>
                <w:szCs w:val="15"/>
                <w:color w:val="auto"/>
                <w:w w:val="96"/>
              </w:rPr>
              <w:t>A schedule of the amortization of intangible assets is as follows (in thousands):</w:t>
            </w:r>
          </w:p>
        </w:tc>
        <w:tc>
          <w:tcPr>
            <w:tcW w:w="2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5400" w:type="dxa"/>
            <w:vAlign w:val="bottom"/>
            <w:vMerge w:val="continue"/>
          </w:tcPr>
          <w:p>
            <w:pPr>
              <w:spacing w:after="0"/>
              <w:rPr>
                <w:sz w:val="24"/>
                <w:szCs w:val="24"/>
                <w:color w:val="auto"/>
              </w:rPr>
            </w:pPr>
          </w:p>
        </w:tc>
        <w:tc>
          <w:tcPr>
            <w:tcW w:w="2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5400" w:type="dxa"/>
            <w:vAlign w:val="bottom"/>
          </w:tcPr>
          <w:p>
            <w:pPr>
              <w:spacing w:after="0"/>
              <w:rPr>
                <w:sz w:val="20"/>
                <w:szCs w:val="20"/>
                <w:color w:val="auto"/>
              </w:rPr>
            </w:pPr>
            <w:r>
              <w:rPr>
                <w:rFonts w:ascii="Arial" w:cs="Arial" w:eastAsia="Arial" w:hAnsi="Arial"/>
                <w:sz w:val="15"/>
                <w:szCs w:val="15"/>
                <w:color w:val="auto"/>
              </w:rPr>
              <w:t>Years ending December 31:</w:t>
            </w:r>
          </w:p>
        </w:tc>
        <w:tc>
          <w:tcPr>
            <w:tcW w:w="2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4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2021</w:t>
            </w:r>
          </w:p>
        </w:tc>
        <w:tc>
          <w:tcPr>
            <w:tcW w:w="2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83"/>
              <w:spacing w:after="0" w:line="161" w:lineRule="exact"/>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665</w:t>
            </w:r>
          </w:p>
        </w:tc>
        <w:tc>
          <w:tcPr>
            <w:tcW w:w="0" w:type="dxa"/>
            <w:vAlign w:val="bottom"/>
          </w:tcPr>
          <w:p>
            <w:pPr>
              <w:spacing w:after="0"/>
              <w:rPr>
                <w:sz w:val="1"/>
                <w:szCs w:val="1"/>
                <w:color w:val="auto"/>
              </w:rPr>
            </w:pPr>
          </w:p>
        </w:tc>
      </w:tr>
      <w:tr>
        <w:trPr>
          <w:trHeight w:val="161"/>
        </w:trPr>
        <w:tc>
          <w:tcPr>
            <w:tcW w:w="5400" w:type="dxa"/>
            <w:vAlign w:val="bottom"/>
          </w:tcPr>
          <w:p>
            <w:pPr>
              <w:spacing w:after="0" w:line="161" w:lineRule="exact"/>
              <w:rPr>
                <w:sz w:val="20"/>
                <w:szCs w:val="20"/>
                <w:color w:val="auto"/>
              </w:rPr>
            </w:pPr>
            <w:r>
              <w:rPr>
                <w:rFonts w:ascii="Arial" w:cs="Arial" w:eastAsia="Arial" w:hAnsi="Arial"/>
                <w:sz w:val="15"/>
                <w:szCs w:val="15"/>
                <w:color w:val="auto"/>
              </w:rPr>
              <w:t>2022</w:t>
            </w:r>
          </w:p>
        </w:tc>
        <w:tc>
          <w:tcPr>
            <w:tcW w:w="2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5"/>
                <w:szCs w:val="15"/>
                <w:color w:val="auto"/>
              </w:rPr>
              <w:t>665</w:t>
            </w:r>
          </w:p>
        </w:tc>
        <w:tc>
          <w:tcPr>
            <w:tcW w:w="0" w:type="dxa"/>
            <w:vAlign w:val="bottom"/>
          </w:tcPr>
          <w:p>
            <w:pPr>
              <w:spacing w:after="0"/>
              <w:rPr>
                <w:sz w:val="1"/>
                <w:szCs w:val="1"/>
                <w:color w:val="auto"/>
              </w:rPr>
            </w:pPr>
          </w:p>
        </w:tc>
      </w:tr>
      <w:tr>
        <w:trPr>
          <w:trHeight w:val="161"/>
        </w:trPr>
        <w:tc>
          <w:tcPr>
            <w:tcW w:w="54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2023</w:t>
            </w:r>
          </w:p>
        </w:tc>
        <w:tc>
          <w:tcPr>
            <w:tcW w:w="2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665</w:t>
            </w:r>
          </w:p>
        </w:tc>
        <w:tc>
          <w:tcPr>
            <w:tcW w:w="0" w:type="dxa"/>
            <w:vAlign w:val="bottom"/>
          </w:tcPr>
          <w:p>
            <w:pPr>
              <w:spacing w:after="0"/>
              <w:rPr>
                <w:sz w:val="1"/>
                <w:szCs w:val="1"/>
                <w:color w:val="auto"/>
              </w:rPr>
            </w:pPr>
          </w:p>
        </w:tc>
      </w:tr>
      <w:tr>
        <w:trPr>
          <w:trHeight w:val="161"/>
        </w:trPr>
        <w:tc>
          <w:tcPr>
            <w:tcW w:w="5400" w:type="dxa"/>
            <w:vAlign w:val="bottom"/>
          </w:tcPr>
          <w:p>
            <w:pPr>
              <w:spacing w:after="0" w:line="161" w:lineRule="exact"/>
              <w:rPr>
                <w:sz w:val="20"/>
                <w:szCs w:val="20"/>
                <w:color w:val="auto"/>
              </w:rPr>
            </w:pPr>
            <w:r>
              <w:rPr>
                <w:rFonts w:ascii="Arial" w:cs="Arial" w:eastAsia="Arial" w:hAnsi="Arial"/>
                <w:sz w:val="15"/>
                <w:szCs w:val="15"/>
                <w:color w:val="auto"/>
              </w:rPr>
              <w:t>2024</w:t>
            </w:r>
          </w:p>
        </w:tc>
        <w:tc>
          <w:tcPr>
            <w:tcW w:w="2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5"/>
                <w:szCs w:val="15"/>
                <w:color w:val="auto"/>
              </w:rPr>
              <w:t>665</w:t>
            </w:r>
          </w:p>
        </w:tc>
        <w:tc>
          <w:tcPr>
            <w:tcW w:w="0" w:type="dxa"/>
            <w:vAlign w:val="bottom"/>
          </w:tcPr>
          <w:p>
            <w:pPr>
              <w:spacing w:after="0"/>
              <w:rPr>
                <w:sz w:val="1"/>
                <w:szCs w:val="1"/>
                <w:color w:val="auto"/>
              </w:rPr>
            </w:pPr>
          </w:p>
        </w:tc>
      </w:tr>
      <w:tr>
        <w:trPr>
          <w:trHeight w:val="161"/>
        </w:trPr>
        <w:tc>
          <w:tcPr>
            <w:tcW w:w="54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2025</w:t>
            </w:r>
          </w:p>
        </w:tc>
        <w:tc>
          <w:tcPr>
            <w:tcW w:w="2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665</w:t>
            </w:r>
          </w:p>
        </w:tc>
        <w:tc>
          <w:tcPr>
            <w:tcW w:w="0" w:type="dxa"/>
            <w:vAlign w:val="bottom"/>
          </w:tcPr>
          <w:p>
            <w:pPr>
              <w:spacing w:after="0"/>
              <w:rPr>
                <w:sz w:val="1"/>
                <w:szCs w:val="1"/>
                <w:color w:val="auto"/>
              </w:rPr>
            </w:pPr>
          </w:p>
        </w:tc>
      </w:tr>
      <w:tr>
        <w:trPr>
          <w:trHeight w:val="161"/>
        </w:trPr>
        <w:tc>
          <w:tcPr>
            <w:tcW w:w="540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color w:val="auto"/>
              </w:rPr>
              <w:t>Thereafter</w:t>
            </w:r>
          </w:p>
        </w:tc>
        <w:tc>
          <w:tcPr>
            <w:tcW w:w="27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557</w:t>
            </w:r>
          </w:p>
        </w:tc>
        <w:tc>
          <w:tcPr>
            <w:tcW w:w="0" w:type="dxa"/>
            <w:vAlign w:val="bottom"/>
          </w:tcPr>
          <w:p>
            <w:pPr>
              <w:spacing w:after="0"/>
              <w:rPr>
                <w:sz w:val="1"/>
                <w:szCs w:val="1"/>
                <w:color w:val="auto"/>
              </w:rPr>
            </w:pPr>
          </w:p>
        </w:tc>
      </w:tr>
      <w:tr>
        <w:trPr>
          <w:trHeight w:val="153"/>
        </w:trPr>
        <w:tc>
          <w:tcPr>
            <w:tcW w:w="5400" w:type="dxa"/>
            <w:vAlign w:val="bottom"/>
            <w:tcBorders>
              <w:bottom w:val="single" w:sz="8" w:color="CCEEFF"/>
            </w:tcBorders>
            <w:shd w:val="clear" w:color="auto" w:fill="CCEEFF"/>
          </w:tcPr>
          <w:p>
            <w:pPr>
              <w:spacing w:after="0"/>
              <w:rPr>
                <w:sz w:val="13"/>
                <w:szCs w:val="13"/>
                <w:color w:val="auto"/>
              </w:rPr>
            </w:pPr>
          </w:p>
        </w:tc>
        <w:tc>
          <w:tcPr>
            <w:tcW w:w="27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283"/>
              <w:spacing w:after="0" w:line="153"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3,882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740" w:type="dxa"/>
            <w:vAlign w:val="bottom"/>
            <w:vMerge w:val="restart"/>
          </w:tcPr>
          <w:p>
            <w:pPr>
              <w:jc w:val="right"/>
              <w:ind w:right="2363"/>
              <w:spacing w:after="0"/>
              <w:rPr>
                <w:sz w:val="20"/>
                <w:szCs w:val="20"/>
                <w:color w:val="auto"/>
              </w:rPr>
            </w:pPr>
            <w:r>
              <w:rPr>
                <w:rFonts w:ascii="Arial" w:cs="Arial" w:eastAsia="Arial" w:hAnsi="Arial"/>
                <w:sz w:val="15"/>
                <w:szCs w:val="15"/>
                <w:color w:val="auto"/>
              </w:rPr>
              <w:t>68</w:t>
            </w: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54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400" w:type="dxa"/>
            <w:vAlign w:val="bottom"/>
            <w:tcBorders>
              <w:bottom w:val="single" w:sz="8" w:color="9A9A9A"/>
            </w:tcBorders>
          </w:tcPr>
          <w:p>
            <w:pPr>
              <w:spacing w:after="0"/>
              <w:rPr>
                <w:sz w:val="23"/>
                <w:szCs w:val="23"/>
                <w:color w:val="auto"/>
              </w:rPr>
            </w:pPr>
          </w:p>
        </w:tc>
        <w:tc>
          <w:tcPr>
            <w:tcW w:w="274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-6985</wp:posOffset>
            </wp:positionV>
            <wp:extent cx="762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7620"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8"/>
          </w:cols>
          <w:pgMar w:left="312" w:top="112" w:right="319" w:bottom="1440" w:gutter="0" w:footer="0" w:header="0"/>
        </w:sectPr>
      </w:pPr>
    </w:p>
    <w:bookmarkStart w:id="68" w:name="page69"/>
    <w:bookmarkEnd w:id="68"/>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Accrued Expenses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Accrued expenses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5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2"/>
                <w:szCs w:val="12"/>
                <w:b w:val="1"/>
                <w:bCs w:val="1"/>
                <w:color w:val="auto"/>
              </w:rPr>
              <w:t>December 31,</w:t>
            </w:r>
          </w:p>
        </w:tc>
        <w:tc>
          <w:tcPr>
            <w:tcW w:w="1040" w:type="dxa"/>
            <w:vAlign w:val="bottom"/>
            <w:tcBorders>
              <w:bottom w:val="single" w:sz="8" w:color="auto"/>
            </w:tcBorders>
          </w:tcPr>
          <w:p>
            <w:pPr>
              <w:spacing w:after="0"/>
              <w:rPr>
                <w:sz w:val="12"/>
                <w:szCs w:val="12"/>
                <w:color w:val="auto"/>
              </w:rPr>
            </w:pPr>
          </w:p>
        </w:tc>
      </w:tr>
      <w:tr>
        <w:trPr>
          <w:trHeight w:val="118"/>
        </w:trPr>
        <w:tc>
          <w:tcPr>
            <w:tcW w:w="5520" w:type="dxa"/>
            <w:vAlign w:val="bottom"/>
            <w:tcBorders>
              <w:bottom w:val="single" w:sz="8" w:color="CCEEFF"/>
            </w:tcBorders>
          </w:tcPr>
          <w:p>
            <w:pPr>
              <w:spacing w:after="0"/>
              <w:rPr>
                <w:sz w:val="10"/>
                <w:szCs w:val="10"/>
                <w:color w:val="auto"/>
              </w:rPr>
            </w:pPr>
          </w:p>
        </w:tc>
        <w:tc>
          <w:tcPr>
            <w:tcW w:w="262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jc w:val="right"/>
              <w:ind w:right="67"/>
              <w:spacing w:after="0" w:line="118" w:lineRule="exact"/>
              <w:rPr>
                <w:sz w:val="20"/>
                <w:szCs w:val="20"/>
                <w:color w:val="auto"/>
              </w:rPr>
            </w:pPr>
            <w:r>
              <w:rPr>
                <w:rFonts w:ascii="Arial" w:cs="Arial" w:eastAsia="Arial" w:hAnsi="Arial"/>
                <w:sz w:val="12"/>
                <w:szCs w:val="12"/>
                <w:b w:val="1"/>
                <w:bCs w:val="1"/>
                <w:color w:val="auto"/>
              </w:rPr>
              <w:t>2020</w:t>
            </w: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45"/>
              <w:spacing w:after="0" w:line="118" w:lineRule="exact"/>
              <w:rPr>
                <w:sz w:val="20"/>
                <w:szCs w:val="20"/>
                <w:color w:val="auto"/>
              </w:rPr>
            </w:pPr>
            <w:r>
              <w:rPr>
                <w:rFonts w:ascii="Arial" w:cs="Arial" w:eastAsia="Arial" w:hAnsi="Arial"/>
                <w:sz w:val="12"/>
                <w:szCs w:val="12"/>
                <w:b w:val="1"/>
                <w:bCs w:val="1"/>
                <w:color w:val="auto"/>
              </w:rPr>
              <w:t>2019</w:t>
            </w:r>
          </w:p>
        </w:tc>
      </w:tr>
      <w:tr>
        <w:trPr>
          <w:trHeight w:val="153"/>
        </w:trPr>
        <w:tc>
          <w:tcPr>
            <w:tcW w:w="552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Compensation expense</w:t>
            </w:r>
          </w:p>
        </w:tc>
        <w:tc>
          <w:tcPr>
            <w:tcW w:w="26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4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3,324</w:t>
            </w: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03"/>
              <w:spacing w:after="0" w:line="153"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1,699</w:t>
            </w:r>
          </w:p>
        </w:tc>
      </w:tr>
      <w:tr>
        <w:trPr>
          <w:trHeight w:val="161"/>
        </w:trPr>
        <w:tc>
          <w:tcPr>
            <w:tcW w:w="5520" w:type="dxa"/>
            <w:vAlign w:val="bottom"/>
          </w:tcPr>
          <w:p>
            <w:pPr>
              <w:spacing w:after="0" w:line="161" w:lineRule="exact"/>
              <w:rPr>
                <w:sz w:val="20"/>
                <w:szCs w:val="20"/>
                <w:color w:val="auto"/>
              </w:rPr>
            </w:pPr>
            <w:r>
              <w:rPr>
                <w:rFonts w:ascii="Arial" w:cs="Arial" w:eastAsia="Arial" w:hAnsi="Arial"/>
                <w:sz w:val="15"/>
                <w:szCs w:val="15"/>
                <w:color w:val="auto"/>
              </w:rPr>
              <w:t>Director and officer liability insurance (Note 9)</w:t>
            </w:r>
          </w:p>
        </w:tc>
        <w:tc>
          <w:tcPr>
            <w:tcW w:w="2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5"/>
                <w:szCs w:val="15"/>
                <w:color w:val="auto"/>
              </w:rPr>
              <w:t>1,563</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r>
      <w:tr>
        <w:trPr>
          <w:trHeight w:val="161"/>
        </w:trPr>
        <w:tc>
          <w:tcPr>
            <w:tcW w:w="55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Accrued clinical</w:t>
            </w:r>
          </w:p>
        </w:tc>
        <w:tc>
          <w:tcPr>
            <w:tcW w:w="26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188</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262</w:t>
            </w:r>
          </w:p>
        </w:tc>
      </w:tr>
      <w:tr>
        <w:trPr>
          <w:trHeight w:val="161"/>
        </w:trPr>
        <w:tc>
          <w:tcPr>
            <w:tcW w:w="5520" w:type="dxa"/>
            <w:vAlign w:val="bottom"/>
          </w:tcPr>
          <w:p>
            <w:pPr>
              <w:spacing w:after="0" w:line="161" w:lineRule="exact"/>
              <w:rPr>
                <w:sz w:val="20"/>
                <w:szCs w:val="20"/>
                <w:color w:val="auto"/>
              </w:rPr>
            </w:pPr>
            <w:r>
              <w:rPr>
                <w:rFonts w:ascii="Arial" w:cs="Arial" w:eastAsia="Arial" w:hAnsi="Arial"/>
                <w:sz w:val="15"/>
                <w:szCs w:val="15"/>
                <w:color w:val="auto"/>
              </w:rPr>
              <w:t>Professional fees</w:t>
            </w:r>
          </w:p>
        </w:tc>
        <w:tc>
          <w:tcPr>
            <w:tcW w:w="2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5"/>
                <w:szCs w:val="15"/>
                <w:color w:val="auto"/>
              </w:rPr>
              <w:t>87</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5"/>
                <w:szCs w:val="15"/>
                <w:color w:val="auto"/>
              </w:rPr>
              <w:t>51</w:t>
            </w:r>
          </w:p>
        </w:tc>
      </w:tr>
      <w:tr>
        <w:trPr>
          <w:trHeight w:val="161"/>
        </w:trPr>
        <w:tc>
          <w:tcPr>
            <w:tcW w:w="55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Property and equipment</w:t>
            </w:r>
          </w:p>
        </w:tc>
        <w:tc>
          <w:tcPr>
            <w:tcW w:w="26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234</w:t>
            </w:r>
          </w:p>
        </w:tc>
      </w:tr>
      <w:tr>
        <w:trPr>
          <w:trHeight w:val="161"/>
        </w:trPr>
        <w:tc>
          <w:tcPr>
            <w:tcW w:w="552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color w:val="auto"/>
              </w:rPr>
              <w:t>Other</w:t>
            </w:r>
          </w:p>
        </w:tc>
        <w:tc>
          <w:tcPr>
            <w:tcW w:w="26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164</w:t>
            </w:r>
          </w:p>
        </w:tc>
        <w:tc>
          <w:tcPr>
            <w:tcW w:w="1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250</w:t>
            </w:r>
          </w:p>
        </w:tc>
      </w:tr>
      <w:tr>
        <w:trPr>
          <w:trHeight w:val="153"/>
        </w:trPr>
        <w:tc>
          <w:tcPr>
            <w:tcW w:w="5520" w:type="dxa"/>
            <w:vAlign w:val="bottom"/>
            <w:tcBorders>
              <w:bottom w:val="single" w:sz="8" w:color="CCEEFF"/>
            </w:tcBorders>
            <w:shd w:val="clear" w:color="auto" w:fill="CCEEFF"/>
          </w:tcPr>
          <w:p>
            <w:pPr>
              <w:spacing w:after="0"/>
              <w:rPr>
                <w:sz w:val="13"/>
                <w:szCs w:val="13"/>
                <w:color w:val="auto"/>
              </w:rPr>
            </w:pPr>
          </w:p>
        </w:tc>
        <w:tc>
          <w:tcPr>
            <w:tcW w:w="26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47"/>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5,326</w:t>
            </w:r>
          </w:p>
        </w:tc>
        <w:tc>
          <w:tcPr>
            <w:tcW w:w="1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03"/>
              <w:spacing w:after="0" w:line="153"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2,496</w:t>
            </w:r>
          </w:p>
        </w:tc>
      </w:tr>
      <w:tr>
        <w:trPr>
          <w:trHeight w:val="20"/>
        </w:trPr>
        <w:tc>
          <w:tcPr>
            <w:tcW w:w="5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Accrued compensation expense at December 31, 2019 includes approximately $0.3 million relating to the departure of an executive officer, of which the balance was fully paid out in 2020.</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Goodwill</w:t>
      </w:r>
    </w:p>
    <w:p>
      <w:pPr>
        <w:spacing w:after="0" w:line="154"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 xml:space="preserve">In 2014, the Company acquired three companies (the acquisitions) for aggregate consideration of $5.5 million. In accordance with ASC Topic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the Company recorded goodwill of $2.8 million in connection with the acquisitions, which represents the excess of consideration paid over the fair value of net tangible and intangible assets acquired.</w:t>
      </w:r>
    </w:p>
    <w:p>
      <w:pPr>
        <w:spacing w:after="0" w:line="140"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The Company reviews goodwill for impairment annually or whenever changes in circumstances indicate that the carrying amount of goodwill may not be recoverable. Based on the Company’s annual review as of December 31, 2020, the Company determined that its goodwill was not impaired.</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Stockholders’ Equity and Stock-Based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Preferred Stock</w:t>
      </w:r>
    </w:p>
    <w:p>
      <w:pPr>
        <w:spacing w:after="0" w:line="150" w:lineRule="exact"/>
        <w:rPr>
          <w:sz w:val="20"/>
          <w:szCs w:val="20"/>
          <w:color w:val="auto"/>
        </w:rPr>
      </w:pPr>
    </w:p>
    <w:p>
      <w:pPr>
        <w:jc w:val="both"/>
        <w:ind w:right="20" w:firstLine="332"/>
        <w:spacing w:after="0"/>
        <w:rPr>
          <w:sz w:val="20"/>
          <w:szCs w:val="20"/>
          <w:color w:val="auto"/>
        </w:rPr>
      </w:pPr>
      <w:r>
        <w:rPr>
          <w:rFonts w:ascii="Arial" w:cs="Arial" w:eastAsia="Arial" w:hAnsi="Arial"/>
          <w:sz w:val="15"/>
          <w:szCs w:val="15"/>
          <w:color w:val="auto"/>
        </w:rPr>
        <w:t>The Company has authorized a total of 50,000,000 shares of preferred stock, par value $0.001 per share, none of which were outstanding at December 31, 2020 and 2019. The Company’s Board of Directors (the Board) has the authority to issue preferred stock and to determine the rights, preferences, privileges, and restrictions, including voting rights, without any further vote or action by the Company’s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Stock</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has authorized a total of 500,000,000 shares of common stock, par value $0.001 per share.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Rights Offerings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2018 Rights Offering</w:t>
      </w:r>
    </w:p>
    <w:p>
      <w:pPr>
        <w:spacing w:after="0" w:line="150"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On October 25, 2018, the Company commenced a rights offering pursuant to which stockholders of record as of November 19, 2018, were issued, at no charge, one subscription right for each share of common stock then outstanding. Each right entitled the holder to purchase 0.19860755 share of the Company’s common stock for $12.57 per share (2018 Rights Offering).</w:t>
      </w:r>
    </w:p>
    <w:p>
      <w:pPr>
        <w:spacing w:after="0" w:line="128" w:lineRule="exact"/>
        <w:rPr>
          <w:sz w:val="20"/>
          <w:szCs w:val="20"/>
          <w:color w:val="auto"/>
        </w:rPr>
      </w:pPr>
    </w:p>
    <w:p>
      <w:pPr>
        <w:jc w:val="both"/>
        <w:ind w:right="20" w:firstLine="376"/>
        <w:spacing w:after="0" w:line="291" w:lineRule="auto"/>
        <w:rPr>
          <w:sz w:val="20"/>
          <w:szCs w:val="20"/>
          <w:color w:val="auto"/>
        </w:rPr>
      </w:pPr>
      <w:r>
        <w:rPr>
          <w:rFonts w:ascii="Arial" w:cs="Arial" w:eastAsia="Arial" w:hAnsi="Arial"/>
          <w:sz w:val="14"/>
          <w:szCs w:val="14"/>
          <w:color w:val="auto"/>
        </w:rPr>
        <w:t>Stockholders who exercised their rights in full were also permitted an over-subscription right to purchase additional shares of common stock that remained unsubscribed at the expiration of the 2018 Rights Offering, subject to the availability of shares and a pro rata allocation of shares among persons exercising the oversubscription right.</w:t>
      </w:r>
    </w:p>
    <w:p>
      <w:pPr>
        <w:spacing w:after="0" w:line="94"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Upon the closing of the 2018 Rights Offering on December 6, 2018, the 2018 Rights Offering was oversubscribed. A total of 3,581,148 shares of the Company’s common stock were issued and sold in the 2018 Rights Offering for net proceeds of approximately $44.8 million. Robert W. Duggan, the Company’s Chairman of the Board of Directors and the beneficial owner of approximately 35% of the Company’s outstanding common stock prior to the 2018 Rights Offering, participated in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69" w:name="page70"/>
    <w:bookmarkEnd w:id="69"/>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the 2018 Rights Offering and purchased an aggregate of 3,146,226 shares for an additional investment of approximately $39.5 million.</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2020 Rights Offering</w:t>
      </w:r>
    </w:p>
    <w:p>
      <w:pPr>
        <w:spacing w:after="0" w:line="150"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During June 2020, the Company completed a rights offering to purchase up to $30 million of units, each unit consisting of one share of the Company’s common stock, par value $0.001 per share, and 0.15 warrants to purchase shares of common stock (the Units) at a price of $7.01 per Unit (2020 Rights Offering). The common stock and warrants comprising the Units separated upon the closing of the 2020 Rights Offering and were issued separately.</w:t>
      </w:r>
    </w:p>
    <w:p>
      <w:pPr>
        <w:spacing w:after="0" w:line="128"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A total of 4,279,600 shares of common stock and 641,571 warrants (Rights Offering Warrant) were issued and sold in the 2020 Rights Offering for net proceeds of approximately $29.4 million. Each warrant is exercisable for one share of the Company’s common stock at an exercise price equal to $7.01, the subscription price for the Units. The Rights Offering Warrants are exercisable immediately and expire on the fifth anniversary of the completion of the 2020 Rights Offering, or June 16, 2025. The Rights Offering Warrants are subject to redemption by the Company for $0.01 per warrant, with not less than 30 days written notice, if the volume weighted average price of our common stock equals or exceeds 200% of the exercise price for the Rights Offering Warrants for 10 consecutive trading days, provided that the Company may not redeem the warrants prior to December 16, 2020, six months after the issuance date.</w:t>
      </w:r>
    </w:p>
    <w:p>
      <w:pPr>
        <w:spacing w:after="0" w:line="129"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Robert W. Duggan, the Company’s Chairman of the Board of Directors and the beneficial owner of approximately 43% of the Company’s outstanding common stock prior to the 2020 Rights Offering, participated in the 2020 Rights Offering and purchased an aggregate of 2,561,873 Units. After giving effect to the 2020 Rights Offering, Mr. Duggan is the beneficial owner of approximately 47% of the Company’s outstanding common stock as of December 31, 2020.</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Stock Warrants</w:t>
      </w:r>
    </w:p>
    <w:p>
      <w:pPr>
        <w:spacing w:after="0" w:line="150"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In connection with a private placement offering of the Company’s shares of common stock, par value $0.001 per share in 2014, the Company issued warrants as compensation to the placement agent to purchase a total of 299,625 shares of its common stock at a price of $2.67 per share (Private Placement Warrants). The Private Placement Warrants are exercisable for a period of seven years. As of December 31, 2020, there were a total of 46,238 of Private Placement Warrants outstanding.</w:t>
      </w:r>
    </w:p>
    <w:p>
      <w:pPr>
        <w:spacing w:after="0" w:line="128"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In connection with the closing of the Company’s initial public offering in 2016, the Company issued warrants as compensation to its underwriters, as representatives of the underwriters of its initial public offering to purchase a total of 574,985 shares of its common stock at a price of $5.00 per share (IPO Warrants). The IPO Warrants are exercisable for a period of five years. As of December 31, 2020, there were a total of 85,385 of the IPO Warrants outstanding.</w:t>
      </w:r>
    </w:p>
    <w:p>
      <w:pPr>
        <w:spacing w:after="0" w:line="128"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In connection with the 2020 Rights Offering, the Company issued warrants to purchase a total of 641,571 shares of its common stock at an exercise price of $7.01. As of December 31, 2020, there were a total of 480,687 of the Rights Offering Warrants outstanding. On December 31, 2020 the Company met the requirements for redemption of these warrants and delivered a notice of redemption to redeem all of the outstanding warrants that remain unexercised at February 5, 2021, for the redemption price of $0.01 per warrant. Pursuant to the redemption, the Company redeemed 5,139 warrants. Prior to the February 5, 2021 redemption date, 636,432 warrants were exercised, generating approximately $4.5 million of total gross proceeds to the Company, of which $4.2 million was received subsequent to December 31, 2020 and is therefore not included in the cash and cash equivalents balance on the consolidated balance sheet as of December 31, 2020.</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 summary of total warrants activity for the year ended December 31, 2020 is presented below:</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92"/>
              </w:rPr>
              <w:t>Weighted</w:t>
            </w:r>
          </w:p>
        </w:tc>
        <w:tc>
          <w:tcPr>
            <w:tcW w:w="0" w:type="dxa"/>
            <w:vAlign w:val="bottom"/>
          </w:tcPr>
          <w:p>
            <w:pPr>
              <w:spacing w:after="0"/>
              <w:rPr>
                <w:sz w:val="1"/>
                <w:szCs w:val="1"/>
                <w:color w:val="auto"/>
              </w:rPr>
            </w:pPr>
          </w:p>
        </w:tc>
      </w:tr>
      <w:tr>
        <w:trPr>
          <w:trHeight w:val="127"/>
        </w:trPr>
        <w:tc>
          <w:tcPr>
            <w:tcW w:w="6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restart"/>
          </w:tcPr>
          <w:p>
            <w:pPr>
              <w:jc w:val="center"/>
              <w:ind w:left="355"/>
              <w:spacing w:after="0"/>
              <w:rPr>
                <w:sz w:val="20"/>
                <w:szCs w:val="20"/>
                <w:color w:val="auto"/>
              </w:rPr>
            </w:pPr>
            <w:r>
              <w:rPr>
                <w:rFonts w:ascii="Arial" w:cs="Arial" w:eastAsia="Arial" w:hAnsi="Arial"/>
                <w:sz w:val="12"/>
                <w:szCs w:val="12"/>
                <w:b w:val="1"/>
                <w:bCs w:val="1"/>
                <w:color w:val="auto"/>
                <w:w w:val="92"/>
              </w:rPr>
              <w:t>Weighted</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7"/>
        </w:trPr>
        <w:tc>
          <w:tcPr>
            <w:tcW w:w="6000" w:type="dxa"/>
            <w:vAlign w:val="bottom"/>
          </w:tcPr>
          <w:p>
            <w:pPr>
              <w:spacing w:after="0"/>
              <w:rPr>
                <w:sz w:val="11"/>
                <w:szCs w:val="11"/>
                <w:color w:val="auto"/>
              </w:rPr>
            </w:pP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3"/>
              </w:rPr>
              <w:t>Number of</w:t>
            </w:r>
          </w:p>
        </w:tc>
        <w:tc>
          <w:tcPr>
            <w:tcW w:w="1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4"/>
              </w:rPr>
              <w:t>Remaining</w:t>
            </w:r>
          </w:p>
        </w:tc>
        <w:tc>
          <w:tcPr>
            <w:tcW w:w="0" w:type="dxa"/>
            <w:vAlign w:val="bottom"/>
          </w:tcPr>
          <w:p>
            <w:pPr>
              <w:spacing w:after="0"/>
              <w:rPr>
                <w:sz w:val="1"/>
                <w:szCs w:val="1"/>
                <w:color w:val="auto"/>
              </w:rPr>
            </w:pPr>
          </w:p>
        </w:tc>
      </w:tr>
      <w:tr>
        <w:trPr>
          <w:trHeight w:val="127"/>
        </w:trPr>
        <w:tc>
          <w:tcPr>
            <w:tcW w:w="6000" w:type="dxa"/>
            <w:vAlign w:val="bottom"/>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355"/>
              <w:spacing w:after="0" w:line="127" w:lineRule="exact"/>
              <w:rPr>
                <w:sz w:val="20"/>
                <w:szCs w:val="20"/>
                <w:color w:val="auto"/>
              </w:rPr>
            </w:pPr>
            <w:r>
              <w:rPr>
                <w:rFonts w:ascii="Arial" w:cs="Arial" w:eastAsia="Arial" w:hAnsi="Arial"/>
                <w:sz w:val="12"/>
                <w:szCs w:val="12"/>
                <w:b w:val="1"/>
                <w:bCs w:val="1"/>
                <w:color w:val="auto"/>
                <w:w w:val="88"/>
              </w:rPr>
              <w:t>Average</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5"/>
              </w:rPr>
              <w:t>Contractual</w:t>
            </w:r>
          </w:p>
        </w:tc>
        <w:tc>
          <w:tcPr>
            <w:tcW w:w="0" w:type="dxa"/>
            <w:vAlign w:val="bottom"/>
          </w:tcPr>
          <w:p>
            <w:pPr>
              <w:spacing w:after="0"/>
              <w:rPr>
                <w:sz w:val="1"/>
                <w:szCs w:val="1"/>
                <w:color w:val="auto"/>
              </w:rPr>
            </w:pPr>
          </w:p>
        </w:tc>
      </w:tr>
      <w:tr>
        <w:trPr>
          <w:trHeight w:val="147"/>
        </w:trPr>
        <w:tc>
          <w:tcPr>
            <w:tcW w:w="60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center"/>
              <w:ind w:left="559"/>
              <w:spacing w:after="0"/>
              <w:rPr>
                <w:sz w:val="20"/>
                <w:szCs w:val="20"/>
                <w:color w:val="auto"/>
              </w:rPr>
            </w:pPr>
            <w:r>
              <w:rPr>
                <w:rFonts w:ascii="Arial" w:cs="Arial" w:eastAsia="Arial" w:hAnsi="Arial"/>
                <w:sz w:val="12"/>
                <w:szCs w:val="12"/>
                <w:b w:val="1"/>
                <w:bCs w:val="1"/>
                <w:color w:val="auto"/>
                <w:w w:val="89"/>
              </w:rPr>
              <w:t>Shares</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center"/>
              <w:ind w:left="355"/>
              <w:spacing w:after="0"/>
              <w:rPr>
                <w:sz w:val="20"/>
                <w:szCs w:val="20"/>
                <w:color w:val="auto"/>
              </w:rPr>
            </w:pPr>
            <w:r>
              <w:rPr>
                <w:rFonts w:ascii="Arial" w:cs="Arial" w:eastAsia="Arial" w:hAnsi="Arial"/>
                <w:sz w:val="12"/>
                <w:szCs w:val="12"/>
                <w:b w:val="1"/>
                <w:bCs w:val="1"/>
                <w:color w:val="auto"/>
                <w:w w:val="90"/>
              </w:rPr>
              <w:t>Exercise Price</w:t>
            </w: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Life (in Years)</w:t>
            </w:r>
          </w:p>
        </w:tc>
        <w:tc>
          <w:tcPr>
            <w:tcW w:w="0" w:type="dxa"/>
            <w:vAlign w:val="bottom"/>
          </w:tcPr>
          <w:p>
            <w:pPr>
              <w:spacing w:after="0"/>
              <w:rPr>
                <w:sz w:val="1"/>
                <w:szCs w:val="1"/>
                <w:color w:val="auto"/>
              </w:rPr>
            </w:pPr>
          </w:p>
        </w:tc>
      </w:tr>
      <w:tr>
        <w:trPr>
          <w:trHeight w:val="153"/>
        </w:trPr>
        <w:tc>
          <w:tcPr>
            <w:tcW w:w="60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Warrants outstanding at December 31, 2019</w:t>
            </w:r>
          </w:p>
        </w:tc>
        <w:tc>
          <w:tcPr>
            <w:tcW w:w="9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w w:val="99"/>
              </w:rPr>
              <w:t>167,847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135"/>
              <w:spacing w:after="0" w:line="153"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4.36</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161"/>
        </w:trPr>
        <w:tc>
          <w:tcPr>
            <w:tcW w:w="6980" w:type="dxa"/>
            <w:vAlign w:val="bottom"/>
            <w:gridSpan w:val="2"/>
          </w:tcPr>
          <w:p>
            <w:pPr>
              <w:spacing w:after="0" w:line="161" w:lineRule="exact"/>
              <w:rPr>
                <w:sz w:val="20"/>
                <w:szCs w:val="20"/>
                <w:color w:val="auto"/>
              </w:rPr>
            </w:pPr>
            <w:r>
              <w:rPr>
                <w:rFonts w:ascii="Arial" w:cs="Arial" w:eastAsia="Arial" w:hAnsi="Arial"/>
                <w:sz w:val="15"/>
                <w:szCs w:val="15"/>
                <w:color w:val="auto"/>
              </w:rPr>
              <w:t>Issued</w:t>
            </w:r>
          </w:p>
        </w:tc>
        <w:tc>
          <w:tcPr>
            <w:tcW w:w="620" w:type="dxa"/>
            <w:vAlign w:val="bottom"/>
          </w:tcPr>
          <w:p>
            <w:pPr>
              <w:jc w:val="right"/>
              <w:spacing w:after="0" w:line="161" w:lineRule="exact"/>
              <w:rPr>
                <w:sz w:val="20"/>
                <w:szCs w:val="20"/>
                <w:color w:val="auto"/>
              </w:rPr>
            </w:pPr>
            <w:r>
              <w:rPr>
                <w:rFonts w:ascii="Arial" w:cs="Arial" w:eastAsia="Arial" w:hAnsi="Arial"/>
                <w:sz w:val="15"/>
                <w:szCs w:val="15"/>
                <w:color w:val="auto"/>
                <w:w w:val="99"/>
              </w:rPr>
              <w:t>641,571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gridSpan w:val="2"/>
          </w:tcPr>
          <w:p>
            <w:pPr>
              <w:jc w:val="right"/>
              <w:ind w:right="200"/>
              <w:spacing w:after="0" w:line="161" w:lineRule="exact"/>
              <w:rPr>
                <w:sz w:val="20"/>
                <w:szCs w:val="20"/>
                <w:color w:val="auto"/>
              </w:rPr>
            </w:pPr>
            <w:r>
              <w:rPr>
                <w:rFonts w:ascii="Arial" w:cs="Arial" w:eastAsia="Arial" w:hAnsi="Arial"/>
                <w:sz w:val="15"/>
                <w:szCs w:val="15"/>
                <w:color w:val="auto"/>
              </w:rPr>
              <w:t>7.01</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8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Exercised</w:t>
            </w:r>
          </w:p>
        </w:tc>
        <w:tc>
          <w:tcPr>
            <w:tcW w:w="720" w:type="dxa"/>
            <w:vAlign w:val="bottom"/>
            <w:gridSpan w:val="2"/>
            <w:shd w:val="clear" w:color="auto" w:fill="CCEEFF"/>
          </w:tcPr>
          <w:p>
            <w:pPr>
              <w:jc w:val="right"/>
              <w:ind w:right="100"/>
              <w:spacing w:after="0" w:line="161" w:lineRule="exact"/>
              <w:rPr>
                <w:sz w:val="20"/>
                <w:szCs w:val="20"/>
                <w:color w:val="auto"/>
              </w:rPr>
            </w:pPr>
            <w:r>
              <w:rPr>
                <w:rFonts w:ascii="Arial" w:cs="Arial" w:eastAsia="Arial" w:hAnsi="Arial"/>
                <w:sz w:val="15"/>
                <w:szCs w:val="15"/>
                <w:color w:val="auto"/>
                <w:w w:val="93"/>
              </w:rPr>
              <w:t>(197,108)</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6.64</w:t>
            </w: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80" w:type="dxa"/>
            <w:vAlign w:val="bottom"/>
            <w:gridSpan w:val="2"/>
          </w:tcPr>
          <w:p>
            <w:pPr>
              <w:spacing w:after="0" w:line="161" w:lineRule="exact"/>
              <w:rPr>
                <w:sz w:val="20"/>
                <w:szCs w:val="20"/>
                <w:color w:val="auto"/>
              </w:rPr>
            </w:pPr>
            <w:r>
              <w:rPr>
                <w:rFonts w:ascii="Arial" w:cs="Arial" w:eastAsia="Arial" w:hAnsi="Arial"/>
                <w:sz w:val="15"/>
                <w:szCs w:val="15"/>
                <w:color w:val="auto"/>
              </w:rPr>
              <w:t>Expired</w:t>
            </w:r>
          </w:p>
        </w:tc>
        <w:tc>
          <w:tcPr>
            <w:tcW w:w="720" w:type="dxa"/>
            <w:vAlign w:val="bottom"/>
            <w:gridSpan w:val="2"/>
          </w:tcPr>
          <w:p>
            <w:pPr>
              <w:jc w:val="right"/>
              <w:ind w:right="160"/>
              <w:spacing w:after="0" w:line="16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gridSpan w:val="2"/>
          </w:tcPr>
          <w:p>
            <w:pPr>
              <w:jc w:val="right"/>
              <w:ind w:right="200"/>
              <w:spacing w:after="0" w:line="161" w:lineRule="exact"/>
              <w:rPr>
                <w:sz w:val="20"/>
                <w:szCs w:val="20"/>
                <w:color w:val="auto"/>
              </w:rPr>
            </w:pPr>
            <w:r>
              <w:rPr>
                <w:rFonts w:ascii="Arial" w:cs="Arial" w:eastAsia="Arial" w:hAnsi="Arial"/>
                <w:sz w:val="15"/>
                <w:szCs w:val="15"/>
                <w:color w:val="auto"/>
              </w:rPr>
              <w:t>—</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000" w:type="dxa"/>
            <w:vAlign w:val="bottom"/>
            <w:tcBorders>
              <w:top w:val="single" w:sz="8" w:color="CCEEFF"/>
              <w:bottom w:val="single" w:sz="8" w:color="CCEEFF"/>
            </w:tcBorders>
            <w:shd w:val="clear" w:color="auto" w:fill="CCEEFF"/>
          </w:tcPr>
          <w:p>
            <w:pPr>
              <w:spacing w:after="0" w:line="153" w:lineRule="exact"/>
              <w:rPr>
                <w:sz w:val="20"/>
                <w:szCs w:val="20"/>
                <w:color w:val="auto"/>
              </w:rPr>
            </w:pPr>
            <w:r>
              <w:rPr>
                <w:rFonts w:ascii="Arial" w:cs="Arial" w:eastAsia="Arial" w:hAnsi="Arial"/>
                <w:sz w:val="15"/>
                <w:szCs w:val="15"/>
                <w:color w:val="auto"/>
              </w:rPr>
              <w:t>Warrants outstanding and exercisable at December 31, 2020</w:t>
            </w:r>
          </w:p>
        </w:tc>
        <w:tc>
          <w:tcPr>
            <w:tcW w:w="98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w w:val="99"/>
              </w:rPr>
              <w:t>612,310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CCEEFF"/>
              <w:bottom w:val="single" w:sz="8" w:color="CCEEFF"/>
            </w:tcBorders>
            <w:gridSpan w:val="2"/>
            <w:shd w:val="clear" w:color="auto" w:fill="CCEEFF"/>
          </w:tcPr>
          <w:p>
            <w:pPr>
              <w:jc w:val="right"/>
              <w:ind w:right="1135"/>
              <w:spacing w:after="0" w:line="153" w:lineRule="exact"/>
              <w:rPr>
                <w:sz w:val="20"/>
                <w:szCs w:val="20"/>
                <w:color w:val="auto"/>
              </w:rPr>
            </w:pPr>
            <w:r>
              <w:rPr>
                <w:rFonts w:ascii="Arial" w:cs="Arial" w:eastAsia="Arial" w:hAnsi="Arial"/>
                <w:sz w:val="15"/>
                <w:szCs w:val="15"/>
                <w:color w:val="auto"/>
              </w:rPr>
              <w:t>$</w:t>
            </w:r>
          </w:p>
        </w:tc>
        <w:tc>
          <w:tcPr>
            <w:tcW w:w="400" w:type="dxa"/>
            <w:vAlign w:val="bottom"/>
            <w:tcBorders>
              <w:top w:val="single" w:sz="8" w:color="CCEEFF"/>
              <w:bottom w:val="single" w:sz="8" w:color="CCEEFF"/>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6.40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580" w:type="dxa"/>
            <w:vAlign w:val="bottom"/>
            <w:tcBorders>
              <w:top w:val="single" w:sz="8" w:color="CCEEFF"/>
              <w:bottom w:val="single" w:sz="8" w:color="CCEEFF"/>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5540"/>
              <w:spacing w:after="0"/>
              <w:rPr>
                <w:sz w:val="20"/>
                <w:szCs w:val="20"/>
                <w:color w:val="auto"/>
              </w:rPr>
            </w:pPr>
            <w:r>
              <w:rPr>
                <w:rFonts w:ascii="Arial" w:cs="Arial" w:eastAsia="Arial" w:hAnsi="Arial"/>
                <w:sz w:val="15"/>
                <w:szCs w:val="15"/>
                <w:color w:val="auto"/>
              </w:rPr>
              <w:t>70</w:t>
            </w: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60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000" w:type="dxa"/>
            <w:vAlign w:val="bottom"/>
            <w:tcBorders>
              <w:bottom w:val="single" w:sz="8" w:color="9A9A9A"/>
            </w:tcBorders>
          </w:tcPr>
          <w:p>
            <w:pPr>
              <w:spacing w:after="0"/>
              <w:rPr>
                <w:sz w:val="23"/>
                <w:szCs w:val="23"/>
                <w:color w:val="auto"/>
              </w:rPr>
            </w:pPr>
          </w:p>
        </w:tc>
        <w:tc>
          <w:tcPr>
            <w:tcW w:w="980" w:type="dxa"/>
            <w:vAlign w:val="bottom"/>
            <w:tcBorders>
              <w:bottom w:val="single" w:sz="8" w:color="9A9A9A"/>
            </w:tcBorders>
          </w:tcPr>
          <w:p>
            <w:pPr>
              <w:spacing w:after="0"/>
              <w:rPr>
                <w:sz w:val="23"/>
                <w:szCs w:val="23"/>
                <w:color w:val="auto"/>
              </w:rPr>
            </w:pPr>
          </w:p>
        </w:tc>
        <w:tc>
          <w:tcPr>
            <w:tcW w:w="6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58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-6985</wp:posOffset>
            </wp:positionV>
            <wp:extent cx="762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-13970</wp:posOffset>
            </wp:positionV>
            <wp:extent cx="7620"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70" w:name="page71"/>
    <w:bookmarkEnd w:id="70"/>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ind w:left="360"/>
        <w:spacing w:after="0"/>
        <w:rPr>
          <w:sz w:val="20"/>
          <w:szCs w:val="20"/>
          <w:color w:val="auto"/>
        </w:rPr>
      </w:pPr>
      <w:r>
        <w:rPr>
          <w:rFonts w:ascii="Arial" w:cs="Arial" w:eastAsia="Arial" w:hAnsi="Arial"/>
          <w:sz w:val="13"/>
          <w:szCs w:val="13"/>
          <w:color w:val="auto"/>
        </w:rPr>
        <w:t>During the year ended December 31, 2020, IPO Warrants to purchase 36,224 shares of common stock were net exercised, resulting in the issuance of 26,063 shares of common</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stock.</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intrinsic value of exercisable in-the-money stock warrants was approximately $10.7 million as of December 31, 2020.</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Plans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2017 Equity Incentive Plan and 2017 Inducement Equity Incentive Plan</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Board previously adopted, and the Company’s stockholders approved, the Company’s 2017 Equity Incentive Plan (the 2017 Plan).</w:t>
      </w:r>
    </w:p>
    <w:p>
      <w:pPr>
        <w:spacing w:after="0" w:line="150" w:lineRule="exact"/>
        <w:rPr>
          <w:sz w:val="20"/>
          <w:szCs w:val="20"/>
          <w:color w:val="auto"/>
        </w:rPr>
      </w:pPr>
    </w:p>
    <w:p>
      <w:pPr>
        <w:jc w:val="both"/>
        <w:ind w:firstLine="553"/>
        <w:spacing w:after="0"/>
        <w:rPr>
          <w:sz w:val="20"/>
          <w:szCs w:val="20"/>
          <w:color w:val="auto"/>
        </w:rPr>
      </w:pPr>
      <w:r>
        <w:rPr>
          <w:rFonts w:ascii="Arial" w:cs="Arial" w:eastAsia="Arial" w:hAnsi="Arial"/>
          <w:sz w:val="15"/>
          <w:szCs w:val="15"/>
          <w:color w:val="auto"/>
        </w:rPr>
        <w:t>The 2017 Plan has a 10-year term, and provides for the grant of stock options, stock appreciation rights, restricted stock, RSUs, performance units, and performance shares to employees, directors and consultants of the Company and any parent or subsidiary of the Company, as the Compensation Committee of the Board may determine. The 2017 Plan is administered by the Board’s Compensation Committee.</w:t>
      </w:r>
    </w:p>
    <w:p>
      <w:pPr>
        <w:spacing w:after="0" w:line="128" w:lineRule="exact"/>
        <w:rPr>
          <w:sz w:val="20"/>
          <w:szCs w:val="20"/>
          <w:color w:val="auto"/>
        </w:rPr>
      </w:pPr>
    </w:p>
    <w:p>
      <w:pPr>
        <w:jc w:val="both"/>
        <w:ind w:firstLine="553"/>
        <w:spacing w:after="0" w:line="236" w:lineRule="auto"/>
        <w:rPr>
          <w:sz w:val="20"/>
          <w:szCs w:val="20"/>
          <w:color w:val="auto"/>
        </w:rPr>
      </w:pPr>
      <w:r>
        <w:rPr>
          <w:rFonts w:ascii="Arial" w:cs="Arial" w:eastAsia="Arial" w:hAnsi="Arial"/>
          <w:sz w:val="15"/>
          <w:szCs w:val="15"/>
          <w:color w:val="auto"/>
        </w:rPr>
        <w:t>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(2015 Plan), and shares reserved but not issued pursuant to outstanding equity awards that expire or terminate without being exercised or that are forfeited or repurchased by the Company will be added to the shares of common stock available for issuance under the 2017 Plan.</w:t>
      </w:r>
    </w:p>
    <w:p>
      <w:pPr>
        <w:spacing w:after="0" w:line="129" w:lineRule="exact"/>
        <w:rPr>
          <w:sz w:val="20"/>
          <w:szCs w:val="20"/>
          <w:color w:val="auto"/>
        </w:rPr>
      </w:pPr>
    </w:p>
    <w:p>
      <w:pPr>
        <w:jc w:val="both"/>
        <w:ind w:firstLine="553"/>
        <w:spacing w:after="0" w:line="236" w:lineRule="auto"/>
        <w:rPr>
          <w:sz w:val="20"/>
          <w:szCs w:val="20"/>
          <w:color w:val="auto"/>
        </w:rPr>
      </w:pPr>
      <w:r>
        <w:rPr>
          <w:rFonts w:ascii="Arial" w:cs="Arial" w:eastAsia="Arial" w:hAnsi="Arial"/>
          <w:sz w:val="15"/>
          <w:szCs w:val="15"/>
          <w:color w:val="auto"/>
        </w:rPr>
        <w:t>Effective January 1, 2020 and 2019, the number of shares of common stock available under the 2017 Plan increased by 833,018 and 823,716 shares, respectively, pursuant to the evergreen provision of the 2017 Plan. Under the evergreen provision of the 2017 Plan, the share increase is determined based on the least of (i) 1,200,000 shares, (ii) 4% of the Company’s common stock outstanding at December 31 of the immediately preceding year, or (iii) such number of shares as determined by the Board. As of December 31, 2020, 465,899 shares of common stock remained available for issuance under the 2017 Plan.</w:t>
      </w:r>
    </w:p>
    <w:p>
      <w:pPr>
        <w:spacing w:after="0" w:line="129" w:lineRule="exact"/>
        <w:rPr>
          <w:sz w:val="20"/>
          <w:szCs w:val="20"/>
          <w:color w:val="auto"/>
        </w:rPr>
      </w:pPr>
    </w:p>
    <w:p>
      <w:pPr>
        <w:jc w:val="both"/>
        <w:ind w:right="20" w:firstLine="553"/>
        <w:spacing w:after="0" w:line="255" w:lineRule="auto"/>
        <w:rPr>
          <w:sz w:val="20"/>
          <w:szCs w:val="20"/>
          <w:color w:val="auto"/>
        </w:rPr>
      </w:pPr>
      <w:r>
        <w:rPr>
          <w:rFonts w:ascii="Arial" w:cs="Arial" w:eastAsia="Arial" w:hAnsi="Arial"/>
          <w:sz w:val="15"/>
          <w:szCs w:val="15"/>
          <w:color w:val="auto"/>
        </w:rPr>
        <w:t>During November 2017, the Board of the Company adopted the 2017 Inducement Equity Incentive Plan (Inducement Plan) and reserved 1,000,000 shares of the Company’s common stock for issuance pursuant to equity awards granted under the Inducement Plan. The Inducement Plan was adopted without stockholder approval.</w:t>
      </w:r>
    </w:p>
    <w:p>
      <w:pPr>
        <w:spacing w:after="0" w:line="118" w:lineRule="exact"/>
        <w:rPr>
          <w:sz w:val="20"/>
          <w:szCs w:val="20"/>
          <w:color w:val="auto"/>
        </w:rPr>
      </w:pPr>
    </w:p>
    <w:p>
      <w:pPr>
        <w:jc w:val="both"/>
        <w:ind w:firstLine="553"/>
        <w:spacing w:after="0" w:line="232" w:lineRule="auto"/>
        <w:rPr>
          <w:sz w:val="20"/>
          <w:szCs w:val="20"/>
          <w:color w:val="auto"/>
        </w:rPr>
      </w:pPr>
      <w:r>
        <w:rPr>
          <w:rFonts w:ascii="Arial" w:cs="Arial" w:eastAsia="Arial" w:hAnsi="Arial"/>
          <w:sz w:val="15"/>
          <w:szCs w:val="15"/>
          <w:color w:val="auto"/>
        </w:rPr>
        <w:t>The Inducement Plan has a 10-year term and provides for the grant of equity-based awards, including non-statutory stock options, RSUs,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annually over four years. Equity-based awards issued under the Inducement Plan are only issuable to individuals not previously engaged as employees or non-employee directors of the Company prior to the Inducement Plan’s adoption date. As of December 31, 2020, 11,158 shares of common stock were available for issuance under the Inducement Plan.</w:t>
      </w:r>
    </w:p>
    <w:p>
      <w:pPr>
        <w:spacing w:after="0" w:line="129" w:lineRule="exact"/>
        <w:rPr>
          <w:sz w:val="20"/>
          <w:szCs w:val="20"/>
          <w:color w:val="auto"/>
        </w:rPr>
      </w:pPr>
    </w:p>
    <w:p>
      <w:pPr>
        <w:jc w:val="both"/>
        <w:ind w:right="20" w:firstLine="376"/>
        <w:spacing w:after="0"/>
        <w:rPr>
          <w:sz w:val="20"/>
          <w:szCs w:val="20"/>
          <w:color w:val="auto"/>
        </w:rPr>
      </w:pPr>
      <w:r>
        <w:rPr>
          <w:rFonts w:ascii="Arial" w:cs="Arial" w:eastAsia="Arial" w:hAnsi="Arial"/>
          <w:sz w:val="15"/>
          <w:szCs w:val="15"/>
          <w:color w:val="auto"/>
        </w:rPr>
        <w:t>Certain stock options awarded to the Company’s executives and other key employees contain performance conditions related to certain financial measures and achievements of strategic/operational milestones (performance options). As of December 31, 2020, not all of the performance conditions are probable to be achieved. Compensation expense has only been recognized for those conditions that are assumed to be probable.</w:t>
      </w:r>
    </w:p>
    <w:p>
      <w:pPr>
        <w:spacing w:after="0" w:line="290"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2017 Employee Stock Purchase Plan</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Board previously adopted and the stockholders approved the Company’s 2017 Employee Stock Purchase Plan (the 2017 ESPP).</w:t>
      </w:r>
    </w:p>
    <w:p>
      <w:pPr>
        <w:spacing w:after="0" w:line="150" w:lineRule="exact"/>
        <w:rPr>
          <w:sz w:val="20"/>
          <w:szCs w:val="20"/>
          <w:color w:val="auto"/>
        </w:rPr>
      </w:pPr>
    </w:p>
    <w:p>
      <w:pPr>
        <w:jc w:val="both"/>
        <w:ind w:right="20" w:firstLine="553"/>
        <w:spacing w:after="0"/>
        <w:rPr>
          <w:sz w:val="20"/>
          <w:szCs w:val="20"/>
          <w:color w:val="auto"/>
        </w:rPr>
      </w:pPr>
      <w:r>
        <w:rPr>
          <w:rFonts w:ascii="Arial" w:cs="Arial" w:eastAsia="Arial" w:hAnsi="Arial"/>
          <w:sz w:val="15"/>
          <w:szCs w:val="15"/>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At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71" w:name="page72"/>
    <w:bookmarkEnd w:id="71"/>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spacing w:after="0" w:line="233" w:lineRule="auto"/>
        <w:rPr>
          <w:sz w:val="20"/>
          <w:szCs w:val="20"/>
          <w:color w:val="auto"/>
        </w:rPr>
      </w:pPr>
      <w:r>
        <w:rPr>
          <w:rFonts w:ascii="Arial" w:cs="Arial" w:eastAsia="Arial" w:hAnsi="Arial"/>
          <w:sz w:val="15"/>
          <w:szCs w:val="15"/>
          <w:color w:val="auto"/>
        </w:rPr>
        <w:t>meetings in February 2020 and January 2019, the Board determined not to increase the number of shares of common stock available under the 2017 ESPP pursuant to the evergreen provision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During the year ended December 31, 2020 and 2019, the Company issued 82,971 and 38,279 shares of common stock under the 2017 ESPP, respectively. As of December 31, 2020, 357,224 shares of common stock remained available for issuance under the 2017 ESPP.</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A summary of stock option activity under the 2015 Plan, 2017 Plan and Inducement Plan for the year ended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2020 is presented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jc w:val="center"/>
              <w:ind w:left="432"/>
              <w:spacing w:after="0"/>
              <w:rPr>
                <w:sz w:val="20"/>
                <w:szCs w:val="20"/>
                <w:color w:val="auto"/>
              </w:rPr>
            </w:pPr>
            <w:r>
              <w:rPr>
                <w:rFonts w:ascii="Arial" w:cs="Arial" w:eastAsia="Arial" w:hAnsi="Arial"/>
                <w:sz w:val="12"/>
                <w:szCs w:val="12"/>
                <w:b w:val="1"/>
                <w:bCs w:val="1"/>
                <w:color w:val="auto"/>
                <w:w w:val="92"/>
              </w:rPr>
              <w:t>Weighted</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92"/>
              </w:rPr>
              <w:t>Weighted</w:t>
            </w:r>
          </w:p>
        </w:tc>
        <w:tc>
          <w:tcPr>
            <w:tcW w:w="0" w:type="dxa"/>
            <w:vAlign w:val="bottom"/>
          </w:tcPr>
          <w:p>
            <w:pPr>
              <w:spacing w:after="0"/>
              <w:rPr>
                <w:sz w:val="1"/>
                <w:szCs w:val="1"/>
                <w:color w:val="auto"/>
              </w:rPr>
            </w:pPr>
          </w:p>
        </w:tc>
      </w:tr>
      <w:tr>
        <w:trPr>
          <w:trHeight w:val="127"/>
        </w:trPr>
        <w:tc>
          <w:tcPr>
            <w:tcW w:w="6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7"/>
        </w:trPr>
        <w:tc>
          <w:tcPr>
            <w:tcW w:w="6100" w:type="dxa"/>
            <w:vAlign w:val="bottom"/>
          </w:tcPr>
          <w:p>
            <w:pPr>
              <w:spacing w:after="0"/>
              <w:rPr>
                <w:sz w:val="11"/>
                <w:szCs w:val="11"/>
                <w:color w:val="auto"/>
              </w:rPr>
            </w:pPr>
          </w:p>
        </w:tc>
        <w:tc>
          <w:tcPr>
            <w:tcW w:w="1560" w:type="dxa"/>
            <w:vAlign w:val="bottom"/>
            <w:vMerge w:val="restart"/>
          </w:tcPr>
          <w:p>
            <w:pPr>
              <w:jc w:val="right"/>
              <w:ind w:right="427"/>
              <w:spacing w:after="0"/>
              <w:rPr>
                <w:sz w:val="20"/>
                <w:szCs w:val="20"/>
                <w:color w:val="auto"/>
              </w:rPr>
            </w:pPr>
            <w:r>
              <w:rPr>
                <w:rFonts w:ascii="Arial" w:cs="Arial" w:eastAsia="Arial" w:hAnsi="Arial"/>
                <w:sz w:val="12"/>
                <w:szCs w:val="12"/>
                <w:b w:val="1"/>
                <w:bCs w:val="1"/>
                <w:color w:val="auto"/>
              </w:rPr>
              <w:t>Number of</w:t>
            </w:r>
          </w:p>
        </w:tc>
        <w:tc>
          <w:tcPr>
            <w:tcW w:w="180" w:type="dxa"/>
            <w:vAlign w:val="bottom"/>
          </w:tcPr>
          <w:p>
            <w:pPr>
              <w:spacing w:after="0"/>
              <w:rPr>
                <w:sz w:val="11"/>
                <w:szCs w:val="11"/>
                <w:color w:val="auto"/>
              </w:rPr>
            </w:pPr>
          </w:p>
        </w:tc>
        <w:tc>
          <w:tcPr>
            <w:tcW w:w="1160" w:type="dxa"/>
            <w:vAlign w:val="bottom"/>
          </w:tcPr>
          <w:p>
            <w:pPr>
              <w:jc w:val="center"/>
              <w:ind w:left="432"/>
              <w:spacing w:after="0" w:line="127" w:lineRule="exact"/>
              <w:rPr>
                <w:sz w:val="20"/>
                <w:szCs w:val="20"/>
                <w:color w:val="auto"/>
              </w:rPr>
            </w:pPr>
            <w:r>
              <w:rPr>
                <w:rFonts w:ascii="Arial" w:cs="Arial" w:eastAsia="Arial" w:hAnsi="Arial"/>
                <w:sz w:val="12"/>
                <w:szCs w:val="12"/>
                <w:b w:val="1"/>
                <w:bCs w:val="1"/>
                <w:color w:val="auto"/>
                <w:w w:val="88"/>
              </w:rPr>
              <w:t>Average</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4"/>
              </w:rPr>
              <w:t>Remaining</w:t>
            </w:r>
          </w:p>
        </w:tc>
        <w:tc>
          <w:tcPr>
            <w:tcW w:w="0" w:type="dxa"/>
            <w:vAlign w:val="bottom"/>
          </w:tcPr>
          <w:p>
            <w:pPr>
              <w:spacing w:after="0"/>
              <w:rPr>
                <w:sz w:val="1"/>
                <w:szCs w:val="1"/>
                <w:color w:val="auto"/>
              </w:rPr>
            </w:pPr>
          </w:p>
        </w:tc>
      </w:tr>
      <w:tr>
        <w:trPr>
          <w:trHeight w:val="127"/>
        </w:trPr>
        <w:tc>
          <w:tcPr>
            <w:tcW w:w="61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ind w:left="412"/>
              <w:spacing w:after="0" w:line="127" w:lineRule="exact"/>
              <w:rPr>
                <w:sz w:val="20"/>
                <w:szCs w:val="20"/>
                <w:color w:val="auto"/>
              </w:rPr>
            </w:pPr>
            <w:r>
              <w:rPr>
                <w:rFonts w:ascii="Arial" w:cs="Arial" w:eastAsia="Arial" w:hAnsi="Arial"/>
                <w:sz w:val="12"/>
                <w:szCs w:val="12"/>
                <w:b w:val="1"/>
                <w:bCs w:val="1"/>
                <w:color w:val="auto"/>
                <w:w w:val="89"/>
              </w:rPr>
              <w:t>Exercise</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5"/>
              </w:rPr>
              <w:t>Contractual</w:t>
            </w:r>
          </w:p>
        </w:tc>
        <w:tc>
          <w:tcPr>
            <w:tcW w:w="0" w:type="dxa"/>
            <w:vAlign w:val="bottom"/>
          </w:tcPr>
          <w:p>
            <w:pPr>
              <w:spacing w:after="0"/>
              <w:rPr>
                <w:sz w:val="1"/>
                <w:szCs w:val="1"/>
                <w:color w:val="auto"/>
              </w:rPr>
            </w:pPr>
          </w:p>
        </w:tc>
      </w:tr>
      <w:tr>
        <w:trPr>
          <w:trHeight w:val="147"/>
        </w:trPr>
        <w:tc>
          <w:tcPr>
            <w:tcW w:w="610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right"/>
              <w:ind w:right="527"/>
              <w:spacing w:after="0"/>
              <w:rPr>
                <w:sz w:val="20"/>
                <w:szCs w:val="20"/>
                <w:color w:val="auto"/>
              </w:rPr>
            </w:pPr>
            <w:r>
              <w:rPr>
                <w:rFonts w:ascii="Arial" w:cs="Arial" w:eastAsia="Arial" w:hAnsi="Arial"/>
                <w:sz w:val="12"/>
                <w:szCs w:val="12"/>
                <w:b w:val="1"/>
                <w:bCs w:val="1"/>
                <w:color w:val="auto"/>
              </w:rPr>
              <w:t>Shares</w:t>
            </w:r>
          </w:p>
        </w:tc>
        <w:tc>
          <w:tcPr>
            <w:tcW w:w="1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center"/>
              <w:ind w:left="432"/>
              <w:spacing w:after="0"/>
              <w:rPr>
                <w:sz w:val="20"/>
                <w:szCs w:val="20"/>
                <w:color w:val="auto"/>
              </w:rPr>
            </w:pPr>
            <w:r>
              <w:rPr>
                <w:rFonts w:ascii="Arial" w:cs="Arial" w:eastAsia="Arial" w:hAnsi="Arial"/>
                <w:sz w:val="12"/>
                <w:szCs w:val="12"/>
                <w:b w:val="1"/>
                <w:bCs w:val="1"/>
                <w:color w:val="auto"/>
                <w:w w:val="88"/>
              </w:rPr>
              <w:t>Price</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Life (in Years)</w:t>
            </w:r>
          </w:p>
        </w:tc>
        <w:tc>
          <w:tcPr>
            <w:tcW w:w="0" w:type="dxa"/>
            <w:vAlign w:val="bottom"/>
          </w:tcPr>
          <w:p>
            <w:pPr>
              <w:spacing w:after="0"/>
              <w:rPr>
                <w:sz w:val="1"/>
                <w:szCs w:val="1"/>
                <w:color w:val="auto"/>
              </w:rPr>
            </w:pPr>
          </w:p>
        </w:tc>
      </w:tr>
      <w:tr>
        <w:trPr>
          <w:trHeight w:val="153"/>
        </w:trPr>
        <w:tc>
          <w:tcPr>
            <w:tcW w:w="61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Balances - December 31, 2019</w:t>
            </w:r>
          </w:p>
        </w:tc>
        <w:tc>
          <w:tcPr>
            <w:tcW w:w="156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3,749,186</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12"/>
              <w:spacing w:after="0" w:line="153" w:lineRule="exact"/>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16.18</w:t>
            </w:r>
          </w:p>
        </w:tc>
        <w:tc>
          <w:tcPr>
            <w:tcW w:w="18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7.90</w:t>
            </w:r>
          </w:p>
        </w:tc>
        <w:tc>
          <w:tcPr>
            <w:tcW w:w="0" w:type="dxa"/>
            <w:vAlign w:val="bottom"/>
          </w:tcPr>
          <w:p>
            <w:pPr>
              <w:spacing w:after="0"/>
              <w:rPr>
                <w:sz w:val="1"/>
                <w:szCs w:val="1"/>
                <w:color w:val="auto"/>
              </w:rPr>
            </w:pPr>
          </w:p>
        </w:tc>
      </w:tr>
      <w:tr>
        <w:trPr>
          <w:trHeight w:val="161"/>
        </w:trPr>
        <w:tc>
          <w:tcPr>
            <w:tcW w:w="6100" w:type="dxa"/>
            <w:vAlign w:val="bottom"/>
          </w:tcPr>
          <w:p>
            <w:pPr>
              <w:spacing w:after="0" w:line="161" w:lineRule="exact"/>
              <w:rPr>
                <w:sz w:val="20"/>
                <w:szCs w:val="20"/>
                <w:color w:val="auto"/>
              </w:rPr>
            </w:pPr>
            <w:r>
              <w:rPr>
                <w:rFonts w:ascii="Arial" w:cs="Arial" w:eastAsia="Arial" w:hAnsi="Arial"/>
                <w:sz w:val="15"/>
                <w:szCs w:val="15"/>
                <w:color w:val="auto"/>
              </w:rPr>
              <w:t>Options granted</w:t>
            </w:r>
          </w:p>
        </w:tc>
        <w:tc>
          <w:tcPr>
            <w:tcW w:w="1560" w:type="dxa"/>
            <w:vAlign w:val="bottom"/>
          </w:tcPr>
          <w:p>
            <w:pPr>
              <w:jc w:val="right"/>
              <w:spacing w:after="0" w:line="161" w:lineRule="exact"/>
              <w:rPr>
                <w:sz w:val="20"/>
                <w:szCs w:val="20"/>
                <w:color w:val="auto"/>
              </w:rPr>
            </w:pPr>
            <w:r>
              <w:rPr>
                <w:rFonts w:ascii="Arial" w:cs="Arial" w:eastAsia="Arial" w:hAnsi="Arial"/>
                <w:sz w:val="15"/>
                <w:szCs w:val="15"/>
                <w:color w:val="auto"/>
              </w:rPr>
              <w:t>1,973,810</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5"/>
                <w:szCs w:val="15"/>
                <w:color w:val="auto"/>
              </w:rPr>
              <w:t>10.19</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Options exercised</w:t>
            </w:r>
          </w:p>
        </w:tc>
        <w:tc>
          <w:tcPr>
            <w:tcW w:w="15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(175,066)</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5.07</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00" w:type="dxa"/>
            <w:vAlign w:val="bottom"/>
          </w:tcPr>
          <w:p>
            <w:pPr>
              <w:spacing w:after="0" w:line="161" w:lineRule="exact"/>
              <w:rPr>
                <w:sz w:val="20"/>
                <w:szCs w:val="20"/>
                <w:color w:val="auto"/>
              </w:rPr>
            </w:pPr>
            <w:r>
              <w:rPr>
                <w:rFonts w:ascii="Arial" w:cs="Arial" w:eastAsia="Arial" w:hAnsi="Arial"/>
                <w:sz w:val="15"/>
                <w:szCs w:val="15"/>
                <w:color w:val="auto"/>
              </w:rPr>
              <w:t>Options canceled</w:t>
            </w:r>
          </w:p>
        </w:tc>
        <w:tc>
          <w:tcPr>
            <w:tcW w:w="1560" w:type="dxa"/>
            <w:vAlign w:val="bottom"/>
          </w:tcPr>
          <w:p>
            <w:pPr>
              <w:jc w:val="right"/>
              <w:spacing w:after="0" w:line="161" w:lineRule="exact"/>
              <w:rPr>
                <w:sz w:val="20"/>
                <w:szCs w:val="20"/>
                <w:color w:val="auto"/>
              </w:rPr>
            </w:pPr>
            <w:r>
              <w:rPr>
                <w:rFonts w:ascii="Arial" w:cs="Arial" w:eastAsia="Arial" w:hAnsi="Arial"/>
                <w:sz w:val="15"/>
                <w:szCs w:val="15"/>
                <w:color w:val="auto"/>
              </w:rPr>
              <w:t>(351,234)</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5"/>
                <w:szCs w:val="15"/>
                <w:color w:val="auto"/>
              </w:rPr>
              <w:t>12.71</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Options expired</w:t>
            </w:r>
          </w:p>
        </w:tc>
        <w:tc>
          <w:tcPr>
            <w:tcW w:w="15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(157,502)</w:t>
            </w:r>
          </w:p>
        </w:tc>
        <w:tc>
          <w:tcPr>
            <w:tcW w:w="18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23.64</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100" w:type="dxa"/>
            <w:vAlign w:val="bottom"/>
            <w:tcBorders>
              <w:bottom w:val="single" w:sz="8" w:color="CCEEFF"/>
            </w:tcBorders>
          </w:tcPr>
          <w:p>
            <w:pPr>
              <w:spacing w:after="0" w:line="153" w:lineRule="exact"/>
              <w:rPr>
                <w:sz w:val="20"/>
                <w:szCs w:val="20"/>
                <w:color w:val="auto"/>
              </w:rPr>
            </w:pPr>
            <w:r>
              <w:rPr>
                <w:rFonts w:ascii="Arial" w:cs="Arial" w:eastAsia="Arial" w:hAnsi="Arial"/>
                <w:sz w:val="15"/>
                <w:szCs w:val="15"/>
                <w:color w:val="auto"/>
              </w:rPr>
              <w:t>Balances - December 31, 2020</w:t>
            </w:r>
          </w:p>
        </w:tc>
        <w:tc>
          <w:tcPr>
            <w:tcW w:w="15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5,039,194</w:t>
            </w:r>
          </w:p>
        </w:tc>
        <w:tc>
          <w:tcPr>
            <w:tcW w:w="1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012"/>
              <w:spacing w:after="0" w:line="153"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14.26</w:t>
            </w:r>
          </w:p>
        </w:tc>
        <w:tc>
          <w:tcPr>
            <w:tcW w:w="1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7.83</w:t>
            </w:r>
          </w:p>
        </w:tc>
        <w:tc>
          <w:tcPr>
            <w:tcW w:w="0" w:type="dxa"/>
            <w:vAlign w:val="bottom"/>
          </w:tcPr>
          <w:p>
            <w:pPr>
              <w:spacing w:after="0"/>
              <w:rPr>
                <w:sz w:val="1"/>
                <w:szCs w:val="1"/>
                <w:color w:val="auto"/>
              </w:rPr>
            </w:pPr>
          </w:p>
        </w:tc>
      </w:tr>
      <w:tr>
        <w:trPr>
          <w:trHeight w:val="136"/>
        </w:trPr>
        <w:tc>
          <w:tcPr>
            <w:tcW w:w="610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5"/>
                <w:szCs w:val="15"/>
                <w:color w:val="auto"/>
              </w:rPr>
              <w:t>Stock options exercisable at December 31, 2020</w:t>
            </w:r>
          </w:p>
        </w:tc>
        <w:tc>
          <w:tcPr>
            <w:tcW w:w="15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5"/>
                <w:szCs w:val="15"/>
                <w:color w:val="auto"/>
              </w:rPr>
              <w:t>2,552,230</w:t>
            </w:r>
          </w:p>
        </w:tc>
        <w:tc>
          <w:tcPr>
            <w:tcW w:w="18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1012"/>
              <w:spacing w:after="0" w:line="136"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5"/>
                <w:szCs w:val="15"/>
                <w:color w:val="auto"/>
              </w:rPr>
              <w:t>17.03</w:t>
            </w:r>
          </w:p>
        </w:tc>
        <w:tc>
          <w:tcPr>
            <w:tcW w:w="180" w:type="dxa"/>
            <w:vAlign w:val="bottom"/>
            <w:tcBorders>
              <w:bottom w:val="single" w:sz="8" w:color="CCEEFF"/>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5"/>
                <w:szCs w:val="15"/>
                <w:color w:val="auto"/>
              </w:rPr>
              <w:t>6.60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intrinsic value of stock options exercised during the year ended December 31, 2020, 2019 and 2018 was $1.6 million, $1.0 million, and $1.8 million, respectively.</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fair value of employee stock options was estimated using the Black-Scholes option-pricing model utilizing the following assumptions:</w:t>
      </w:r>
    </w:p>
    <w:p>
      <w:pPr>
        <w:spacing w:after="0" w:line="326" w:lineRule="exact"/>
        <w:rPr>
          <w:sz w:val="20"/>
          <w:szCs w:val="20"/>
          <w:color w:val="auto"/>
        </w:rPr>
      </w:pPr>
    </w:p>
    <w:p>
      <w:pPr>
        <w:ind w:left="7980"/>
        <w:spacing w:after="0"/>
        <w:rPr>
          <w:sz w:val="20"/>
          <w:szCs w:val="20"/>
          <w:color w:val="auto"/>
        </w:rPr>
      </w:pPr>
      <w:r>
        <w:rPr>
          <w:rFonts w:ascii="Arial" w:cs="Arial" w:eastAsia="Arial" w:hAnsi="Arial"/>
          <w:sz w:val="12"/>
          <w:szCs w:val="12"/>
          <w:b w:val="1"/>
          <w:bCs w:val="1"/>
          <w:color w:val="auto"/>
        </w:rPr>
        <w:t>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6080" w:type="dxa"/>
            <w:vAlign w:val="bottom"/>
            <w:tcBorders>
              <w:bottom w:val="single" w:sz="8" w:color="CCEEFF"/>
            </w:tcBorders>
          </w:tcPr>
          <w:p>
            <w:pPr>
              <w:spacing w:after="0"/>
              <w:rPr>
                <w:sz w:val="10"/>
                <w:szCs w:val="10"/>
                <w:color w:val="auto"/>
              </w:rPr>
            </w:pPr>
          </w:p>
        </w:tc>
        <w:tc>
          <w:tcPr>
            <w:tcW w:w="100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b w:val="1"/>
                <w:bCs w:val="1"/>
                <w:color w:val="auto"/>
              </w:rPr>
              <w:t>2020</w:t>
            </w:r>
          </w:p>
        </w:tc>
        <w:tc>
          <w:tcPr>
            <w:tcW w:w="68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1580" w:type="dxa"/>
            <w:vAlign w:val="bottom"/>
            <w:tcBorders>
              <w:top w:val="single" w:sz="8" w:color="auto"/>
              <w:bottom w:val="single" w:sz="8" w:color="auto"/>
            </w:tcBorders>
          </w:tcPr>
          <w:p>
            <w:pPr>
              <w:jc w:val="right"/>
              <w:ind w:right="586"/>
              <w:spacing w:after="0" w:line="118"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bottom w:val="single" w:sz="8" w:color="CCEEFF"/>
            </w:tcBorders>
          </w:tcPr>
          <w:p>
            <w:pPr>
              <w:spacing w:after="0"/>
              <w:rPr>
                <w:sz w:val="10"/>
                <w:szCs w:val="10"/>
                <w:color w:val="auto"/>
              </w:rPr>
            </w:pPr>
          </w:p>
        </w:tc>
        <w:tc>
          <w:tcPr>
            <w:tcW w:w="1700" w:type="dxa"/>
            <w:vAlign w:val="bottom"/>
            <w:tcBorders>
              <w:top w:val="single" w:sz="8" w:color="auto"/>
              <w:bottom w:val="single" w:sz="8" w:color="auto"/>
            </w:tcBorders>
          </w:tcPr>
          <w:p>
            <w:pPr>
              <w:jc w:val="right"/>
              <w:ind w:right="646"/>
              <w:spacing w:after="0" w:line="118" w:lineRule="exact"/>
              <w:rPr>
                <w:sz w:val="20"/>
                <w:szCs w:val="20"/>
                <w:color w:val="auto"/>
              </w:rPr>
            </w:pPr>
            <w:r>
              <w:rPr>
                <w:rFonts w:ascii="Arial" w:cs="Arial" w:eastAsia="Arial" w:hAnsi="Arial"/>
                <w:sz w:val="12"/>
                <w:szCs w:val="12"/>
                <w:b w:val="1"/>
                <w:bCs w:val="1"/>
                <w:color w:val="auto"/>
              </w:rPr>
              <w:t>2018</w:t>
            </w:r>
          </w:p>
        </w:tc>
      </w:tr>
      <w:tr>
        <w:trPr>
          <w:trHeight w:val="153"/>
        </w:trPr>
        <w:tc>
          <w:tcPr>
            <w:tcW w:w="60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Expected term in years</w:t>
            </w:r>
          </w:p>
        </w:tc>
        <w:tc>
          <w:tcPr>
            <w:tcW w:w="10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5.3 - 6.1</w:t>
            </w: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0.4 - 6.1</w:t>
            </w:r>
          </w:p>
        </w:tc>
        <w:tc>
          <w:tcPr>
            <w:tcW w:w="12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5.3 - 6.1</w:t>
            </w:r>
          </w:p>
        </w:tc>
      </w:tr>
      <w:tr>
        <w:trPr>
          <w:trHeight w:val="161"/>
        </w:trPr>
        <w:tc>
          <w:tcPr>
            <w:tcW w:w="7080" w:type="dxa"/>
            <w:vAlign w:val="bottom"/>
            <w:gridSpan w:val="2"/>
          </w:tcPr>
          <w:p>
            <w:pPr>
              <w:spacing w:after="0" w:line="161" w:lineRule="exact"/>
              <w:rPr>
                <w:sz w:val="20"/>
                <w:szCs w:val="20"/>
                <w:color w:val="auto"/>
              </w:rPr>
            </w:pPr>
            <w:r>
              <w:rPr>
                <w:rFonts w:ascii="Arial" w:cs="Arial" w:eastAsia="Arial" w:hAnsi="Arial"/>
                <w:sz w:val="15"/>
                <w:szCs w:val="15"/>
                <w:color w:val="auto"/>
              </w:rPr>
              <w:t>Expected volatility</w:t>
            </w:r>
          </w:p>
        </w:tc>
        <w:tc>
          <w:tcPr>
            <w:tcW w:w="780" w:type="dxa"/>
            <w:vAlign w:val="bottom"/>
            <w:gridSpan w:val="2"/>
          </w:tcPr>
          <w:p>
            <w:pPr>
              <w:jc w:val="right"/>
              <w:ind w:right="100"/>
              <w:spacing w:after="0" w:line="161" w:lineRule="exact"/>
              <w:rPr>
                <w:sz w:val="20"/>
                <w:szCs w:val="20"/>
                <w:color w:val="auto"/>
              </w:rPr>
            </w:pPr>
            <w:r>
              <w:rPr>
                <w:rFonts w:ascii="Arial" w:cs="Arial" w:eastAsia="Arial" w:hAnsi="Arial"/>
                <w:sz w:val="15"/>
                <w:szCs w:val="15"/>
                <w:color w:val="auto"/>
              </w:rPr>
              <w:t>70%</w:t>
            </w:r>
          </w:p>
        </w:tc>
        <w:tc>
          <w:tcPr>
            <w:tcW w:w="1700" w:type="dxa"/>
            <w:vAlign w:val="bottom"/>
            <w:gridSpan w:val="2"/>
          </w:tcPr>
          <w:p>
            <w:pPr>
              <w:jc w:val="right"/>
              <w:ind w:right="120"/>
              <w:spacing w:after="0" w:line="161" w:lineRule="exact"/>
              <w:rPr>
                <w:sz w:val="20"/>
                <w:szCs w:val="20"/>
                <w:color w:val="auto"/>
              </w:rPr>
            </w:pPr>
            <w:r>
              <w:rPr>
                <w:rFonts w:ascii="Arial" w:cs="Arial" w:eastAsia="Arial" w:hAnsi="Arial"/>
                <w:sz w:val="15"/>
                <w:szCs w:val="15"/>
                <w:color w:val="auto"/>
              </w:rPr>
              <w:t>70%</w:t>
            </w:r>
          </w:p>
        </w:tc>
        <w:tc>
          <w:tcPr>
            <w:tcW w:w="1700" w:type="dxa"/>
            <w:vAlign w:val="bottom"/>
          </w:tcPr>
          <w:p>
            <w:pPr>
              <w:jc w:val="right"/>
              <w:spacing w:after="0" w:line="161" w:lineRule="exact"/>
              <w:rPr>
                <w:sz w:val="20"/>
                <w:szCs w:val="20"/>
                <w:color w:val="auto"/>
              </w:rPr>
            </w:pPr>
            <w:r>
              <w:rPr>
                <w:rFonts w:ascii="Arial" w:cs="Arial" w:eastAsia="Arial" w:hAnsi="Arial"/>
                <w:sz w:val="15"/>
                <w:szCs w:val="15"/>
                <w:color w:val="auto"/>
              </w:rPr>
              <w:t>70%</w:t>
            </w:r>
          </w:p>
        </w:tc>
      </w:tr>
      <w:tr>
        <w:trPr>
          <w:trHeight w:val="161"/>
        </w:trPr>
        <w:tc>
          <w:tcPr>
            <w:tcW w:w="708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Risk-free interest rate</w:t>
            </w:r>
          </w:p>
        </w:tc>
        <w:tc>
          <w:tcPr>
            <w:tcW w:w="780" w:type="dxa"/>
            <w:vAlign w:val="bottom"/>
            <w:gridSpan w:val="2"/>
            <w:shd w:val="clear" w:color="auto" w:fill="CCEEFF"/>
          </w:tcPr>
          <w:p>
            <w:pPr>
              <w:jc w:val="right"/>
              <w:ind w:right="100"/>
              <w:spacing w:after="0" w:line="161" w:lineRule="exact"/>
              <w:rPr>
                <w:sz w:val="20"/>
                <w:szCs w:val="20"/>
                <w:color w:val="auto"/>
              </w:rPr>
            </w:pPr>
            <w:r>
              <w:rPr>
                <w:rFonts w:ascii="Arial" w:cs="Arial" w:eastAsia="Arial" w:hAnsi="Arial"/>
                <w:sz w:val="15"/>
                <w:szCs w:val="15"/>
                <w:color w:val="auto"/>
                <w:w w:val="96"/>
              </w:rPr>
              <w:t>0.3 - 0.5%</w:t>
            </w:r>
          </w:p>
        </w:tc>
        <w:tc>
          <w:tcPr>
            <w:tcW w:w="1700" w:type="dxa"/>
            <w:vAlign w:val="bottom"/>
            <w:gridSpan w:val="2"/>
            <w:shd w:val="clear" w:color="auto" w:fill="CCEEFF"/>
          </w:tcPr>
          <w:p>
            <w:pPr>
              <w:jc w:val="right"/>
              <w:ind w:right="120"/>
              <w:spacing w:after="0" w:line="161" w:lineRule="exact"/>
              <w:rPr>
                <w:sz w:val="20"/>
                <w:szCs w:val="20"/>
                <w:color w:val="auto"/>
              </w:rPr>
            </w:pPr>
            <w:r>
              <w:rPr>
                <w:rFonts w:ascii="Arial" w:cs="Arial" w:eastAsia="Arial" w:hAnsi="Arial"/>
                <w:sz w:val="15"/>
                <w:szCs w:val="15"/>
                <w:color w:val="auto"/>
              </w:rPr>
              <w:t>1.4 - 2.6%</w:t>
            </w:r>
          </w:p>
        </w:tc>
        <w:tc>
          <w:tcPr>
            <w:tcW w:w="17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2.6 - 3.0%</w:t>
            </w:r>
          </w:p>
        </w:tc>
      </w:tr>
      <w:tr>
        <w:trPr>
          <w:trHeight w:val="195"/>
        </w:trPr>
        <w:tc>
          <w:tcPr>
            <w:tcW w:w="7080" w:type="dxa"/>
            <w:vAlign w:val="bottom"/>
            <w:gridSpan w:val="2"/>
          </w:tcPr>
          <w:p>
            <w:pPr>
              <w:spacing w:after="0"/>
              <w:rPr>
                <w:sz w:val="20"/>
                <w:szCs w:val="20"/>
                <w:color w:val="auto"/>
              </w:rPr>
            </w:pPr>
            <w:r>
              <w:rPr>
                <w:rFonts w:ascii="Arial" w:cs="Arial" w:eastAsia="Arial" w:hAnsi="Arial"/>
                <w:sz w:val="15"/>
                <w:szCs w:val="15"/>
                <w:color w:val="auto"/>
              </w:rPr>
              <w:t>Dividend yield</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106"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The fair value of the stock options granted to employees and directors during the years ended December 31, 2020, 2019 and 2018 was $6.7 million, $8.4 million, and $6.4 million, respectively.</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fair value of ESPP was estimated using the Black-Scholes option-pricing model utilizing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b w:val="1"/>
                <w:bCs w:val="1"/>
                <w:color w:val="auto"/>
                <w:w w:val="94"/>
              </w:rPr>
              <w:t>Year Ended December 31,</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16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647"/>
              <w:spacing w:after="0" w:line="118" w:lineRule="exact"/>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87"/>
              <w:spacing w:after="0" w:line="118"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47"/>
              <w:spacing w:after="0" w:line="118" w:lineRule="exact"/>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153"/>
        </w:trPr>
        <w:tc>
          <w:tcPr>
            <w:tcW w:w="516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Expected term in years</w:t>
            </w: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0.5 - 1.0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0.5 - 1.0</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0.5 - 1.0</w:t>
            </w:r>
          </w:p>
        </w:tc>
        <w:tc>
          <w:tcPr>
            <w:tcW w:w="0" w:type="dxa"/>
            <w:vAlign w:val="bottom"/>
          </w:tcPr>
          <w:p>
            <w:pPr>
              <w:spacing w:after="0"/>
              <w:rPr>
                <w:sz w:val="1"/>
                <w:szCs w:val="1"/>
                <w:color w:val="auto"/>
              </w:rPr>
            </w:pPr>
          </w:p>
        </w:tc>
      </w:tr>
      <w:tr>
        <w:trPr>
          <w:trHeight w:val="161"/>
        </w:trPr>
        <w:tc>
          <w:tcPr>
            <w:tcW w:w="5160" w:type="dxa"/>
            <w:vAlign w:val="bottom"/>
          </w:tcPr>
          <w:p>
            <w:pPr>
              <w:spacing w:after="0" w:line="161" w:lineRule="exact"/>
              <w:rPr>
                <w:sz w:val="20"/>
                <w:szCs w:val="20"/>
                <w:color w:val="auto"/>
              </w:rPr>
            </w:pPr>
            <w:r>
              <w:rPr>
                <w:rFonts w:ascii="Arial" w:cs="Arial" w:eastAsia="Arial" w:hAnsi="Arial"/>
                <w:sz w:val="15"/>
                <w:szCs w:val="15"/>
                <w:color w:val="auto"/>
              </w:rPr>
              <w:t>Expected volatility</w:t>
            </w: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00"/>
              <w:spacing w:after="0" w:line="161" w:lineRule="exact"/>
              <w:rPr>
                <w:sz w:val="20"/>
                <w:szCs w:val="20"/>
                <w:color w:val="auto"/>
              </w:rPr>
            </w:pPr>
            <w:r>
              <w:rPr>
                <w:rFonts w:ascii="Arial" w:cs="Arial" w:eastAsia="Arial" w:hAnsi="Arial"/>
                <w:sz w:val="15"/>
                <w:szCs w:val="15"/>
                <w:color w:val="auto"/>
              </w:rPr>
              <w:t>70%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120"/>
              <w:spacing w:after="0" w:line="161" w:lineRule="exact"/>
              <w:rPr>
                <w:sz w:val="20"/>
                <w:szCs w:val="20"/>
                <w:color w:val="auto"/>
              </w:rPr>
            </w:pPr>
            <w:r>
              <w:rPr>
                <w:rFonts w:ascii="Arial" w:cs="Arial" w:eastAsia="Arial" w:hAnsi="Arial"/>
                <w:sz w:val="15"/>
                <w:szCs w:val="15"/>
                <w:color w:val="auto"/>
              </w:rPr>
              <w:t>70%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line="161" w:lineRule="exact"/>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161"/>
        </w:trPr>
        <w:tc>
          <w:tcPr>
            <w:tcW w:w="51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Risk-free interest rate</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line="161" w:lineRule="exact"/>
              <w:rPr>
                <w:sz w:val="20"/>
                <w:szCs w:val="20"/>
                <w:color w:val="auto"/>
              </w:rPr>
            </w:pPr>
            <w:r>
              <w:rPr>
                <w:rFonts w:ascii="Arial" w:cs="Arial" w:eastAsia="Arial" w:hAnsi="Arial"/>
                <w:sz w:val="15"/>
                <w:szCs w:val="15"/>
                <w:color w:val="auto"/>
              </w:rPr>
              <w:t>0.1% - 1.0%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line="161" w:lineRule="exact"/>
              <w:rPr>
                <w:sz w:val="20"/>
                <w:szCs w:val="20"/>
                <w:color w:val="auto"/>
              </w:rPr>
            </w:pPr>
            <w:r>
              <w:rPr>
                <w:rFonts w:ascii="Arial" w:cs="Arial" w:eastAsia="Arial" w:hAnsi="Arial"/>
                <w:sz w:val="15"/>
                <w:szCs w:val="15"/>
                <w:color w:val="auto"/>
              </w:rPr>
              <w:t>1.7% - 2.6%</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1.9% - 2.5%</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20"/>
                <w:szCs w:val="20"/>
                <w:color w:val="auto"/>
              </w:rPr>
            </w:pPr>
            <w:r>
              <w:rPr>
                <w:rFonts w:ascii="Arial" w:cs="Arial" w:eastAsia="Arial" w:hAnsi="Arial"/>
                <w:sz w:val="15"/>
                <w:szCs w:val="15"/>
                <w:color w:val="auto"/>
              </w:rPr>
              <w:t>Dividend yield</w:t>
            </w: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01"/>
        </w:trPr>
        <w:tc>
          <w:tcPr>
            <w:tcW w:w="5160" w:type="dxa"/>
            <w:vAlign w:val="bottom"/>
          </w:tcPr>
          <w:p>
            <w:pPr>
              <w:ind w:left="360"/>
              <w:spacing w:after="0"/>
              <w:rPr>
                <w:sz w:val="20"/>
                <w:szCs w:val="20"/>
                <w:color w:val="auto"/>
              </w:rPr>
            </w:pPr>
            <w:r>
              <w:rPr>
                <w:rFonts w:ascii="Arial" w:cs="Arial" w:eastAsia="Arial" w:hAnsi="Arial"/>
                <w:sz w:val="15"/>
                <w:szCs w:val="15"/>
                <w:color w:val="auto"/>
                <w:w w:val="99"/>
              </w:rPr>
              <w:t>Total stock-based compensation expense was as follows (in thousands):</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w w:val="94"/>
              </w:rPr>
              <w:t>Year Ended December 31,</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16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347"/>
              <w:spacing w:after="0" w:line="118" w:lineRule="exact"/>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387"/>
              <w:spacing w:after="0" w:line="118"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547"/>
              <w:spacing w:after="0" w:line="118" w:lineRule="exact"/>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153"/>
        </w:trPr>
        <w:tc>
          <w:tcPr>
            <w:tcW w:w="516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General and administrative</w:t>
            </w:r>
          </w:p>
        </w:tc>
        <w:tc>
          <w:tcPr>
            <w:tcW w:w="1320" w:type="dxa"/>
            <w:vAlign w:val="bottom"/>
            <w:gridSpan w:val="2"/>
            <w:shd w:val="clear" w:color="auto" w:fill="CCEEFF"/>
          </w:tcPr>
          <w:p>
            <w:pPr>
              <w:spacing w:after="0"/>
              <w:rPr>
                <w:sz w:val="13"/>
                <w:szCs w:val="13"/>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26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5"/>
                <w:szCs w:val="15"/>
                <w:color w:val="auto"/>
              </w:rPr>
              <w:t>6,062</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line="153" w:lineRule="exact"/>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
              <w:spacing w:after="0" w:line="153" w:lineRule="exact"/>
              <w:rPr>
                <w:sz w:val="20"/>
                <w:szCs w:val="20"/>
                <w:color w:val="auto"/>
              </w:rPr>
            </w:pPr>
            <w:r>
              <w:rPr>
                <w:rFonts w:ascii="Arial" w:cs="Arial" w:eastAsia="Arial" w:hAnsi="Arial"/>
                <w:sz w:val="15"/>
                <w:szCs w:val="15"/>
                <w:color w:val="auto"/>
              </w:rPr>
              <w:t>7,466</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9,004</w:t>
            </w:r>
          </w:p>
        </w:tc>
        <w:tc>
          <w:tcPr>
            <w:tcW w:w="0" w:type="dxa"/>
            <w:vAlign w:val="bottom"/>
          </w:tcPr>
          <w:p>
            <w:pPr>
              <w:spacing w:after="0"/>
              <w:rPr>
                <w:sz w:val="1"/>
                <w:szCs w:val="1"/>
                <w:color w:val="auto"/>
              </w:rPr>
            </w:pPr>
          </w:p>
        </w:tc>
      </w:tr>
      <w:tr>
        <w:trPr>
          <w:trHeight w:val="161"/>
        </w:trPr>
        <w:tc>
          <w:tcPr>
            <w:tcW w:w="516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color w:val="auto"/>
              </w:rPr>
              <w:t>Research and development</w:t>
            </w:r>
          </w:p>
        </w:tc>
        <w:tc>
          <w:tcPr>
            <w:tcW w:w="9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40"/>
              <w:spacing w:after="0" w:line="161" w:lineRule="exact"/>
              <w:rPr>
                <w:sz w:val="20"/>
                <w:szCs w:val="20"/>
                <w:color w:val="auto"/>
              </w:rPr>
            </w:pPr>
            <w:r>
              <w:rPr>
                <w:rFonts w:ascii="Arial" w:cs="Arial" w:eastAsia="Arial" w:hAnsi="Arial"/>
                <w:sz w:val="15"/>
                <w:szCs w:val="15"/>
                <w:color w:val="auto"/>
              </w:rPr>
              <w:t>4,013</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20"/>
              <w:spacing w:after="0" w:line="161" w:lineRule="exact"/>
              <w:rPr>
                <w:sz w:val="20"/>
                <w:szCs w:val="20"/>
                <w:color w:val="auto"/>
              </w:rPr>
            </w:pPr>
            <w:r>
              <w:rPr>
                <w:rFonts w:ascii="Arial" w:cs="Arial" w:eastAsia="Arial" w:hAnsi="Arial"/>
                <w:sz w:val="15"/>
                <w:szCs w:val="15"/>
                <w:color w:val="auto"/>
              </w:rPr>
              <w:t>3,821</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3,334</w:t>
            </w:r>
          </w:p>
        </w:tc>
        <w:tc>
          <w:tcPr>
            <w:tcW w:w="0" w:type="dxa"/>
            <w:vAlign w:val="bottom"/>
          </w:tcPr>
          <w:p>
            <w:pPr>
              <w:spacing w:after="0"/>
              <w:rPr>
                <w:sz w:val="1"/>
                <w:szCs w:val="1"/>
                <w:color w:val="auto"/>
              </w:rPr>
            </w:pPr>
          </w:p>
        </w:tc>
      </w:tr>
      <w:tr>
        <w:trPr>
          <w:trHeight w:val="153"/>
        </w:trPr>
        <w:tc>
          <w:tcPr>
            <w:tcW w:w="5160" w:type="dxa"/>
            <w:vAlign w:val="bottom"/>
            <w:tcBorders>
              <w:bottom w:val="single" w:sz="8" w:color="CCEEFF"/>
            </w:tcBorders>
            <w:shd w:val="clear" w:color="auto" w:fill="CCEEFF"/>
          </w:tcPr>
          <w:p>
            <w:pPr>
              <w:ind w:left="180"/>
              <w:spacing w:after="0" w:line="153" w:lineRule="exact"/>
              <w:rPr>
                <w:sz w:val="20"/>
                <w:szCs w:val="20"/>
                <w:color w:val="auto"/>
              </w:rPr>
            </w:pPr>
            <w:r>
              <w:rPr>
                <w:rFonts w:ascii="Arial" w:cs="Arial" w:eastAsia="Arial" w:hAnsi="Arial"/>
                <w:sz w:val="15"/>
                <w:szCs w:val="15"/>
                <w:color w:val="auto"/>
              </w:rPr>
              <w:t>Total stock-based compensation expense</w:t>
            </w:r>
          </w:p>
        </w:tc>
        <w:tc>
          <w:tcPr>
            <w:tcW w:w="1320" w:type="dxa"/>
            <w:vAlign w:val="bottom"/>
            <w:tcBorders>
              <w:bottom w:val="single" w:sz="8" w:color="CCEEFF"/>
            </w:tcBorders>
            <w:gridSpan w:val="2"/>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gridSpan w:val="3"/>
            <w:shd w:val="clear" w:color="auto" w:fill="CCEEFF"/>
          </w:tcPr>
          <w:p>
            <w:pPr>
              <w:jc w:val="right"/>
              <w:ind w:right="40"/>
              <w:spacing w:after="0" w:line="153" w:lineRule="exact"/>
              <w:rPr>
                <w:sz w:val="20"/>
                <w:szCs w:val="20"/>
                <w:color w:val="auto"/>
              </w:rPr>
            </w:pPr>
            <w:r>
              <w:rPr>
                <w:rFonts w:ascii="Arial" w:cs="Arial" w:eastAsia="Arial" w:hAnsi="Arial"/>
                <w:sz w:val="15"/>
                <w:szCs w:val="15"/>
                <w:color w:val="auto"/>
              </w:rPr>
              <w:t>10,075</w:t>
            </w:r>
          </w:p>
        </w:tc>
        <w:tc>
          <w:tcPr>
            <w:tcW w:w="1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line="153"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shd w:val="clear" w:color="auto" w:fill="CCEEFF"/>
          </w:tcPr>
          <w:p>
            <w:pPr>
              <w:jc w:val="right"/>
              <w:ind w:right="20"/>
              <w:spacing w:after="0" w:line="153" w:lineRule="exact"/>
              <w:rPr>
                <w:sz w:val="20"/>
                <w:szCs w:val="20"/>
                <w:color w:val="auto"/>
              </w:rPr>
            </w:pPr>
            <w:r>
              <w:rPr>
                <w:rFonts w:ascii="Arial" w:cs="Arial" w:eastAsia="Arial" w:hAnsi="Arial"/>
                <w:sz w:val="15"/>
                <w:szCs w:val="15"/>
                <w:color w:val="auto"/>
              </w:rPr>
              <w:t>11,287</w:t>
            </w:r>
          </w:p>
        </w:tc>
        <w:tc>
          <w:tcPr>
            <w:tcW w:w="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12,338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vMerge w:val="restart"/>
          </w:tcPr>
          <w:p>
            <w:pPr>
              <w:jc w:val="right"/>
              <w:ind w:right="303"/>
              <w:spacing w:after="0"/>
              <w:rPr>
                <w:sz w:val="20"/>
                <w:szCs w:val="20"/>
                <w:color w:val="auto"/>
              </w:rPr>
            </w:pPr>
            <w:r>
              <w:rPr>
                <w:rFonts w:ascii="Arial" w:cs="Arial" w:eastAsia="Arial" w:hAnsi="Arial"/>
                <w:sz w:val="15"/>
                <w:szCs w:val="15"/>
                <w:color w:val="auto"/>
              </w:rPr>
              <w:t>72</w:t>
            </w: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516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16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24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120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-6985</wp:posOffset>
            </wp:positionV>
            <wp:extent cx="762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-13970</wp:posOffset>
            </wp:positionV>
            <wp:extent cx="7620"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72" w:name="page73"/>
    <w:bookmarkEnd w:id="72"/>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jc w:val="both"/>
        <w:ind w:right="20" w:firstLine="409"/>
        <w:spacing w:after="0" w:line="255" w:lineRule="auto"/>
        <w:rPr>
          <w:sz w:val="20"/>
          <w:szCs w:val="20"/>
          <w:color w:val="auto"/>
        </w:rPr>
      </w:pPr>
      <w:r>
        <w:rPr>
          <w:rFonts w:ascii="Arial" w:cs="Arial" w:eastAsia="Arial" w:hAnsi="Arial"/>
          <w:sz w:val="15"/>
          <w:szCs w:val="15"/>
          <w:color w:val="auto"/>
        </w:rPr>
        <w:t>The fair value of RSU awards is determined based on the number of units granted and the closing price of the Company’s common stock as of the grant date. The estimated fair value of RSUs is recognized on a straight-line basis over the requisite service period.</w:t>
      </w:r>
    </w:p>
    <w:p>
      <w:pPr>
        <w:spacing w:after="0" w:line="118" w:lineRule="exact"/>
        <w:rPr>
          <w:sz w:val="20"/>
          <w:szCs w:val="20"/>
          <w:color w:val="auto"/>
        </w:rPr>
      </w:pPr>
    </w:p>
    <w:p>
      <w:pPr>
        <w:jc w:val="both"/>
        <w:ind w:firstLine="409"/>
        <w:spacing w:after="0" w:line="236" w:lineRule="auto"/>
        <w:rPr>
          <w:sz w:val="20"/>
          <w:szCs w:val="20"/>
          <w:color w:val="auto"/>
        </w:rPr>
      </w:pPr>
      <w:r>
        <w:rPr>
          <w:rFonts w:ascii="Arial" w:cs="Arial" w:eastAsia="Arial" w:hAnsi="Arial"/>
          <w:sz w:val="15"/>
          <w:szCs w:val="15"/>
          <w:color w:val="auto"/>
        </w:rPr>
        <w:t>During 2017, the Company granted 160,974 RSUs all of which vested in June 2018 pursuant to which no shares were issued. Additional paid in capital was reduced by $0.1 million for tax payments related to shares withheld in connection with the vesting of the RSUs. There was no stock-based compensation expense related to these RSUs recorded in the years ended December 31, 2020 and 2019, and approximately $2.1 million in the year ended December 31, 2018. As of December 31, 2020, there was no unrecognized compensation expense related to these RSUs.</w:t>
      </w:r>
    </w:p>
    <w:p>
      <w:pPr>
        <w:spacing w:after="0" w:line="129" w:lineRule="exact"/>
        <w:rPr>
          <w:sz w:val="20"/>
          <w:szCs w:val="20"/>
          <w:color w:val="auto"/>
        </w:rPr>
      </w:pPr>
    </w:p>
    <w:p>
      <w:pPr>
        <w:jc w:val="both"/>
        <w:ind w:firstLine="409"/>
        <w:spacing w:after="0" w:line="236" w:lineRule="auto"/>
        <w:rPr>
          <w:sz w:val="20"/>
          <w:szCs w:val="20"/>
          <w:color w:val="auto"/>
        </w:rPr>
      </w:pPr>
      <w:r>
        <w:rPr>
          <w:rFonts w:ascii="Arial" w:cs="Arial" w:eastAsia="Arial" w:hAnsi="Arial"/>
          <w:sz w:val="15"/>
          <w:szCs w:val="15"/>
          <w:color w:val="auto"/>
        </w:rPr>
        <w:t>During the year ended December 31, 2017, the Company granted 68,800 RSUs to certain employees, of which 50% vested on June 1, 2019 with the remaining 50% vesting on June 1, 2021. In the event of a change in control, these RSUs vest 100%. The stock-based compensation expense recorded in the years ended December 31, 2020, 2019, and 2018 related to these RSUs was approximately $0.3 million, $0.4 million, and $0.4 million, respectively. As of December 31, 2020, there was $0.1 million of unrecognized compensation expense related to these RSUs.</w:t>
      </w:r>
    </w:p>
    <w:p>
      <w:pPr>
        <w:spacing w:after="0" w:line="129"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At December 31, 2020, there was $9.6 million of unrecognized compensation cost related to unvested stock-based compensation arrangements, which is expected to be recognized over a weighted average period of 2.5 years.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Research Grants and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Sponsored Research Agreement</w:t>
      </w:r>
    </w:p>
    <w:p>
      <w:pPr>
        <w:spacing w:after="0" w:line="150" w:lineRule="exact"/>
        <w:rPr>
          <w:sz w:val="20"/>
          <w:szCs w:val="20"/>
          <w:color w:val="auto"/>
        </w:rPr>
      </w:pPr>
    </w:p>
    <w:p>
      <w:pPr>
        <w:jc w:val="both"/>
        <w:ind w:firstLine="376"/>
        <w:spacing w:after="0" w:line="250" w:lineRule="auto"/>
        <w:rPr>
          <w:sz w:val="20"/>
          <w:szCs w:val="20"/>
          <w:color w:val="auto"/>
        </w:rPr>
      </w:pPr>
      <w:r>
        <w:rPr>
          <w:rFonts w:ascii="Arial" w:cs="Arial" w:eastAsia="Arial" w:hAnsi="Arial"/>
          <w:sz w:val="14"/>
          <w:szCs w:val="14"/>
          <w:color w:val="auto"/>
        </w:rPr>
        <w:t>The Company entered into a Sponsored Research Agreement (SRA) with ODURF during 2014 pursuant to which the Company sponsors research activities performed by ODURF’s Frank Reidy Center. ODURF is compensated by the Company for its conduct of each study in accordance with the budget and payment terms set forth in the applicable task order. During each of the years ended December 31, 2019 and 2018, the Company agreed to sponsor $0.8 million in research during the subsequent 12-month period to be funded through monthly payments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 As of December 31, 2020, there is no remaining balance payable under this research agreement.</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During the years ended December 31, 2020, 2019 and 2018, the Company incurred costs relating to the SRA equal to $0.6 million, $0.9 million and $0.7 million,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73" w:name="page74"/>
    <w:bookmarkEnd w:id="73"/>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Income Taxes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Income (loss) before income taxes during the years ended December 31, 2020 and 2019 is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07"/>
              <w:spacing w:after="0"/>
              <w:rPr>
                <w:sz w:val="20"/>
                <w:szCs w:val="20"/>
                <w:color w:val="auto"/>
              </w:rPr>
            </w:pPr>
            <w:r>
              <w:rPr>
                <w:rFonts w:ascii="Arial" w:cs="Arial" w:eastAsia="Arial" w:hAnsi="Arial"/>
                <w:sz w:val="12"/>
                <w:szCs w:val="12"/>
                <w:b w:val="1"/>
                <w:bCs w:val="1"/>
                <w:color w:val="auto"/>
                <w:w w:val="92"/>
              </w:rPr>
              <w:t>December 31,</w:t>
            </w: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71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45"/>
              <w:spacing w:after="0" w:line="118"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center"/>
              <w:ind w:right="107"/>
              <w:spacing w:after="0" w:line="118" w:lineRule="exact"/>
              <w:rPr>
                <w:sz w:val="20"/>
                <w:szCs w:val="20"/>
                <w:color w:val="auto"/>
              </w:rPr>
            </w:pPr>
            <w:r>
              <w:rPr>
                <w:rFonts w:ascii="Arial" w:cs="Arial" w:eastAsia="Arial" w:hAnsi="Arial"/>
                <w:sz w:val="12"/>
                <w:szCs w:val="12"/>
                <w:b w:val="1"/>
                <w:bCs w:val="1"/>
                <w:color w:val="auto"/>
                <w:w w:val="89"/>
              </w:rPr>
              <w:t>2019</w:t>
            </w:r>
          </w:p>
        </w:tc>
        <w:tc>
          <w:tcPr>
            <w:tcW w:w="16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45"/>
              <w:spacing w:after="0" w:line="118" w:lineRule="exact"/>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153"/>
        </w:trPr>
        <w:tc>
          <w:tcPr>
            <w:tcW w:w="712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Domestic</w:t>
            </w:r>
          </w:p>
        </w:tc>
        <w:tc>
          <w:tcPr>
            <w:tcW w:w="300" w:type="dxa"/>
            <w:vAlign w:val="bottom"/>
            <w:shd w:val="clear" w:color="auto" w:fill="CCEEFF"/>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(49,851)</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3"/>
              <w:spacing w:after="0" w:line="153"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(46,971)</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(37,545)</w:t>
            </w:r>
          </w:p>
        </w:tc>
        <w:tc>
          <w:tcPr>
            <w:tcW w:w="0" w:type="dxa"/>
            <w:vAlign w:val="bottom"/>
          </w:tcPr>
          <w:p>
            <w:pPr>
              <w:spacing w:after="0"/>
              <w:rPr>
                <w:sz w:val="1"/>
                <w:szCs w:val="1"/>
                <w:color w:val="auto"/>
              </w:rPr>
            </w:pPr>
          </w:p>
        </w:tc>
      </w:tr>
      <w:tr>
        <w:trPr>
          <w:trHeight w:val="161"/>
        </w:trPr>
        <w:tc>
          <w:tcPr>
            <w:tcW w:w="7120" w:type="dxa"/>
            <w:vAlign w:val="bottom"/>
          </w:tcPr>
          <w:p>
            <w:pPr>
              <w:spacing w:after="0" w:line="161" w:lineRule="exact"/>
              <w:rPr>
                <w:sz w:val="20"/>
                <w:szCs w:val="20"/>
                <w:color w:val="auto"/>
              </w:rPr>
            </w:pPr>
            <w:r>
              <w:rPr>
                <w:rFonts w:ascii="Arial" w:cs="Arial" w:eastAsia="Arial" w:hAnsi="Arial"/>
                <w:sz w:val="15"/>
                <w:szCs w:val="15"/>
                <w:color w:val="auto"/>
              </w:rPr>
              <w:t>Foreign</w:t>
            </w:r>
          </w:p>
        </w:tc>
        <w:tc>
          <w:tcPr>
            <w:tcW w:w="300" w:type="dxa"/>
            <w:vAlign w:val="bottom"/>
          </w:tcPr>
          <w:p>
            <w:pPr>
              <w:spacing w:after="0"/>
              <w:rPr>
                <w:sz w:val="14"/>
                <w:szCs w:val="14"/>
                <w:color w:val="auto"/>
              </w:rPr>
            </w:pPr>
          </w:p>
        </w:tc>
        <w:tc>
          <w:tcPr>
            <w:tcW w:w="1120" w:type="dxa"/>
            <w:vAlign w:val="bottom"/>
            <w:gridSpan w:val="2"/>
          </w:tcPr>
          <w:p>
            <w:pPr>
              <w:jc w:val="right"/>
              <w:ind w:right="200"/>
              <w:spacing w:after="0" w:line="161"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712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(49,851)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3"/>
              <w:spacing w:after="0" w:line="153"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(46,971)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(37,545)</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360"/>
              <w:spacing w:after="0"/>
              <w:rPr>
                <w:sz w:val="20"/>
                <w:szCs w:val="20"/>
                <w:color w:val="auto"/>
              </w:rPr>
            </w:pPr>
            <w:r>
              <w:rPr>
                <w:rFonts w:ascii="Arial" w:cs="Arial" w:eastAsia="Arial" w:hAnsi="Arial"/>
                <w:sz w:val="15"/>
                <w:szCs w:val="15"/>
                <w:color w:val="auto"/>
              </w:rPr>
              <w:t>The components of the provision for income taxes are as follows (in thousands):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7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107"/>
              <w:spacing w:after="0"/>
              <w:rPr>
                <w:sz w:val="20"/>
                <w:szCs w:val="20"/>
                <w:color w:val="auto"/>
              </w:rPr>
            </w:pPr>
            <w:r>
              <w:rPr>
                <w:rFonts w:ascii="Arial" w:cs="Arial" w:eastAsia="Arial" w:hAnsi="Arial"/>
                <w:sz w:val="12"/>
                <w:szCs w:val="12"/>
                <w:b w:val="1"/>
                <w:bCs w:val="1"/>
                <w:color w:val="auto"/>
                <w:w w:val="92"/>
              </w:rPr>
              <w:t>December 31,</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7120" w:type="dxa"/>
            <w:vAlign w:val="bottom"/>
            <w:vMerge w:val="restart"/>
          </w:tcPr>
          <w:p>
            <w:pPr>
              <w:spacing w:after="0"/>
              <w:rPr>
                <w:sz w:val="20"/>
                <w:szCs w:val="20"/>
                <w:color w:val="auto"/>
              </w:rPr>
            </w:pPr>
            <w:r>
              <w:rPr>
                <w:rFonts w:ascii="Arial" w:cs="Arial" w:eastAsia="Arial" w:hAnsi="Arial"/>
                <w:sz w:val="15"/>
                <w:szCs w:val="15"/>
                <w:b w:val="1"/>
                <w:bCs w:val="1"/>
                <w:color w:val="auto"/>
              </w:rPr>
              <w:t>Current</w:t>
            </w: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45"/>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07"/>
              <w:spacing w:after="0"/>
              <w:rPr>
                <w:sz w:val="20"/>
                <w:szCs w:val="20"/>
                <w:color w:val="auto"/>
              </w:rPr>
            </w:pPr>
            <w:r>
              <w:rPr>
                <w:rFonts w:ascii="Arial" w:cs="Arial" w:eastAsia="Arial" w:hAnsi="Arial"/>
                <w:sz w:val="12"/>
                <w:szCs w:val="12"/>
                <w:b w:val="1"/>
                <w:bCs w:val="1"/>
                <w:color w:val="auto"/>
                <w:w w:val="89"/>
              </w:rPr>
              <w:t>2019</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45"/>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141"/>
        </w:trPr>
        <w:tc>
          <w:tcPr>
            <w:tcW w:w="71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1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Federal</w:t>
            </w:r>
          </w:p>
        </w:tc>
        <w:tc>
          <w:tcPr>
            <w:tcW w:w="300" w:type="dxa"/>
            <w:vAlign w:val="bottom"/>
            <w:shd w:val="clear" w:color="auto" w:fill="CCEEFF"/>
          </w:tcPr>
          <w:p>
            <w:pPr>
              <w:jc w:val="right"/>
              <w:ind w:right="143"/>
              <w:spacing w:after="0" w:line="161" w:lineRule="exact"/>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line="161"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23"/>
              <w:spacing w:after="0" w:line="161"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43"/>
              <w:spacing w:after="0" w:line="161"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1"/>
        </w:trPr>
        <w:tc>
          <w:tcPr>
            <w:tcW w:w="7120" w:type="dxa"/>
            <w:vAlign w:val="bottom"/>
          </w:tcPr>
          <w:p>
            <w:pPr>
              <w:spacing w:after="0" w:line="161" w:lineRule="exact"/>
              <w:rPr>
                <w:sz w:val="20"/>
                <w:szCs w:val="20"/>
                <w:color w:val="auto"/>
              </w:rPr>
            </w:pPr>
            <w:r>
              <w:rPr>
                <w:rFonts w:ascii="Arial" w:cs="Arial" w:eastAsia="Arial" w:hAnsi="Arial"/>
                <w:sz w:val="15"/>
                <w:szCs w:val="15"/>
                <w:color w:val="auto"/>
              </w:rPr>
              <w:t>State</w:t>
            </w:r>
          </w:p>
        </w:tc>
        <w:tc>
          <w:tcPr>
            <w:tcW w:w="300" w:type="dxa"/>
            <w:vAlign w:val="bottom"/>
          </w:tcPr>
          <w:p>
            <w:pPr>
              <w:spacing w:after="0"/>
              <w:rPr>
                <w:sz w:val="14"/>
                <w:szCs w:val="14"/>
                <w:color w:val="auto"/>
              </w:rPr>
            </w:pPr>
          </w:p>
        </w:tc>
        <w:tc>
          <w:tcPr>
            <w:tcW w:w="980" w:type="dxa"/>
            <w:vAlign w:val="bottom"/>
          </w:tcPr>
          <w:p>
            <w:pPr>
              <w:jc w:val="right"/>
              <w:spacing w:after="0" w:line="161" w:lineRule="exact"/>
              <w:rPr>
                <w:sz w:val="20"/>
                <w:szCs w:val="20"/>
                <w:color w:val="auto"/>
              </w:rPr>
            </w:pPr>
            <w:r>
              <w:rPr>
                <w:rFonts w:ascii="Arial" w:cs="Arial" w:eastAsia="Arial" w:hAnsi="Arial"/>
                <w:sz w:val="15"/>
                <w:szCs w:val="15"/>
                <w:color w:val="auto"/>
              </w:rPr>
              <w:t>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line="161" w:lineRule="exact"/>
              <w:rPr>
                <w:sz w:val="20"/>
                <w:szCs w:val="20"/>
                <w:color w:val="auto"/>
              </w:rPr>
            </w:pPr>
            <w:r>
              <w:rPr>
                <w:rFonts w:ascii="Arial" w:cs="Arial" w:eastAsia="Arial" w:hAnsi="Arial"/>
                <w:sz w:val="15"/>
                <w:szCs w:val="15"/>
                <w:color w:val="auto"/>
              </w:rPr>
              <w:t>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line="161"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1"/>
        </w:trPr>
        <w:tc>
          <w:tcPr>
            <w:tcW w:w="71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Foreign</w:t>
            </w:r>
          </w:p>
        </w:tc>
        <w:tc>
          <w:tcPr>
            <w:tcW w:w="3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line="161"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7120" w:type="dxa"/>
            <w:vAlign w:val="bottom"/>
          </w:tcPr>
          <w:p>
            <w:pPr>
              <w:spacing w:after="0"/>
              <w:rPr>
                <w:sz w:val="20"/>
                <w:szCs w:val="20"/>
                <w:color w:val="auto"/>
              </w:rPr>
            </w:pPr>
            <w:r>
              <w:rPr>
                <w:rFonts w:ascii="Arial" w:cs="Arial" w:eastAsia="Arial" w:hAnsi="Arial"/>
                <w:sz w:val="15"/>
                <w:szCs w:val="15"/>
                <w:color w:val="auto"/>
              </w:rPr>
              <w:t>Total current</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89"/>
        </w:trPr>
        <w:tc>
          <w:tcPr>
            <w:tcW w:w="7120" w:type="dxa"/>
            <w:vAlign w:val="bottom"/>
          </w:tcPr>
          <w:p>
            <w:pPr>
              <w:spacing w:after="0"/>
              <w:rPr>
                <w:sz w:val="20"/>
                <w:szCs w:val="20"/>
                <w:color w:val="auto"/>
              </w:rPr>
            </w:pPr>
            <w:r>
              <w:rPr>
                <w:rFonts w:ascii="Arial" w:cs="Arial" w:eastAsia="Arial" w:hAnsi="Arial"/>
                <w:sz w:val="15"/>
                <w:szCs w:val="15"/>
                <w:b w:val="1"/>
                <w:bCs w:val="1"/>
                <w:color w:val="auto"/>
              </w:rPr>
              <w:t>Deferred</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1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Federal</w:t>
            </w:r>
          </w:p>
        </w:tc>
        <w:tc>
          <w:tcPr>
            <w:tcW w:w="3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line="161"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1"/>
        </w:trPr>
        <w:tc>
          <w:tcPr>
            <w:tcW w:w="7120" w:type="dxa"/>
            <w:vAlign w:val="bottom"/>
          </w:tcPr>
          <w:p>
            <w:pPr>
              <w:spacing w:after="0" w:line="161" w:lineRule="exact"/>
              <w:rPr>
                <w:sz w:val="20"/>
                <w:szCs w:val="20"/>
                <w:color w:val="auto"/>
              </w:rPr>
            </w:pPr>
            <w:r>
              <w:rPr>
                <w:rFonts w:ascii="Arial" w:cs="Arial" w:eastAsia="Arial" w:hAnsi="Arial"/>
                <w:sz w:val="15"/>
                <w:szCs w:val="15"/>
                <w:color w:val="auto"/>
              </w:rPr>
              <w:t>State</w:t>
            </w:r>
          </w:p>
        </w:tc>
        <w:tc>
          <w:tcPr>
            <w:tcW w:w="300" w:type="dxa"/>
            <w:vAlign w:val="bottom"/>
          </w:tcPr>
          <w:p>
            <w:pPr>
              <w:spacing w:after="0"/>
              <w:rPr>
                <w:sz w:val="14"/>
                <w:szCs w:val="14"/>
                <w:color w:val="auto"/>
              </w:rPr>
            </w:pPr>
          </w:p>
        </w:tc>
        <w:tc>
          <w:tcPr>
            <w:tcW w:w="1120" w:type="dxa"/>
            <w:vAlign w:val="bottom"/>
            <w:gridSpan w:val="2"/>
          </w:tcPr>
          <w:p>
            <w:pPr>
              <w:jc w:val="right"/>
              <w:ind w:right="200"/>
              <w:spacing w:after="0" w:line="161"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1"/>
        </w:trPr>
        <w:tc>
          <w:tcPr>
            <w:tcW w:w="71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Foreign</w:t>
            </w:r>
          </w:p>
        </w:tc>
        <w:tc>
          <w:tcPr>
            <w:tcW w:w="3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line="161"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7120" w:type="dxa"/>
            <w:vAlign w:val="bottom"/>
          </w:tcPr>
          <w:p>
            <w:pPr>
              <w:spacing w:after="0"/>
              <w:rPr>
                <w:sz w:val="20"/>
                <w:szCs w:val="20"/>
                <w:color w:val="auto"/>
              </w:rPr>
            </w:pPr>
            <w:r>
              <w:rPr>
                <w:rFonts w:ascii="Arial" w:cs="Arial" w:eastAsia="Arial" w:hAnsi="Arial"/>
                <w:sz w:val="15"/>
                <w:szCs w:val="15"/>
                <w:color w:val="auto"/>
              </w:rPr>
              <w:t>Total deferred</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8"/>
        </w:trPr>
        <w:tc>
          <w:tcPr>
            <w:tcW w:w="7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120" w:type="dxa"/>
            <w:vAlign w:val="bottom"/>
            <w:tcBorders>
              <w:top w:val="single" w:sz="8" w:color="CCEEFF"/>
              <w:bottom w:val="single" w:sz="8" w:color="CCEEFF"/>
            </w:tcBorders>
            <w:shd w:val="clear" w:color="auto" w:fill="CCEEFF"/>
          </w:tcPr>
          <w:p>
            <w:pPr>
              <w:spacing w:after="0" w:line="153" w:lineRule="exact"/>
              <w:rPr>
                <w:sz w:val="20"/>
                <w:szCs w:val="20"/>
                <w:color w:val="auto"/>
              </w:rPr>
            </w:pPr>
            <w:r>
              <w:rPr>
                <w:rFonts w:ascii="Arial" w:cs="Arial" w:eastAsia="Arial" w:hAnsi="Arial"/>
                <w:sz w:val="15"/>
                <w:szCs w:val="15"/>
                <w:color w:val="auto"/>
              </w:rPr>
              <w:t>Total provision for income taxes</w:t>
            </w:r>
          </w:p>
        </w:tc>
        <w:tc>
          <w:tcPr>
            <w:tcW w:w="300" w:type="dxa"/>
            <w:vAlign w:val="bottom"/>
            <w:tcBorders>
              <w:top w:val="single" w:sz="8" w:color="auto"/>
              <w:bottom w:val="single" w:sz="8" w:color="auto"/>
            </w:tcBorders>
            <w:shd w:val="clear" w:color="auto" w:fill="CCEEFF"/>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3"/>
              <w:spacing w:after="0" w:line="153"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provision for income taxes differs from the amount estimated by applying the statutory federal income tax rate to income (loss) before taxes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44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Year Ended December 31,</w:t>
            </w:r>
          </w:p>
        </w:tc>
        <w:tc>
          <w:tcPr>
            <w:tcW w:w="1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r>
      <w:tr>
        <w:trPr>
          <w:trHeight w:val="118"/>
        </w:trPr>
        <w:tc>
          <w:tcPr>
            <w:tcW w:w="644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jc w:val="right"/>
              <w:ind w:right="205"/>
              <w:spacing w:after="0" w:line="118" w:lineRule="exact"/>
              <w:rPr>
                <w:sz w:val="20"/>
                <w:szCs w:val="20"/>
                <w:color w:val="auto"/>
              </w:rPr>
            </w:pPr>
            <w:r>
              <w:rPr>
                <w:rFonts w:ascii="Arial" w:cs="Arial" w:eastAsia="Arial" w:hAnsi="Arial"/>
                <w:sz w:val="12"/>
                <w:szCs w:val="12"/>
                <w:b w:val="1"/>
                <w:bCs w:val="1"/>
                <w:color w:val="auto"/>
              </w:rPr>
              <w:t>2020</w:t>
            </w: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jc w:val="right"/>
              <w:ind w:right="206"/>
              <w:spacing w:after="0" w:line="118" w:lineRule="exact"/>
              <w:rPr>
                <w:sz w:val="20"/>
                <w:szCs w:val="20"/>
                <w:color w:val="auto"/>
              </w:rPr>
            </w:pPr>
            <w:r>
              <w:rPr>
                <w:rFonts w:ascii="Arial" w:cs="Arial" w:eastAsia="Arial" w:hAnsi="Arial"/>
                <w:sz w:val="12"/>
                <w:szCs w:val="12"/>
                <w:b w:val="1"/>
                <w:bCs w:val="1"/>
                <w:color w:val="auto"/>
              </w:rPr>
              <w:t>2019</w:t>
            </w: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160" w:type="dxa"/>
            <w:vAlign w:val="bottom"/>
            <w:tcBorders>
              <w:bottom w:val="single" w:sz="8" w:color="auto"/>
            </w:tcBorders>
          </w:tcPr>
          <w:p>
            <w:pPr>
              <w:jc w:val="right"/>
              <w:ind w:right="225"/>
              <w:spacing w:after="0" w:line="118" w:lineRule="exact"/>
              <w:rPr>
                <w:sz w:val="20"/>
                <w:szCs w:val="20"/>
                <w:color w:val="auto"/>
              </w:rPr>
            </w:pPr>
            <w:r>
              <w:rPr>
                <w:rFonts w:ascii="Arial" w:cs="Arial" w:eastAsia="Arial" w:hAnsi="Arial"/>
                <w:sz w:val="12"/>
                <w:szCs w:val="12"/>
                <w:b w:val="1"/>
                <w:bCs w:val="1"/>
                <w:color w:val="auto"/>
              </w:rPr>
              <w:t>2018</w:t>
            </w:r>
          </w:p>
        </w:tc>
        <w:tc>
          <w:tcPr>
            <w:tcW w:w="340" w:type="dxa"/>
            <w:vAlign w:val="bottom"/>
            <w:tcBorders>
              <w:bottom w:val="single" w:sz="8" w:color="auto"/>
            </w:tcBorders>
          </w:tcPr>
          <w:p>
            <w:pPr>
              <w:spacing w:after="0"/>
              <w:rPr>
                <w:sz w:val="10"/>
                <w:szCs w:val="10"/>
                <w:color w:val="auto"/>
              </w:rPr>
            </w:pPr>
          </w:p>
        </w:tc>
      </w:tr>
      <w:tr>
        <w:trPr>
          <w:trHeight w:val="153"/>
        </w:trPr>
        <w:tc>
          <w:tcPr>
            <w:tcW w:w="644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Federal tax (benefit) at statutory rate</w:t>
            </w:r>
          </w:p>
        </w:tc>
        <w:tc>
          <w:tcPr>
            <w:tcW w:w="114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21.0</w:t>
            </w:r>
          </w:p>
        </w:tc>
        <w:tc>
          <w:tcPr>
            <w:tcW w:w="340" w:type="dxa"/>
            <w:vAlign w:val="bottom"/>
            <w:shd w:val="clear" w:color="auto" w:fill="CCEEFF"/>
          </w:tcPr>
          <w:p>
            <w:pPr>
              <w:jc w:val="right"/>
              <w:ind w:right="123"/>
              <w:spacing w:after="0" w:line="153" w:lineRule="exact"/>
              <w:rPr>
                <w:sz w:val="20"/>
                <w:szCs w:val="20"/>
                <w:color w:val="auto"/>
              </w:rPr>
            </w:pPr>
            <w:r>
              <w:rPr>
                <w:rFonts w:ascii="Arial" w:cs="Arial" w:eastAsia="Arial" w:hAnsi="Arial"/>
                <w:sz w:val="15"/>
                <w:szCs w:val="15"/>
                <w:color w:val="auto"/>
                <w:w w:val="89"/>
              </w:rPr>
              <w:t>%</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21.0</w:t>
            </w:r>
          </w:p>
        </w:tc>
        <w:tc>
          <w:tcPr>
            <w:tcW w:w="340" w:type="dxa"/>
            <w:vAlign w:val="bottom"/>
            <w:shd w:val="clear" w:color="auto" w:fill="CCEEFF"/>
          </w:tcPr>
          <w:p>
            <w:pPr>
              <w:jc w:val="right"/>
              <w:ind w:right="123"/>
              <w:spacing w:after="0" w:line="153" w:lineRule="exact"/>
              <w:rPr>
                <w:sz w:val="20"/>
                <w:szCs w:val="20"/>
                <w:color w:val="auto"/>
              </w:rPr>
            </w:pPr>
            <w:r>
              <w:rPr>
                <w:rFonts w:ascii="Arial" w:cs="Arial" w:eastAsia="Arial" w:hAnsi="Arial"/>
                <w:sz w:val="15"/>
                <w:szCs w:val="15"/>
                <w:color w:val="auto"/>
                <w:w w:val="89"/>
              </w:rPr>
              <w:t>%</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21.0</w:t>
            </w:r>
          </w:p>
        </w:tc>
        <w:tc>
          <w:tcPr>
            <w:tcW w:w="340" w:type="dxa"/>
            <w:vAlign w:val="bottom"/>
            <w:shd w:val="clear" w:color="auto" w:fill="CCEEFF"/>
          </w:tcPr>
          <w:p>
            <w:pPr>
              <w:jc w:val="right"/>
              <w:ind w:right="143"/>
              <w:spacing w:after="0" w:line="153" w:lineRule="exact"/>
              <w:rPr>
                <w:sz w:val="20"/>
                <w:szCs w:val="20"/>
                <w:color w:val="auto"/>
              </w:rPr>
            </w:pPr>
            <w:r>
              <w:rPr>
                <w:rFonts w:ascii="Arial" w:cs="Arial" w:eastAsia="Arial" w:hAnsi="Arial"/>
                <w:sz w:val="15"/>
                <w:szCs w:val="15"/>
                <w:color w:val="auto"/>
                <w:w w:val="74"/>
              </w:rPr>
              <w:t>%</w:t>
            </w:r>
          </w:p>
        </w:tc>
      </w:tr>
      <w:tr>
        <w:trPr>
          <w:trHeight w:val="161"/>
        </w:trPr>
        <w:tc>
          <w:tcPr>
            <w:tcW w:w="6440" w:type="dxa"/>
            <w:vAlign w:val="bottom"/>
          </w:tcPr>
          <w:p>
            <w:pPr>
              <w:spacing w:after="0" w:line="161" w:lineRule="exact"/>
              <w:rPr>
                <w:sz w:val="20"/>
                <w:szCs w:val="20"/>
                <w:color w:val="auto"/>
              </w:rPr>
            </w:pPr>
            <w:r>
              <w:rPr>
                <w:rFonts w:ascii="Arial" w:cs="Arial" w:eastAsia="Arial" w:hAnsi="Arial"/>
                <w:sz w:val="15"/>
                <w:szCs w:val="15"/>
                <w:color w:val="auto"/>
              </w:rPr>
              <w:t>State tax (benefit) at statutory rate</w:t>
            </w: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8.4</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(5.0)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line="161" w:lineRule="exact"/>
              <w:rPr>
                <w:sz w:val="20"/>
                <w:szCs w:val="20"/>
                <w:color w:val="auto"/>
              </w:rPr>
            </w:pPr>
            <w:r>
              <w:rPr>
                <w:rFonts w:ascii="Arial" w:cs="Arial" w:eastAsia="Arial" w:hAnsi="Arial"/>
                <w:sz w:val="15"/>
                <w:szCs w:val="15"/>
                <w:color w:val="auto"/>
              </w:rPr>
              <w:t>7.0</w:t>
            </w:r>
          </w:p>
        </w:tc>
        <w:tc>
          <w:tcPr>
            <w:tcW w:w="340" w:type="dxa"/>
            <w:vAlign w:val="bottom"/>
          </w:tcPr>
          <w:p>
            <w:pPr>
              <w:spacing w:after="0"/>
              <w:rPr>
                <w:sz w:val="14"/>
                <w:szCs w:val="14"/>
                <w:color w:val="auto"/>
              </w:rPr>
            </w:pPr>
          </w:p>
        </w:tc>
      </w:tr>
      <w:tr>
        <w:trPr>
          <w:trHeight w:val="161"/>
        </w:trPr>
        <w:tc>
          <w:tcPr>
            <w:tcW w:w="644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Research and development credits</w:t>
            </w: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2.1</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2.0</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(2.0)</w:t>
            </w:r>
          </w:p>
        </w:tc>
        <w:tc>
          <w:tcPr>
            <w:tcW w:w="340" w:type="dxa"/>
            <w:vAlign w:val="bottom"/>
            <w:shd w:val="clear" w:color="auto" w:fill="CCEEFF"/>
          </w:tcPr>
          <w:p>
            <w:pPr>
              <w:spacing w:after="0"/>
              <w:rPr>
                <w:sz w:val="14"/>
                <w:szCs w:val="14"/>
                <w:color w:val="auto"/>
              </w:rPr>
            </w:pPr>
          </w:p>
        </w:tc>
      </w:tr>
      <w:tr>
        <w:trPr>
          <w:trHeight w:val="161"/>
        </w:trPr>
        <w:tc>
          <w:tcPr>
            <w:tcW w:w="6440" w:type="dxa"/>
            <w:vAlign w:val="bottom"/>
          </w:tcPr>
          <w:p>
            <w:pPr>
              <w:spacing w:after="0" w:line="161" w:lineRule="exact"/>
              <w:rPr>
                <w:sz w:val="20"/>
                <w:szCs w:val="20"/>
                <w:color w:val="auto"/>
              </w:rPr>
            </w:pPr>
            <w:r>
              <w:rPr>
                <w:rFonts w:ascii="Arial" w:cs="Arial" w:eastAsia="Arial" w:hAnsi="Arial"/>
                <w:sz w:val="15"/>
                <w:szCs w:val="15"/>
                <w:color w:val="auto"/>
              </w:rPr>
              <w:t>Change in valuation allowance</w:t>
            </w: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(43.3)</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(18.0)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line="161" w:lineRule="exact"/>
              <w:rPr>
                <w:sz w:val="20"/>
                <w:szCs w:val="20"/>
                <w:color w:val="auto"/>
              </w:rPr>
            </w:pPr>
            <w:r>
              <w:rPr>
                <w:rFonts w:ascii="Arial" w:cs="Arial" w:eastAsia="Arial" w:hAnsi="Arial"/>
                <w:sz w:val="15"/>
                <w:szCs w:val="15"/>
                <w:color w:val="auto"/>
              </w:rPr>
              <w:t>(28.0)</w:t>
            </w:r>
          </w:p>
        </w:tc>
        <w:tc>
          <w:tcPr>
            <w:tcW w:w="340" w:type="dxa"/>
            <w:vAlign w:val="bottom"/>
          </w:tcPr>
          <w:p>
            <w:pPr>
              <w:spacing w:after="0"/>
              <w:rPr>
                <w:sz w:val="14"/>
                <w:szCs w:val="14"/>
                <w:color w:val="auto"/>
              </w:rPr>
            </w:pPr>
          </w:p>
        </w:tc>
      </w:tr>
      <w:tr>
        <w:trPr>
          <w:trHeight w:val="161"/>
        </w:trPr>
        <w:tc>
          <w:tcPr>
            <w:tcW w:w="644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Deferred adjustment</w:t>
            </w: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8.5</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4"/>
                <w:szCs w:val="14"/>
                <w:color w:val="auto"/>
              </w:rPr>
            </w:pPr>
          </w:p>
        </w:tc>
      </w:tr>
      <w:tr>
        <w:trPr>
          <w:trHeight w:val="161"/>
        </w:trPr>
        <w:tc>
          <w:tcPr>
            <w:tcW w:w="6440" w:type="dxa"/>
            <w:vAlign w:val="bottom"/>
          </w:tcPr>
          <w:p>
            <w:pPr>
              <w:spacing w:after="0" w:line="161" w:lineRule="exact"/>
              <w:rPr>
                <w:sz w:val="20"/>
                <w:szCs w:val="20"/>
                <w:color w:val="auto"/>
              </w:rPr>
            </w:pPr>
            <w:r>
              <w:rPr>
                <w:rFonts w:ascii="Arial" w:cs="Arial" w:eastAsia="Arial" w:hAnsi="Arial"/>
                <w:sz w:val="15"/>
                <w:szCs w:val="15"/>
                <w:color w:val="auto"/>
              </w:rPr>
              <w:t>Change in tax rate</w:t>
            </w: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4.2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r>
      <w:tr>
        <w:trPr>
          <w:trHeight w:val="161"/>
        </w:trPr>
        <w:tc>
          <w:tcPr>
            <w:tcW w:w="644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Tax reform</w:t>
            </w: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2.0</w:t>
            </w:r>
          </w:p>
        </w:tc>
        <w:tc>
          <w:tcPr>
            <w:tcW w:w="340" w:type="dxa"/>
            <w:vAlign w:val="bottom"/>
            <w:shd w:val="clear" w:color="auto" w:fill="CCEEFF"/>
          </w:tcPr>
          <w:p>
            <w:pPr>
              <w:spacing w:after="0"/>
              <w:rPr>
                <w:sz w:val="14"/>
                <w:szCs w:val="14"/>
                <w:color w:val="auto"/>
              </w:rPr>
            </w:pPr>
          </w:p>
        </w:tc>
      </w:tr>
      <w:tr>
        <w:trPr>
          <w:trHeight w:val="161"/>
        </w:trPr>
        <w:tc>
          <w:tcPr>
            <w:tcW w:w="644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color w:val="auto"/>
              </w:rPr>
              <w:t>Other</w:t>
            </w:r>
          </w:p>
        </w:tc>
        <w:tc>
          <w:tcPr>
            <w:tcW w:w="11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(0.8)</w:t>
            </w: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4"/>
                <w:szCs w:val="14"/>
                <w:color w:val="auto"/>
              </w:rPr>
            </w:pPr>
          </w:p>
        </w:tc>
      </w:tr>
      <w:tr>
        <w:trPr>
          <w:trHeight w:val="153"/>
        </w:trPr>
        <w:tc>
          <w:tcPr>
            <w:tcW w:w="6440" w:type="dxa"/>
            <w:vAlign w:val="bottom"/>
            <w:tcBorders>
              <w:bottom w:val="single" w:sz="8" w:color="CCEEFF"/>
            </w:tcBorders>
            <w:shd w:val="clear" w:color="auto" w:fill="CCEEFF"/>
          </w:tcPr>
          <w:p>
            <w:pPr>
              <w:spacing w:after="0" w:line="153" w:lineRule="exact"/>
              <w:rPr>
                <w:sz w:val="20"/>
                <w:szCs w:val="20"/>
                <w:color w:val="auto"/>
              </w:rPr>
            </w:pPr>
            <w:r>
              <w:rPr>
                <w:rFonts w:ascii="Arial" w:cs="Arial" w:eastAsia="Arial" w:hAnsi="Arial"/>
                <w:sz w:val="15"/>
                <w:szCs w:val="15"/>
                <w:color w:val="auto"/>
              </w:rPr>
              <w:t>Provision for income taxes</w:t>
            </w:r>
          </w:p>
        </w:tc>
        <w:tc>
          <w:tcPr>
            <w:tcW w:w="1480" w:type="dxa"/>
            <w:vAlign w:val="bottom"/>
            <w:tcBorders>
              <w:bottom w:val="single" w:sz="8" w:color="auto"/>
            </w:tcBorders>
            <w:gridSpan w:val="2"/>
            <w:shd w:val="clear" w:color="auto" w:fill="CCEEFF"/>
          </w:tcPr>
          <w:p>
            <w:pPr>
              <w:jc w:val="right"/>
              <w:ind w:right="123"/>
              <w:spacing w:after="0" w:line="153"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auto"/>
            </w:tcBorders>
            <w:gridSpan w:val="2"/>
            <w:shd w:val="clear" w:color="auto" w:fill="CCEEFF"/>
          </w:tcPr>
          <w:p>
            <w:pPr>
              <w:jc w:val="right"/>
              <w:ind w:right="123"/>
              <w:spacing w:after="0" w:line="153" w:lineRule="exact"/>
              <w:rPr>
                <w:sz w:val="20"/>
                <w:szCs w:val="20"/>
                <w:color w:val="auto"/>
              </w:rPr>
            </w:pPr>
            <w:r>
              <w:rPr>
                <w:rFonts w:ascii="Arial" w:cs="Arial" w:eastAsia="Arial" w:hAnsi="Arial"/>
                <w:sz w:val="15"/>
                <w:szCs w:val="15"/>
                <w:color w:val="auto"/>
              </w:rPr>
              <w:t>— %</w:t>
            </w:r>
          </w:p>
        </w:tc>
        <w:tc>
          <w:tcPr>
            <w:tcW w:w="1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auto"/>
            </w:tcBorders>
            <w:gridSpan w:val="2"/>
            <w:shd w:val="clear" w:color="auto" w:fill="CCEEFF"/>
          </w:tcPr>
          <w:p>
            <w:pPr>
              <w:jc w:val="right"/>
              <w:ind w:right="143"/>
              <w:spacing w:after="0" w:line="153" w:lineRule="exact"/>
              <w:rPr>
                <w:sz w:val="20"/>
                <w:szCs w:val="20"/>
                <w:color w:val="auto"/>
              </w:rPr>
            </w:pPr>
            <w:r>
              <w:rPr>
                <w:rFonts w:ascii="Arial" w:cs="Arial" w:eastAsia="Arial" w:hAnsi="Arial"/>
                <w:sz w:val="15"/>
                <w:szCs w:val="15"/>
                <w:color w:val="auto"/>
              </w:rPr>
              <w:t>— %</w:t>
            </w:r>
          </w:p>
        </w:tc>
      </w:tr>
      <w:tr>
        <w:trPr>
          <w:trHeight w:val="20"/>
        </w:trPr>
        <w:tc>
          <w:tcPr>
            <w:tcW w:w="6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Note that for presentation purposes, the 2019 and 2018 percentages have been changed to present the opposite value from what was previously disclosed to allow for proper comparability to current year percentages.</w:t>
      </w:r>
    </w:p>
    <w:p>
      <w:pPr>
        <w:spacing w:after="0" w:line="118"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Deferred income taxes reflect the impact of carryforwards and temporary differences between the amounts of assets and liabilities for financial reporting purposes and such amounts as measured by tax laws. The carryforwards and temporary differences, which give rise to a significant portion of the Company's deferred tax asset (liability) as of December 31, 2020 and 2019, are as follows (in thousands):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74" w:name="page75"/>
    <w:bookmarkEnd w:id="74"/>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2"/>
                <w:szCs w:val="12"/>
                <w:b w:val="1"/>
                <w:bCs w:val="1"/>
                <w:color w:val="auto"/>
              </w:rPr>
              <w:t>December 31,</w:t>
            </w:r>
          </w:p>
        </w:tc>
        <w:tc>
          <w:tcPr>
            <w:tcW w:w="10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1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Deferred tax assets</w:t>
            </w:r>
          </w:p>
        </w:tc>
        <w:tc>
          <w:tcPr>
            <w:tcW w:w="3020" w:type="dxa"/>
            <w:vAlign w:val="bottom"/>
          </w:tcPr>
          <w:p>
            <w:pPr>
              <w:spacing w:after="0"/>
              <w:rPr>
                <w:sz w:val="10"/>
                <w:szCs w:val="10"/>
                <w:color w:val="auto"/>
              </w:rPr>
            </w:pPr>
          </w:p>
        </w:tc>
        <w:tc>
          <w:tcPr>
            <w:tcW w:w="8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b w:val="1"/>
                <w:bCs w:val="1"/>
                <w:color w:val="auto"/>
              </w:rPr>
              <w:t>2020</w:t>
            </w:r>
          </w:p>
        </w:tc>
        <w:tc>
          <w:tcPr>
            <w:tcW w:w="5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44"/>
              <w:spacing w:after="0" w:line="118" w:lineRule="exact"/>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5120" w:type="dxa"/>
            <w:vAlign w:val="bottom"/>
            <w:gridSpan w:val="2"/>
            <w:vMerge w:val="continue"/>
          </w:tcPr>
          <w:p>
            <w:pPr>
              <w:spacing w:after="0"/>
              <w:rPr>
                <w:sz w:val="12"/>
                <w:szCs w:val="12"/>
                <w:color w:val="auto"/>
              </w:rPr>
            </w:pPr>
          </w:p>
        </w:tc>
        <w:tc>
          <w:tcPr>
            <w:tcW w:w="3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Accruals</w:t>
            </w:r>
          </w:p>
        </w:tc>
        <w:tc>
          <w:tcPr>
            <w:tcW w:w="3900" w:type="dxa"/>
            <w:vAlign w:val="bottom"/>
            <w:gridSpan w:val="2"/>
            <w:shd w:val="clear" w:color="auto" w:fill="CCEEFF"/>
          </w:tcPr>
          <w:p>
            <w:pPr>
              <w:jc w:val="right"/>
              <w:ind w:right="759"/>
              <w:spacing w:after="0" w:line="161"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894</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3"/>
              <w:spacing w:after="0" w:line="161"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line="161" w:lineRule="exact"/>
              <w:rPr>
                <w:sz w:val="20"/>
                <w:szCs w:val="20"/>
                <w:color w:val="auto"/>
              </w:rPr>
            </w:pPr>
            <w:r>
              <w:rPr>
                <w:rFonts w:ascii="Arial" w:cs="Arial" w:eastAsia="Arial" w:hAnsi="Arial"/>
                <w:sz w:val="15"/>
                <w:szCs w:val="15"/>
                <w:color w:val="auto"/>
              </w:rPr>
              <w:t>Net operating loss carryforwards</w:t>
            </w:r>
          </w:p>
        </w:tc>
        <w:tc>
          <w:tcPr>
            <w:tcW w:w="3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line="161" w:lineRule="exact"/>
              <w:rPr>
                <w:sz w:val="20"/>
                <w:szCs w:val="20"/>
                <w:color w:val="auto"/>
              </w:rPr>
            </w:pPr>
            <w:r>
              <w:rPr>
                <w:rFonts w:ascii="Arial" w:cs="Arial" w:eastAsia="Arial" w:hAnsi="Arial"/>
                <w:sz w:val="15"/>
                <w:szCs w:val="15"/>
                <w:color w:val="auto"/>
              </w:rPr>
              <w:t>36,531</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5"/>
                <w:szCs w:val="15"/>
                <w:color w:val="auto"/>
              </w:rPr>
              <w:t>20,755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Tax credit carryforwards</w:t>
            </w:r>
          </w:p>
        </w:tc>
        <w:tc>
          <w:tcPr>
            <w:tcW w:w="3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5,431</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4,409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line="161" w:lineRule="exact"/>
              <w:rPr>
                <w:sz w:val="20"/>
                <w:szCs w:val="20"/>
                <w:color w:val="auto"/>
              </w:rPr>
            </w:pPr>
            <w:r>
              <w:rPr>
                <w:rFonts w:ascii="Arial" w:cs="Arial" w:eastAsia="Arial" w:hAnsi="Arial"/>
                <w:sz w:val="15"/>
                <w:szCs w:val="15"/>
                <w:color w:val="auto"/>
              </w:rPr>
              <w:t>Stock-based compensation</w:t>
            </w:r>
          </w:p>
        </w:tc>
        <w:tc>
          <w:tcPr>
            <w:tcW w:w="3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line="161" w:lineRule="exact"/>
              <w:rPr>
                <w:sz w:val="20"/>
                <w:szCs w:val="20"/>
                <w:color w:val="auto"/>
              </w:rPr>
            </w:pPr>
            <w:r>
              <w:rPr>
                <w:rFonts w:ascii="Arial" w:cs="Arial" w:eastAsia="Arial" w:hAnsi="Arial"/>
                <w:sz w:val="15"/>
                <w:szCs w:val="15"/>
                <w:color w:val="auto"/>
              </w:rPr>
              <w:t>9,391</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5"/>
                <w:szCs w:val="15"/>
                <w:color w:val="auto"/>
              </w:rPr>
              <w:t>5,473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Lease liability under ASC 842</w:t>
            </w:r>
          </w:p>
        </w:tc>
        <w:tc>
          <w:tcPr>
            <w:tcW w:w="30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3,339</w:t>
            </w:r>
          </w:p>
        </w:tc>
        <w:tc>
          <w:tcPr>
            <w:tcW w:w="1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1,411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00" w:type="dxa"/>
            <w:vAlign w:val="bottom"/>
          </w:tcPr>
          <w:p>
            <w:pPr>
              <w:spacing w:after="0" w:line="153" w:lineRule="exact"/>
              <w:rPr>
                <w:sz w:val="20"/>
                <w:szCs w:val="20"/>
                <w:color w:val="auto"/>
              </w:rPr>
            </w:pPr>
            <w:r>
              <w:rPr>
                <w:rFonts w:ascii="Arial" w:cs="Arial" w:eastAsia="Arial" w:hAnsi="Arial"/>
                <w:sz w:val="15"/>
                <w:szCs w:val="15"/>
                <w:color w:val="auto"/>
              </w:rPr>
              <w:t>Gross deferred tax assets</w:t>
            </w:r>
          </w:p>
        </w:tc>
        <w:tc>
          <w:tcPr>
            <w:tcW w:w="3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Arial" w:cs="Arial" w:eastAsia="Arial" w:hAnsi="Arial"/>
                <w:sz w:val="15"/>
                <w:szCs w:val="15"/>
                <w:color w:val="auto"/>
              </w:rPr>
              <w:t>55,586</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5"/>
                <w:szCs w:val="15"/>
                <w:color w:val="auto"/>
              </w:rPr>
              <w:t>32,167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Valuation allowance</w:t>
            </w:r>
          </w:p>
        </w:tc>
        <w:tc>
          <w:tcPr>
            <w:tcW w:w="30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(51,973)</w:t>
            </w:r>
          </w:p>
        </w:tc>
        <w:tc>
          <w:tcPr>
            <w:tcW w:w="1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(30,369)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00" w:type="dxa"/>
            <w:vAlign w:val="bottom"/>
          </w:tcPr>
          <w:p>
            <w:pPr>
              <w:spacing w:after="0"/>
              <w:rPr>
                <w:sz w:val="20"/>
                <w:szCs w:val="20"/>
                <w:color w:val="auto"/>
              </w:rPr>
            </w:pPr>
            <w:r>
              <w:rPr>
                <w:rFonts w:ascii="Arial" w:cs="Arial" w:eastAsia="Arial" w:hAnsi="Arial"/>
                <w:sz w:val="15"/>
                <w:szCs w:val="15"/>
                <w:color w:val="auto"/>
              </w:rPr>
              <w:t>Total deferred tax assets</w:t>
            </w:r>
          </w:p>
        </w:tc>
        <w:tc>
          <w:tcPr>
            <w:tcW w:w="3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3,613</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5120" w:type="dxa"/>
            <w:vAlign w:val="bottom"/>
            <w:gridSpan w:val="2"/>
          </w:tcPr>
          <w:p>
            <w:pPr>
              <w:spacing w:after="0"/>
              <w:rPr>
                <w:sz w:val="20"/>
                <w:szCs w:val="20"/>
                <w:color w:val="auto"/>
              </w:rPr>
            </w:pPr>
            <w:r>
              <w:rPr>
                <w:rFonts w:ascii="Arial" w:cs="Arial" w:eastAsia="Arial" w:hAnsi="Arial"/>
                <w:sz w:val="15"/>
                <w:szCs w:val="15"/>
                <w:b w:val="1"/>
                <w:bCs w:val="1"/>
                <w:color w:val="auto"/>
              </w:rPr>
              <w:t>Deferred tax liabilities</w:t>
            </w:r>
          </w:p>
        </w:tc>
        <w:tc>
          <w:tcPr>
            <w:tcW w:w="3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Intangibles</w:t>
            </w:r>
          </w:p>
        </w:tc>
        <w:tc>
          <w:tcPr>
            <w:tcW w:w="3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(486)</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line="161" w:lineRule="exact"/>
              <w:rPr>
                <w:sz w:val="20"/>
                <w:szCs w:val="20"/>
                <w:color w:val="auto"/>
              </w:rPr>
            </w:pPr>
            <w:r>
              <w:rPr>
                <w:rFonts w:ascii="Arial" w:cs="Arial" w:eastAsia="Arial" w:hAnsi="Arial"/>
                <w:sz w:val="15"/>
                <w:szCs w:val="15"/>
                <w:color w:val="auto"/>
              </w:rPr>
              <w:t>ROU asset under ASC 842</w:t>
            </w:r>
          </w:p>
        </w:tc>
        <w:tc>
          <w:tcPr>
            <w:tcW w:w="3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line="161" w:lineRule="exact"/>
              <w:rPr>
                <w:sz w:val="20"/>
                <w:szCs w:val="20"/>
                <w:color w:val="auto"/>
              </w:rPr>
            </w:pPr>
            <w:r>
              <w:rPr>
                <w:rFonts w:ascii="Arial" w:cs="Arial" w:eastAsia="Arial" w:hAnsi="Arial"/>
                <w:sz w:val="15"/>
                <w:szCs w:val="15"/>
                <w:color w:val="auto"/>
              </w:rPr>
              <w:t>(3,096)</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5"/>
                <w:szCs w:val="15"/>
                <w:color w:val="auto"/>
              </w:rPr>
              <w:t>(1,364)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Fixed assets</w:t>
            </w:r>
          </w:p>
        </w:tc>
        <w:tc>
          <w:tcPr>
            <w:tcW w:w="30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(31)</w:t>
            </w:r>
          </w:p>
        </w:tc>
        <w:tc>
          <w:tcPr>
            <w:tcW w:w="1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00" w:type="dxa"/>
            <w:vAlign w:val="bottom"/>
          </w:tcPr>
          <w:p>
            <w:pPr>
              <w:spacing w:after="0" w:line="153" w:lineRule="exact"/>
              <w:rPr>
                <w:sz w:val="20"/>
                <w:szCs w:val="20"/>
                <w:color w:val="auto"/>
              </w:rPr>
            </w:pPr>
            <w:r>
              <w:rPr>
                <w:rFonts w:ascii="Arial" w:cs="Arial" w:eastAsia="Arial" w:hAnsi="Arial"/>
                <w:sz w:val="15"/>
                <w:szCs w:val="15"/>
                <w:color w:val="auto"/>
              </w:rPr>
              <w:t>Total deferred tax liabilities</w:t>
            </w:r>
          </w:p>
        </w:tc>
        <w:tc>
          <w:tcPr>
            <w:tcW w:w="3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Arial" w:cs="Arial" w:eastAsia="Arial" w:hAnsi="Arial"/>
                <w:sz w:val="15"/>
                <w:szCs w:val="15"/>
                <w:color w:val="auto"/>
              </w:rPr>
              <w:t>(3,613)</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5"/>
                <w:szCs w:val="15"/>
                <w:color w:val="auto"/>
              </w:rPr>
              <w:t>(1,798)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510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5100" w:type="dxa"/>
            <w:vAlign w:val="bottom"/>
          </w:tcPr>
          <w:p>
            <w:pPr>
              <w:spacing w:after="0" w:line="161" w:lineRule="exact"/>
              <w:rPr>
                <w:sz w:val="20"/>
                <w:szCs w:val="20"/>
                <w:color w:val="auto"/>
              </w:rPr>
            </w:pPr>
            <w:r>
              <w:rPr>
                <w:rFonts w:ascii="Arial" w:cs="Arial" w:eastAsia="Arial" w:hAnsi="Arial"/>
                <w:sz w:val="15"/>
                <w:szCs w:val="15"/>
                <w:color w:val="auto"/>
              </w:rPr>
              <w:t>Net deferred tax assets/(liabilities)</w:t>
            </w:r>
          </w:p>
        </w:tc>
        <w:tc>
          <w:tcPr>
            <w:tcW w:w="3900" w:type="dxa"/>
            <w:vAlign w:val="bottom"/>
            <w:gridSpan w:val="2"/>
          </w:tcPr>
          <w:p>
            <w:pPr>
              <w:jc w:val="right"/>
              <w:ind w:right="759"/>
              <w:spacing w:after="0" w:line="161"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460" w:type="dxa"/>
            <w:vAlign w:val="bottom"/>
          </w:tcPr>
          <w:p>
            <w:pPr>
              <w:jc w:val="right"/>
              <w:ind w:right="303"/>
              <w:spacing w:after="0" w:line="161"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376"/>
        <w:spacing w:after="0" w:line="291" w:lineRule="auto"/>
        <w:rPr>
          <w:sz w:val="20"/>
          <w:szCs w:val="20"/>
          <w:color w:val="auto"/>
        </w:rPr>
      </w:pPr>
      <w:r>
        <w:rPr>
          <w:rFonts w:ascii="Arial" w:cs="Arial" w:eastAsia="Arial" w:hAnsi="Arial"/>
          <w:sz w:val="14"/>
          <w:szCs w:val="14"/>
          <w:color w:val="auto"/>
        </w:rPr>
        <w:t>The Company's unrecognized tax benefits as of December 31, 2020, 2019, and 2018 were $2.5 million, $1.5 million, and $0.9 million, respectively. If recognized, none of the unrecognized tax benefits would impact income tax expense to the extent that the Company continues to maintain a full valuation allowance against its deferred tax assets.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 reconciliation of the beginning and ending amounts of unrecognized tax benefit is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1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9"/>
              <w:spacing w:after="0"/>
              <w:rPr>
                <w:sz w:val="20"/>
                <w:szCs w:val="20"/>
                <w:color w:val="auto"/>
              </w:rPr>
            </w:pPr>
            <w:r>
              <w:rPr>
                <w:rFonts w:ascii="Arial" w:cs="Arial" w:eastAsia="Arial" w:hAnsi="Arial"/>
                <w:sz w:val="12"/>
                <w:szCs w:val="12"/>
                <w:b w:val="1"/>
                <w:bCs w:val="1"/>
                <w:color w:val="auto"/>
              </w:rPr>
              <w:t>December 31,</w:t>
            </w: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118"/>
        </w:trPr>
        <w:tc>
          <w:tcPr>
            <w:tcW w:w="712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49"/>
              <w:spacing w:after="0" w:line="118"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47"/>
              <w:spacing w:after="0" w:line="118" w:lineRule="exact"/>
              <w:rPr>
                <w:sz w:val="20"/>
                <w:szCs w:val="20"/>
                <w:color w:val="auto"/>
              </w:rPr>
            </w:pPr>
            <w:r>
              <w:rPr>
                <w:rFonts w:ascii="Arial" w:cs="Arial" w:eastAsia="Arial" w:hAnsi="Arial"/>
                <w:sz w:val="12"/>
                <w:szCs w:val="12"/>
                <w:b w:val="1"/>
                <w:bCs w:val="1"/>
                <w:color w:val="auto"/>
              </w:rPr>
              <w:t>2018</w:t>
            </w:r>
          </w:p>
        </w:tc>
      </w:tr>
      <w:tr>
        <w:trPr>
          <w:trHeight w:val="153"/>
        </w:trPr>
        <w:tc>
          <w:tcPr>
            <w:tcW w:w="712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Unrecognized tax benefits at beginning of year</w:t>
            </w:r>
          </w:p>
        </w:tc>
        <w:tc>
          <w:tcPr>
            <w:tcW w:w="820" w:type="dxa"/>
            <w:vAlign w:val="bottom"/>
            <w:shd w:val="clear" w:color="auto" w:fill="CCEEFF"/>
          </w:tcPr>
          <w:p>
            <w:pPr>
              <w:jc w:val="right"/>
              <w:ind w:right="668"/>
              <w:spacing w:after="0" w:line="153" w:lineRule="exact"/>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1,470</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3"/>
              <w:spacing w:after="0" w:line="153"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877</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512</w:t>
            </w:r>
          </w:p>
        </w:tc>
      </w:tr>
      <w:tr>
        <w:trPr>
          <w:trHeight w:val="161"/>
        </w:trPr>
        <w:tc>
          <w:tcPr>
            <w:tcW w:w="712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color w:val="auto"/>
              </w:rPr>
              <w:t>Increases related to current year tax positions</w:t>
            </w:r>
          </w:p>
        </w:tc>
        <w:tc>
          <w:tcPr>
            <w:tcW w:w="8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1,021</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593</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365</w:t>
            </w:r>
          </w:p>
        </w:tc>
      </w:tr>
      <w:tr>
        <w:trPr>
          <w:trHeight w:val="153"/>
        </w:trPr>
        <w:tc>
          <w:tcPr>
            <w:tcW w:w="7120" w:type="dxa"/>
            <w:vAlign w:val="bottom"/>
            <w:tcBorders>
              <w:bottom w:val="single" w:sz="8" w:color="CCEEFF"/>
            </w:tcBorders>
            <w:shd w:val="clear" w:color="auto" w:fill="CCEEFF"/>
          </w:tcPr>
          <w:p>
            <w:pPr>
              <w:spacing w:after="0" w:line="153" w:lineRule="exact"/>
              <w:rPr>
                <w:sz w:val="20"/>
                <w:szCs w:val="20"/>
                <w:color w:val="auto"/>
              </w:rPr>
            </w:pPr>
            <w:r>
              <w:rPr>
                <w:rFonts w:ascii="Arial" w:cs="Arial" w:eastAsia="Arial" w:hAnsi="Arial"/>
                <w:sz w:val="15"/>
                <w:szCs w:val="15"/>
                <w:color w:val="auto"/>
              </w:rPr>
              <w:t>Unrecognized tax benefits at end of year</w:t>
            </w:r>
          </w:p>
        </w:tc>
        <w:tc>
          <w:tcPr>
            <w:tcW w:w="820" w:type="dxa"/>
            <w:vAlign w:val="bottom"/>
            <w:tcBorders>
              <w:bottom w:val="single" w:sz="8" w:color="auto"/>
            </w:tcBorders>
            <w:shd w:val="clear" w:color="auto" w:fill="CCEEFF"/>
          </w:tcPr>
          <w:p>
            <w:pPr>
              <w:jc w:val="right"/>
              <w:ind w:right="668"/>
              <w:spacing w:after="0" w:line="153" w:lineRule="exact"/>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2,491</w:t>
            </w: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3"/>
              <w:spacing w:after="0" w:line="153"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1,470</w:t>
            </w:r>
          </w:p>
        </w:tc>
        <w:tc>
          <w:tcPr>
            <w:tcW w:w="1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43"/>
              <w:spacing w:after="0" w:line="153"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877</w:t>
            </w:r>
          </w:p>
        </w:tc>
      </w:tr>
      <w:tr>
        <w:trPr>
          <w:trHeight w:val="20"/>
        </w:trPr>
        <w:tc>
          <w:tcPr>
            <w:tcW w:w="7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376"/>
        <w:spacing w:after="0" w:line="291" w:lineRule="auto"/>
        <w:rPr>
          <w:sz w:val="20"/>
          <w:szCs w:val="20"/>
          <w:color w:val="auto"/>
        </w:rPr>
      </w:pPr>
      <w:r>
        <w:rPr>
          <w:rFonts w:ascii="Arial" w:cs="Arial" w:eastAsia="Arial" w:hAnsi="Arial"/>
          <w:sz w:val="14"/>
          <w:szCs w:val="14"/>
          <w:color w:val="auto"/>
        </w:rPr>
        <w:t>The Company’s policy is to recognize interest and penalties related to income taxes as components of interest expense and other expense, respectively. The Company did not accrue interest and penalties related to unrecognized tax benefits as of December 31, 2020 and does not anticipate any significant change within twelve months of this reporting date.</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Company's valuation allowance increased by $21.6 million in the year ended December 31, 2020 and increased by $7.7 million in the year ended December 31, 2019.</w:t>
      </w:r>
    </w:p>
    <w:p>
      <w:pPr>
        <w:spacing w:after="0" w:line="162" w:lineRule="exact"/>
        <w:rPr>
          <w:sz w:val="20"/>
          <w:szCs w:val="20"/>
          <w:color w:val="auto"/>
        </w:rPr>
      </w:pPr>
    </w:p>
    <w:p>
      <w:pPr>
        <w:jc w:val="both"/>
        <w:ind w:firstLine="376"/>
        <w:spacing w:after="0" w:line="291" w:lineRule="auto"/>
        <w:rPr>
          <w:sz w:val="20"/>
          <w:szCs w:val="20"/>
          <w:color w:val="auto"/>
        </w:rPr>
      </w:pPr>
      <w:r>
        <w:rPr>
          <w:rFonts w:ascii="Arial" w:cs="Arial" w:eastAsia="Arial" w:hAnsi="Arial"/>
          <w:sz w:val="14"/>
          <w:szCs w:val="14"/>
          <w:color w:val="auto"/>
        </w:rPr>
        <w:t>As of December 31, 2020, the Company had federal and state net operating loss carryforwards of $125 million and $117 million, respectively, which begin to expire in 2034. Of the total federal net operating loss (NOL) carryforward of $125 million, approximately $99 million is carried forward indefinitely but is limited to 80% of the taxable income.</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December 31, 2020, the Company had approximately $4.2 million and $3.8 million of U.S. federal and California research and development (R&amp;D) credits, respectively.</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The federal R&amp;D credits begin to expire after 2035 and the California R&amp;D credits have an indefinite carryforward period.</w:t>
      </w:r>
    </w:p>
    <w:p>
      <w:pPr>
        <w:spacing w:after="0" w:line="138"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The Company is subject to taxation in the United States for Federal and State. All jurisdictions and tax years currently remain open for IRS and state taxing authorities’ examination. As of December 31, 2020, the Company was not under examination by the Internal Revenue Service or any state tax jurisdiction.</w:t>
      </w:r>
    </w:p>
    <w:p>
      <w:pPr>
        <w:spacing w:after="0" w:line="129" w:lineRule="exact"/>
        <w:rPr>
          <w:sz w:val="20"/>
          <w:szCs w:val="20"/>
          <w:color w:val="auto"/>
        </w:rPr>
      </w:pPr>
    </w:p>
    <w:p>
      <w:pPr>
        <w:jc w:val="both"/>
        <w:ind w:firstLine="376"/>
        <w:spacing w:after="0"/>
        <w:rPr>
          <w:sz w:val="20"/>
          <w:szCs w:val="20"/>
          <w:color w:val="auto"/>
        </w:rPr>
      </w:pPr>
      <w:r>
        <w:rPr>
          <w:rFonts w:ascii="Arial" w:cs="Arial" w:eastAsia="Arial" w:hAnsi="Arial"/>
          <w:sz w:val="15"/>
          <w:szCs w:val="15"/>
          <w:color w:val="auto"/>
        </w:rPr>
        <w:t>Internal Revenue Code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The Company is not aware of any ownership changes in this financial period ending on December 31, 2020.</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75" w:name="page76"/>
    <w:bookmarkEnd w:id="75"/>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jc w:val="both"/>
        <w:ind w:right="20"/>
        <w:spacing w:after="0" w:line="257" w:lineRule="auto"/>
        <w:rPr>
          <w:sz w:val="20"/>
          <w:szCs w:val="20"/>
          <w:color w:val="auto"/>
        </w:rPr>
      </w:pPr>
      <w:r>
        <w:rPr>
          <w:rFonts w:ascii="Arial" w:cs="Arial" w:eastAsia="Arial" w:hAnsi="Arial"/>
          <w:sz w:val="14"/>
          <w:szCs w:val="14"/>
          <w:color w:val="auto"/>
        </w:rPr>
        <w:t>The Coronavirus Aid, Relief, and Economic Security Act (CARES Act) was enacted on March 27, 2020 in the U.S. The CARES Act and related notices include several significant provisions, including delaying certain payroll tax payments, mandatory transition tax payments under the Tax Cut and Jobs Act, and estimated income tax payments that the Company is deferring to future periods. The Consolidated Appropriations Act (CAA) was also enacted on December 27, 2020 to provide further relief measures and renew various expiring tax provisions. The CARES Act and CAA are not expected to have a significant impact on the Company’s effective tax rate, cash expense, or net deferred tax assets.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Related Party Transactions</w:t>
      </w:r>
    </w:p>
    <w:p>
      <w:pPr>
        <w:spacing w:after="0" w:line="154"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4"/>
          <w:szCs w:val="14"/>
          <w:color w:val="auto"/>
        </w:rPr>
        <w:t>Kenneth A. Clark, a director of the Company since November 2017, is a member of the law firm of Wilson Sonsini Goodrich and Rosati (WSGR), which also serves as the outside corporate counsel to the Company. During the years ended December 31, 2020, 2019 and 2018, the Company incurred expenses reported in general and administrative expenses in the consolidated statement of operations for legal services rendered by WSGR totaling approximately $0.8 million, $0.5 million and $1.2 million, respectively. During the year ended December 31, 2020, the Company capitalized approximately $0.4 million for legal expenses incurred in connection with the 2020 rights offering. During the year ended December 31, 2018, the Company capitalized approximately $0.1 million for legal expenses incurred in connection with the 2018 rights offering (Note 6).</w:t>
      </w:r>
    </w:p>
    <w:p>
      <w:pPr>
        <w:spacing w:after="0" w:line="120" w:lineRule="exact"/>
        <w:rPr>
          <w:sz w:val="20"/>
          <w:szCs w:val="20"/>
          <w:color w:val="auto"/>
        </w:rPr>
      </w:pPr>
    </w:p>
    <w:p>
      <w:pPr>
        <w:jc w:val="both"/>
        <w:ind w:firstLine="376"/>
        <w:spacing w:after="0" w:line="236" w:lineRule="auto"/>
        <w:rPr>
          <w:sz w:val="20"/>
          <w:szCs w:val="20"/>
          <w:color w:val="auto"/>
        </w:rPr>
      </w:pPr>
      <w:r>
        <w:rPr>
          <w:rFonts w:ascii="Arial" w:cs="Arial" w:eastAsia="Arial" w:hAnsi="Arial"/>
          <w:sz w:val="15"/>
          <w:szCs w:val="15"/>
          <w:color w:val="auto"/>
        </w:rPr>
        <w:t>During December 2018, the Company completed a rights offering pursuant to which it sold an aggregate of 3,581,148 shares of its common stock, par value $0.001 per share, at a price per share of $12.57, for net proceeds of approximately $44.8 million. At the time of transaction, Robert W. Duggan, the Company’s Chairman of the Board of Directors and the beneficial owner of approximately 35% of the Company’s then outstanding common stock prior to the rights offering. Mr. Duggan purchased an aggregate of 3,146,226 shares of common stock which increased his beneficial ownership to approximately 43% of the Company’s outstanding stock at the time.</w:t>
      </w:r>
    </w:p>
    <w:p>
      <w:pPr>
        <w:spacing w:after="0" w:line="129"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During June 2020, the Company completed a rights offering to purchase up to $30 million of units, each unit consisting of one share of the Company’s common stock, par value $0.001 per share, and 0.15 warrants to purchase shares of common stock at a price of $7.01 per Unit. A total of 4,279,600 shares of its common stock, par value $0.001 per share, and 641,571 warrants were issued and sold in the 2020 Rights Offering for net proceeds of $29.4 million. Robert W. Duggan, the Company’s Chairman of the Board of Directors and the beneficial owner of approximately 43% of the Company’s outstanding common stock prior to the 2020 Rights Offering, participated in the 2020 Rights Offering and purchased an aggregate of 2,561,873 Units. After giving effect to the 2020 Rights Offering, Mr. Duggan was the beneficial owner of approximately 47% of the Company’s outstanding stock as of December 31, 2020.</w:t>
      </w:r>
    </w:p>
    <w:p>
      <w:pPr>
        <w:spacing w:after="0" w:line="129" w:lineRule="exact"/>
        <w:rPr>
          <w:sz w:val="20"/>
          <w:szCs w:val="20"/>
          <w:color w:val="auto"/>
        </w:rPr>
      </w:pPr>
    </w:p>
    <w:p>
      <w:pPr>
        <w:jc w:val="both"/>
        <w:ind w:right="20" w:firstLine="376"/>
        <w:spacing w:after="0" w:line="250" w:lineRule="auto"/>
        <w:rPr>
          <w:sz w:val="20"/>
          <w:szCs w:val="20"/>
          <w:color w:val="auto"/>
        </w:rPr>
      </w:pPr>
      <w:r>
        <w:rPr>
          <w:rFonts w:ascii="Arial" w:cs="Arial" w:eastAsia="Arial" w:hAnsi="Arial"/>
          <w:sz w:val="14"/>
          <w:szCs w:val="14"/>
          <w:color w:val="auto"/>
        </w:rPr>
        <w:t>The Company determined not to renew its director and officer liability insurance policies due to disproportionately high premiums quoted by insurance companies. Instead, Robert W. Duggan and the Company entered into a letter agreement, dated May 12, 2020 (the Letter Agreement), pursuant to which Mr. Duggan agreed with the Company to personally provide indemnity coverage on substantially the same terms as the Company’s prior coverage program for a one-year period, and has deposited $30 million of cash as security for such obligations. The Company will pay a fee of $2.5 million to Mr. Duggan that shall be due on May 13, 2021, the last day of the one-year period, in consideration of the obligations set forth in the Letter Agreement. The other members of the Board are third-party beneficiaries under the Agreement. As of December 31, 2020, the amount owed to Mr. Duggan under the Letter Agreement was $1.6 million, recorded in the balance sheet under Accrued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Commitments and Contingencies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Operating Leases</w:t>
      </w:r>
    </w:p>
    <w:p>
      <w:pPr>
        <w:spacing w:after="0" w:line="150"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5"/>
          <w:szCs w:val="15"/>
          <w:color w:val="auto"/>
        </w:rPr>
        <w:t>During January 2017, the Company entered into a five-year lease (the Existing Lease) for approximately 15,700 square feet for its corporate headquarters located in Hayward, California. The lease commenced during July 2017.</w:t>
      </w:r>
    </w:p>
    <w:p>
      <w:pPr>
        <w:spacing w:after="0" w:line="118" w:lineRule="exact"/>
        <w:rPr>
          <w:sz w:val="20"/>
          <w:szCs w:val="20"/>
          <w:color w:val="auto"/>
        </w:rPr>
      </w:pPr>
    </w:p>
    <w:p>
      <w:pPr>
        <w:jc w:val="both"/>
        <w:ind w:right="20" w:firstLine="376"/>
        <w:spacing w:after="0"/>
        <w:rPr>
          <w:sz w:val="20"/>
          <w:szCs w:val="20"/>
          <w:color w:val="auto"/>
        </w:rPr>
      </w:pPr>
      <w:r>
        <w:rPr>
          <w:rFonts w:ascii="Arial" w:cs="Arial" w:eastAsia="Arial" w:hAnsi="Arial"/>
          <w:sz w:val="15"/>
          <w:szCs w:val="15"/>
          <w:color w:val="auto"/>
        </w:rPr>
        <w:t>During May 2019, the Company entered into Lease Amendment 1 (the Amendment) in relation to the Existing Lease and added the lease of new premises of approximately 13,300 square feet and 21,300 square feet, (Expansion Premises 1 and Expansion Premises 2, respectively). Additionally, the term of the Existing Lease was extended to be coterminous with Expansion Premises 1 and Expansion Premises 2, effective October 2029.</w:t>
      </w:r>
    </w:p>
    <w:p>
      <w:pPr>
        <w:spacing w:after="0" w:line="128" w:lineRule="exact"/>
        <w:rPr>
          <w:sz w:val="20"/>
          <w:szCs w:val="20"/>
          <w:color w:val="auto"/>
        </w:rPr>
      </w:pPr>
    </w:p>
    <w:p>
      <w:pPr>
        <w:jc w:val="both"/>
        <w:ind w:firstLine="376"/>
        <w:spacing w:after="0" w:line="265" w:lineRule="auto"/>
        <w:rPr>
          <w:sz w:val="20"/>
          <w:szCs w:val="20"/>
          <w:color w:val="auto"/>
        </w:rPr>
      </w:pPr>
      <w:r>
        <w:rPr>
          <w:rFonts w:ascii="Arial" w:cs="Arial" w:eastAsia="Arial" w:hAnsi="Arial"/>
          <w:sz w:val="14"/>
          <w:szCs w:val="14"/>
          <w:color w:val="auto"/>
        </w:rPr>
        <w:t>The Company evaluated the lease amendment under the provisions of ASC 842. It concluded that the Amendment would be accounted for as a single contract with the Existing Lease because the additional lease payments due to the Amendment was not commensurate with ROU asset granted to the Company. Though the Amendment was accounted for as a single contract, the Existing Premises, Expansion Premises 1 (occupied in November 2019) and Expansion Premises 2 (occupied in May 2020)</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76" w:name="page77"/>
    <w:bookmarkEnd w:id="76"/>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are accounted for as separate lease components. Accordingly, the Company measured and allocated consideration to each lease component as of the modification date.</w:t>
      </w:r>
    </w:p>
    <w:p>
      <w:pPr>
        <w:spacing w:after="0" w:line="15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4"/>
          <w:szCs w:val="14"/>
          <w:color w:val="auto"/>
        </w:rPr>
        <w:t>Upon commencement of each lease component, the Company reassessed and calculated the lease liability and ROU asset for the respective component. As a result, at the modification date, the Company remeasured its existing lease liability and recorded an additional ROU asset and lease liability of $2.0 million. The Company also recorded an additional ROU asset and lease liability of $3.0 million and $4.8 million at the commencement of Expansion Premises 1 in November 2019 and Expansion Premises 2 in May 2020, respectively. At December 31, 2020, total ROU assets and lease lability including the impact of ASC 842 adoption, was approximately $9.4 million and $11.4 million, respectively.</w:t>
      </w:r>
    </w:p>
    <w:p>
      <w:pPr>
        <w:spacing w:after="0" w:line="117"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During the years ended December 31, 2020, 2019 and 2018, rent expense, including common area maintenance charges, was $1.7 million, $0.5 million and $0.2 million, respectively.</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Information related to the Company's ROU assets and related lease liabilities were as follows (in thousands except for remaining lease term and discount rate):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60" w:type="dxa"/>
            <w:vAlign w:val="bottom"/>
          </w:tcPr>
          <w:p>
            <w:pPr>
              <w:spacing w:after="0"/>
              <w:rPr>
                <w:sz w:val="20"/>
                <w:szCs w:val="20"/>
                <w:color w:val="auto"/>
              </w:rPr>
            </w:pPr>
            <w:r>
              <w:rPr>
                <w:rFonts w:ascii="Arial" w:cs="Arial" w:eastAsia="Arial" w:hAnsi="Arial"/>
                <w:sz w:val="15"/>
                <w:szCs w:val="15"/>
                <w:color w:val="auto"/>
              </w:rPr>
              <w:t>Year ending December 31:</w:t>
            </w: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1"/>
        </w:trPr>
        <w:tc>
          <w:tcPr>
            <w:tcW w:w="93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2021</w:t>
            </w:r>
          </w:p>
        </w:tc>
        <w:tc>
          <w:tcPr>
            <w:tcW w:w="740" w:type="dxa"/>
            <w:vAlign w:val="bottom"/>
            <w:shd w:val="clear" w:color="auto" w:fill="CCEEFF"/>
          </w:tcPr>
          <w:p>
            <w:pPr>
              <w:jc w:val="right"/>
              <w:ind w:right="583"/>
              <w:spacing w:after="0" w:line="161" w:lineRule="exact"/>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1,643</w:t>
            </w:r>
          </w:p>
        </w:tc>
      </w:tr>
      <w:tr>
        <w:trPr>
          <w:trHeight w:val="161"/>
        </w:trPr>
        <w:tc>
          <w:tcPr>
            <w:tcW w:w="9360" w:type="dxa"/>
            <w:vAlign w:val="bottom"/>
          </w:tcPr>
          <w:p>
            <w:pPr>
              <w:spacing w:after="0" w:line="161" w:lineRule="exact"/>
              <w:rPr>
                <w:sz w:val="20"/>
                <w:szCs w:val="20"/>
                <w:color w:val="auto"/>
              </w:rPr>
            </w:pPr>
            <w:r>
              <w:rPr>
                <w:rFonts w:ascii="Arial" w:cs="Arial" w:eastAsia="Arial" w:hAnsi="Arial"/>
                <w:sz w:val="15"/>
                <w:szCs w:val="15"/>
                <w:color w:val="auto"/>
              </w:rPr>
              <w:t>2022</w:t>
            </w:r>
          </w:p>
        </w:tc>
        <w:tc>
          <w:tcPr>
            <w:tcW w:w="740" w:type="dxa"/>
            <w:vAlign w:val="bottom"/>
          </w:tcPr>
          <w:p>
            <w:pPr>
              <w:spacing w:after="0"/>
              <w:rPr>
                <w:sz w:val="14"/>
                <w:szCs w:val="14"/>
                <w:color w:val="auto"/>
              </w:rPr>
            </w:pPr>
          </w:p>
        </w:tc>
        <w:tc>
          <w:tcPr>
            <w:tcW w:w="1160" w:type="dxa"/>
            <w:vAlign w:val="bottom"/>
          </w:tcPr>
          <w:p>
            <w:pPr>
              <w:jc w:val="right"/>
              <w:spacing w:after="0" w:line="161" w:lineRule="exact"/>
              <w:rPr>
                <w:sz w:val="20"/>
                <w:szCs w:val="20"/>
                <w:color w:val="auto"/>
              </w:rPr>
            </w:pPr>
            <w:r>
              <w:rPr>
                <w:rFonts w:ascii="Arial" w:cs="Arial" w:eastAsia="Arial" w:hAnsi="Arial"/>
                <w:sz w:val="15"/>
                <w:szCs w:val="15"/>
                <w:color w:val="auto"/>
              </w:rPr>
              <w:t>1,806</w:t>
            </w:r>
          </w:p>
        </w:tc>
      </w:tr>
      <w:tr>
        <w:trPr>
          <w:trHeight w:val="161"/>
        </w:trPr>
        <w:tc>
          <w:tcPr>
            <w:tcW w:w="93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2023</w:t>
            </w:r>
          </w:p>
        </w:tc>
        <w:tc>
          <w:tcPr>
            <w:tcW w:w="7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1,845</w:t>
            </w:r>
          </w:p>
        </w:tc>
      </w:tr>
      <w:tr>
        <w:trPr>
          <w:trHeight w:val="161"/>
        </w:trPr>
        <w:tc>
          <w:tcPr>
            <w:tcW w:w="9360" w:type="dxa"/>
            <w:vAlign w:val="bottom"/>
          </w:tcPr>
          <w:p>
            <w:pPr>
              <w:spacing w:after="0" w:line="161" w:lineRule="exact"/>
              <w:rPr>
                <w:sz w:val="20"/>
                <w:szCs w:val="20"/>
                <w:color w:val="auto"/>
              </w:rPr>
            </w:pPr>
            <w:r>
              <w:rPr>
                <w:rFonts w:ascii="Arial" w:cs="Arial" w:eastAsia="Arial" w:hAnsi="Arial"/>
                <w:sz w:val="15"/>
                <w:szCs w:val="15"/>
                <w:color w:val="auto"/>
              </w:rPr>
              <w:t>2024</w:t>
            </w:r>
          </w:p>
        </w:tc>
        <w:tc>
          <w:tcPr>
            <w:tcW w:w="740" w:type="dxa"/>
            <w:vAlign w:val="bottom"/>
          </w:tcPr>
          <w:p>
            <w:pPr>
              <w:spacing w:after="0"/>
              <w:rPr>
                <w:sz w:val="14"/>
                <w:szCs w:val="14"/>
                <w:color w:val="auto"/>
              </w:rPr>
            </w:pPr>
          </w:p>
        </w:tc>
        <w:tc>
          <w:tcPr>
            <w:tcW w:w="1160" w:type="dxa"/>
            <w:vAlign w:val="bottom"/>
          </w:tcPr>
          <w:p>
            <w:pPr>
              <w:jc w:val="right"/>
              <w:spacing w:after="0" w:line="161" w:lineRule="exact"/>
              <w:rPr>
                <w:sz w:val="20"/>
                <w:szCs w:val="20"/>
                <w:color w:val="auto"/>
              </w:rPr>
            </w:pPr>
            <w:r>
              <w:rPr>
                <w:rFonts w:ascii="Arial" w:cs="Arial" w:eastAsia="Arial" w:hAnsi="Arial"/>
                <w:sz w:val="15"/>
                <w:szCs w:val="15"/>
                <w:color w:val="auto"/>
              </w:rPr>
              <w:t>1,910</w:t>
            </w:r>
          </w:p>
        </w:tc>
      </w:tr>
      <w:tr>
        <w:trPr>
          <w:trHeight w:val="161"/>
        </w:trPr>
        <w:tc>
          <w:tcPr>
            <w:tcW w:w="93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Thereafter</w:t>
            </w:r>
          </w:p>
        </w:tc>
        <w:tc>
          <w:tcPr>
            <w:tcW w:w="7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10,214</w:t>
            </w:r>
          </w:p>
        </w:tc>
      </w:tr>
      <w:tr>
        <w:trPr>
          <w:trHeight w:val="153"/>
        </w:trPr>
        <w:tc>
          <w:tcPr>
            <w:tcW w:w="9360" w:type="dxa"/>
            <w:vAlign w:val="bottom"/>
          </w:tcPr>
          <w:p>
            <w:pPr>
              <w:spacing w:after="0" w:line="153" w:lineRule="exact"/>
              <w:rPr>
                <w:sz w:val="20"/>
                <w:szCs w:val="20"/>
                <w:color w:val="auto"/>
              </w:rPr>
            </w:pPr>
            <w:r>
              <w:rPr>
                <w:rFonts w:ascii="Arial" w:cs="Arial" w:eastAsia="Arial" w:hAnsi="Arial"/>
                <w:sz w:val="15"/>
                <w:szCs w:val="15"/>
                <w:color w:val="auto"/>
              </w:rPr>
              <w:t>Total lease payments</w:t>
            </w:r>
          </w:p>
        </w:tc>
        <w:tc>
          <w:tcPr>
            <w:tcW w:w="74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Arial" w:cs="Arial" w:eastAsia="Arial" w:hAnsi="Arial"/>
                <w:sz w:val="15"/>
                <w:szCs w:val="15"/>
                <w:color w:val="auto"/>
              </w:rPr>
              <w:t>17,418</w:t>
            </w:r>
          </w:p>
        </w:tc>
      </w:tr>
      <w:tr>
        <w:trPr>
          <w:trHeight w:val="161"/>
        </w:trPr>
        <w:tc>
          <w:tcPr>
            <w:tcW w:w="93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Less imputed interest</w:t>
            </w:r>
          </w:p>
        </w:tc>
        <w:tc>
          <w:tcPr>
            <w:tcW w:w="7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(6,062)</w:t>
            </w:r>
          </w:p>
        </w:tc>
      </w:tr>
      <w:tr>
        <w:trPr>
          <w:trHeight w:val="153"/>
        </w:trPr>
        <w:tc>
          <w:tcPr>
            <w:tcW w:w="9360" w:type="dxa"/>
            <w:vAlign w:val="bottom"/>
          </w:tcPr>
          <w:p>
            <w:pPr>
              <w:spacing w:after="0" w:line="153" w:lineRule="exact"/>
              <w:rPr>
                <w:sz w:val="20"/>
                <w:szCs w:val="20"/>
                <w:color w:val="auto"/>
              </w:rPr>
            </w:pPr>
            <w:r>
              <w:rPr>
                <w:rFonts w:ascii="Arial" w:cs="Arial" w:eastAsia="Arial" w:hAnsi="Arial"/>
                <w:sz w:val="15"/>
                <w:szCs w:val="15"/>
                <w:color w:val="auto"/>
              </w:rPr>
              <w:t>Total lease liabilities</w:t>
            </w:r>
          </w:p>
        </w:tc>
        <w:tc>
          <w:tcPr>
            <w:tcW w:w="740" w:type="dxa"/>
            <w:vAlign w:val="bottom"/>
            <w:tcBorders>
              <w:bottom w:val="single" w:sz="8" w:color="auto"/>
            </w:tcBorders>
          </w:tcPr>
          <w:p>
            <w:pPr>
              <w:jc w:val="right"/>
              <w:ind w:right="583"/>
              <w:spacing w:after="0" w:line="153"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11,356</w:t>
            </w:r>
          </w:p>
        </w:tc>
      </w:tr>
      <w:tr>
        <w:trPr>
          <w:trHeight w:val="20"/>
        </w:trPr>
        <w:tc>
          <w:tcPr>
            <w:tcW w:w="9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ectPr>
          <w:pgSz w:w="11900" w:h="16838" w:orient="portrait"/>
          <w:cols w:equalWidth="0" w:num="1">
            <w:col w:w="11260"/>
          </w:cols>
          <w:pgMar w:left="320" w:top="111" w:right="319" w:bottom="1440" w:gutter="0" w:footer="0" w:header="0"/>
        </w:sectPr>
      </w:pPr>
    </w:p>
    <w:p>
      <w:pPr>
        <w:spacing w:after="0"/>
        <w:rPr>
          <w:sz w:val="20"/>
          <w:szCs w:val="20"/>
          <w:color w:val="auto"/>
        </w:rPr>
      </w:pPr>
      <w:r>
        <w:rPr>
          <w:rFonts w:ascii="Arial" w:cs="Arial" w:eastAsia="Arial" w:hAnsi="Arial"/>
          <w:sz w:val="15"/>
          <w:szCs w:val="15"/>
          <w:b w:val="1"/>
          <w:bCs w:val="1"/>
          <w:color w:val="auto"/>
        </w:rPr>
        <w:t>Other supplemental non-cash information:</w:t>
      </w:r>
    </w:p>
    <w:p>
      <w:pPr>
        <w:spacing w:after="0" w:line="231" w:lineRule="auto"/>
        <w:rPr>
          <w:sz w:val="20"/>
          <w:szCs w:val="20"/>
          <w:color w:val="auto"/>
        </w:rPr>
      </w:pPr>
      <w:r>
        <w:rPr>
          <w:rFonts w:ascii="Arial" w:cs="Arial" w:eastAsia="Arial" w:hAnsi="Arial"/>
          <w:sz w:val="15"/>
          <w:szCs w:val="15"/>
          <w:color w:val="auto"/>
        </w:rPr>
        <w:t>Cash paid for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52640" cy="1022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2640" cy="10223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Operating lease liabilities arising from ROU assets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52640" cy="1022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2640" cy="10223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52640" cy="1168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2640" cy="11684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5"/>
          <w:szCs w:val="15"/>
          <w:color w:val="auto"/>
        </w:rPr>
        <w:t>Total lease liabilities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Weighted-average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52640" cy="1022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2640" cy="10223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Weighted-average discount rate</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Indemnification</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40" w:type="dxa"/>
            <w:vAlign w:val="bottom"/>
          </w:tcPr>
          <w:p>
            <w:pPr>
              <w:jc w:val="right"/>
              <w:ind w:right="58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1,045</w:t>
            </w:r>
          </w:p>
        </w:tc>
      </w:tr>
      <w:tr>
        <w:trPr>
          <w:trHeight w:val="195"/>
        </w:trPr>
        <w:tc>
          <w:tcPr>
            <w:tcW w:w="740" w:type="dxa"/>
            <w:vAlign w:val="bottom"/>
          </w:tcPr>
          <w:p>
            <w:pPr>
              <w:jc w:val="right"/>
              <w:ind w:right="58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4,833</w:t>
            </w:r>
          </w:p>
        </w:tc>
      </w:tr>
      <w:tr>
        <w:trPr>
          <w:trHeight w:val="289"/>
        </w:trPr>
        <w:tc>
          <w:tcPr>
            <w:tcW w:w="7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542</w:t>
            </w:r>
          </w:p>
        </w:tc>
      </w:tr>
      <w:tr>
        <w:trPr>
          <w:trHeight w:val="184"/>
        </w:trPr>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10,814</w:t>
            </w:r>
          </w:p>
        </w:tc>
      </w:tr>
      <w:tr>
        <w:trPr>
          <w:trHeight w:val="153"/>
        </w:trPr>
        <w:tc>
          <w:tcPr>
            <w:tcW w:w="740" w:type="dxa"/>
            <w:vAlign w:val="bottom"/>
            <w:tcBorders>
              <w:bottom w:val="single" w:sz="8" w:color="auto"/>
            </w:tcBorders>
          </w:tcPr>
          <w:p>
            <w:pPr>
              <w:jc w:val="right"/>
              <w:ind w:right="583"/>
              <w:spacing w:after="0" w:line="153"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11,356</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75"/>
        </w:trPr>
        <w:tc>
          <w:tcPr>
            <w:tcW w:w="7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8.83</w:t>
            </w:r>
          </w:p>
        </w:tc>
      </w:tr>
      <w:tr>
        <w:trPr>
          <w:trHeight w:val="195"/>
        </w:trPr>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w:t>
            </w:r>
          </w:p>
        </w:tc>
      </w:tr>
    </w:tbl>
    <w:p>
      <w:pPr>
        <w:spacing w:after="0" w:line="450" w:lineRule="exact"/>
        <w:rPr>
          <w:sz w:val="20"/>
          <w:szCs w:val="20"/>
          <w:color w:val="auto"/>
        </w:rPr>
      </w:pPr>
    </w:p>
    <w:p>
      <w:pPr>
        <w:sectPr>
          <w:pgSz w:w="11900" w:h="16838" w:orient="portrait"/>
          <w:cols w:equalWidth="0" w:num="2">
            <w:col w:w="8640" w:space="720"/>
            <w:col w:w="1900"/>
          </w:cols>
          <w:pgMar w:left="320" w:top="111" w:right="319" w:bottom="1440" w:gutter="0" w:footer="0" w:header="0"/>
          <w:type w:val="continuous"/>
        </w:sectPr>
      </w:pPr>
    </w:p>
    <w:p>
      <w:pPr>
        <w:jc w:val="both"/>
        <w:ind w:firstLine="376"/>
        <w:spacing w:after="0" w:line="255" w:lineRule="auto"/>
        <w:rPr>
          <w:sz w:val="20"/>
          <w:szCs w:val="20"/>
          <w:color w:val="auto"/>
        </w:rPr>
      </w:pPr>
      <w:r>
        <w:rPr>
          <w:rFonts w:ascii="Arial" w:cs="Arial" w:eastAsia="Arial" w:hAnsi="Arial"/>
          <w:sz w:val="15"/>
          <w:szCs w:val="15"/>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118"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4"/>
          <w:szCs w:val="14"/>
          <w:color w:val="auto"/>
        </w:rPr>
        <w:t>From time to time, the Company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the Company in the form of letters and other communications. The Company currently believes that these ordinary course matters will not have a material adverse effect on our business; however, the results of litigation and claims are inherently unpredictable. Regardless of the outcome, litigation can have an adverse impact on the Company because of defense and settlement costs, diversion of management resources and other factors.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Employee Benefit Plans</w:t>
      </w:r>
    </w:p>
    <w:p>
      <w:pPr>
        <w:spacing w:after="0" w:line="154"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The Company sponsors a defined contribution plan under which it may make discretionary contributions. The Company did not make any employer matching contributions to this plan during the years ended December 31, 2020, 2019 and 2018.</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77" w:name="page78"/>
    <w:bookmarkEnd w:id="77"/>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Supplementary Financial Information</w:t>
      </w:r>
    </w:p>
    <w:p>
      <w:pPr>
        <w:spacing w:after="0" w:line="154" w:lineRule="exact"/>
        <w:rPr>
          <w:sz w:val="20"/>
          <w:szCs w:val="20"/>
          <w:color w:val="auto"/>
        </w:rPr>
      </w:pPr>
    </w:p>
    <w:p>
      <w:pPr>
        <w:ind w:right="20" w:firstLine="354"/>
        <w:spacing w:after="0" w:line="255" w:lineRule="auto"/>
        <w:rPr>
          <w:sz w:val="20"/>
          <w:szCs w:val="20"/>
          <w:color w:val="auto"/>
        </w:rPr>
      </w:pPr>
      <w:r>
        <w:rPr>
          <w:rFonts w:ascii="Arial" w:cs="Arial" w:eastAsia="Arial" w:hAnsi="Arial"/>
          <w:sz w:val="15"/>
          <w:szCs w:val="15"/>
          <w:color w:val="auto"/>
        </w:rPr>
        <w:t>There are no retrospective changes to the statements of comprehensive income for any of the quarters within the two most recent fiscal years that individually or in the aggregate are material.</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Subsequent Events</w:t>
      </w:r>
    </w:p>
    <w:p>
      <w:pPr>
        <w:spacing w:after="0" w:line="154" w:lineRule="exact"/>
        <w:rPr>
          <w:sz w:val="20"/>
          <w:szCs w:val="20"/>
          <w:color w:val="auto"/>
        </w:rPr>
      </w:pPr>
    </w:p>
    <w:p>
      <w:pPr>
        <w:ind w:right="40" w:firstLine="354"/>
        <w:spacing w:after="0" w:line="291" w:lineRule="auto"/>
        <w:rPr>
          <w:sz w:val="20"/>
          <w:szCs w:val="20"/>
          <w:color w:val="auto"/>
        </w:rPr>
      </w:pPr>
      <w:r>
        <w:rPr>
          <w:rFonts w:ascii="Arial" w:cs="Arial" w:eastAsia="Arial" w:hAnsi="Arial"/>
          <w:sz w:val="14"/>
          <w:szCs w:val="14"/>
          <w:color w:val="auto"/>
        </w:rPr>
        <w:t>In February 2021 the Company filed an at-the-market equity offering with the SEC, having an aggregate offering price of up to $60 million under which the Company may offer and sell shares of the Company’s common stock from time to time, although the Company has no obligation to make sales pursuant to such at-the-market equity offering.</w:t>
      </w:r>
    </w:p>
    <w:p>
      <w:pPr>
        <w:spacing w:after="0" w:line="94" w:lineRule="exact"/>
        <w:rPr>
          <w:sz w:val="20"/>
          <w:szCs w:val="20"/>
          <w:color w:val="auto"/>
        </w:rPr>
      </w:pPr>
    </w:p>
    <w:p>
      <w:pPr>
        <w:ind w:firstLine="343"/>
        <w:spacing w:after="0" w:line="246" w:lineRule="auto"/>
        <w:rPr>
          <w:sz w:val="20"/>
          <w:szCs w:val="20"/>
          <w:color w:val="auto"/>
        </w:rPr>
      </w:pPr>
      <w:r>
        <w:rPr>
          <w:rFonts w:ascii="Arial" w:cs="Arial" w:eastAsia="Arial" w:hAnsi="Arial"/>
          <w:sz w:val="14"/>
          <w:szCs w:val="14"/>
          <w:color w:val="auto"/>
        </w:rPr>
        <w:t>On March 11, 2021, the Company and Robert W. Duggan, principal stockholder and Chairman of the board of directors, entered into a Loan Agreement in connection with Mr. Duggan lending the principal sum of $41.0 million to the Company. The Loan Agreement bears interest at a rate per annum equal to 5.0%, payable quarterly commencing on July 1, 2021. The interest rate payable under the Loan Agreement increases to 7.0% upon the occurrence of an Event of Default or a Material Adverse Effect, each as defined in the Loan Agreement. All unpaid principal amount of the Loan Agreement, together with any then unpaid and accrued interest, shall be payable at the earlier of (i) June 11, 2022 or (ii) when, upon the occurrence and during the continuance of an Event of Default, such amounts are declared due and payable by Mr. Duggan or made automatically due and payable, in each case, in accordance with the terms thereof, including any applicable cure periods as set forth in the Loan Agreement. A late payment fee equal to 2.0% will be applied to any payments received later than one (1) business day after the expiration of the applicable cure period. Upon five business days prior written notice to Mr. Duggan, the Company may prepay all or any portion of the amounts borrowed under the Loan Agreement, without premium or penalty. The Loan Agreement subjects the Company to certain affirmative and negative covenants. In addition, the Loan Agreement contains certain Events of Default.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78" w:name="page79"/>
    <w:bookmarkEnd w:id="78"/>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 Changes in and Disagreements with Accountants on Accounting and Financial Disclosure</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9A. 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154" w:lineRule="exact"/>
        <w:rPr>
          <w:sz w:val="20"/>
          <w:szCs w:val="20"/>
          <w:color w:val="auto"/>
        </w:rPr>
      </w:pPr>
    </w:p>
    <w:p>
      <w:pPr>
        <w:jc w:val="both"/>
        <w:ind w:firstLine="376"/>
        <w:spacing w:after="0" w:line="249" w:lineRule="auto"/>
        <w:rPr>
          <w:sz w:val="20"/>
          <w:szCs w:val="20"/>
          <w:color w:val="auto"/>
        </w:rPr>
      </w:pPr>
      <w:r>
        <w:rPr>
          <w:rFonts w:ascii="Arial" w:cs="Arial" w:eastAsia="Arial" w:hAnsi="Arial"/>
          <w:sz w:val="14"/>
          <w:szCs w:val="14"/>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Annual Report on Form 10-K. Based on this evaluation, our Chief Executive Officer and our Chief Financial Officer have concluded that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Annual Report on Internal Control Over Financial Reporting</w:t>
      </w:r>
    </w:p>
    <w:p>
      <w:pPr>
        <w:spacing w:after="0" w:line="154" w:lineRule="exact"/>
        <w:rPr>
          <w:sz w:val="20"/>
          <w:szCs w:val="20"/>
          <w:color w:val="auto"/>
        </w:rPr>
      </w:pPr>
    </w:p>
    <w:p>
      <w:pPr>
        <w:jc w:val="both"/>
        <w:ind w:firstLine="376"/>
        <w:spacing w:after="0" w:line="233" w:lineRule="auto"/>
        <w:rPr>
          <w:sz w:val="20"/>
          <w:szCs w:val="20"/>
          <w:color w:val="auto"/>
        </w:rPr>
      </w:pPr>
      <w:r>
        <w:rPr>
          <w:rFonts w:ascii="Arial" w:cs="Arial" w:eastAsia="Arial" w:hAnsi="Arial"/>
          <w:sz w:val="15"/>
          <w:szCs w:val="15"/>
          <w:color w:val="auto"/>
        </w:rPr>
        <w:t xml:space="preserve">Our management is responsible for establishing and maintaining adequate internal control over financial reporting, as such term is defined in Rule 13a-15(f) under the Exchange Act. Under the supervision and with the participation of senior management, including our Chief Executive Officer and Chief Financial Officer, we evaluated the effectiveness of our internal control over financial reporting based on the framework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Committee of Sponsoring Organizations of the Treadway Commission. Based on the evaluation under that framework and applicable SEC rules, our management concluded that our internal control over financial reporting was effective as of December 31, 2020.</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154" w:lineRule="exact"/>
        <w:rPr>
          <w:sz w:val="20"/>
          <w:szCs w:val="20"/>
          <w:color w:val="auto"/>
        </w:rPr>
      </w:pPr>
    </w:p>
    <w:p>
      <w:pPr>
        <w:jc w:val="both"/>
        <w:ind w:right="20" w:firstLine="376"/>
        <w:spacing w:after="0" w:line="255" w:lineRule="auto"/>
        <w:rPr>
          <w:sz w:val="20"/>
          <w:szCs w:val="20"/>
          <w:color w:val="auto"/>
        </w:rPr>
      </w:pPr>
      <w:r>
        <w:rPr>
          <w:rFonts w:ascii="Arial" w:cs="Arial" w:eastAsia="Arial" w:hAnsi="Arial"/>
          <w:sz w:val="15"/>
          <w:szCs w:val="15"/>
          <w:color w:val="auto"/>
        </w:rPr>
        <w:t>There were no changes in our internal controls over financial reporting during the quarter ended December 31, 2020, that have materially affected, or are reasonably likely to materially affect, our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Inherent Limitations on Effectiveness of Controls</w:t>
      </w:r>
    </w:p>
    <w:p>
      <w:pPr>
        <w:spacing w:after="0" w:line="154" w:lineRule="exact"/>
        <w:rPr>
          <w:sz w:val="20"/>
          <w:szCs w:val="20"/>
          <w:color w:val="auto"/>
        </w:rPr>
      </w:pPr>
    </w:p>
    <w:p>
      <w:pPr>
        <w:jc w:val="both"/>
        <w:ind w:firstLine="376"/>
        <w:spacing w:after="0" w:line="246" w:lineRule="auto"/>
        <w:rPr>
          <w:sz w:val="20"/>
          <w:szCs w:val="20"/>
          <w:color w:val="auto"/>
        </w:rPr>
      </w:pPr>
      <w:r>
        <w:rPr>
          <w:rFonts w:ascii="Arial" w:cs="Arial" w:eastAsia="Arial" w:hAnsi="Arial"/>
          <w:sz w:val="14"/>
          <w:szCs w:val="14"/>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9B. Other Information</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79" w:name="page80"/>
    <w:bookmarkEnd w:id="79"/>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III</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 Directors, Executive Officers and Corporate Governance</w:t>
      </w:r>
    </w:p>
    <w:p>
      <w:pPr>
        <w:spacing w:after="0" w:line="154" w:lineRule="exact"/>
        <w:rPr>
          <w:sz w:val="20"/>
          <w:szCs w:val="20"/>
          <w:color w:val="auto"/>
        </w:rPr>
      </w:pPr>
    </w:p>
    <w:p>
      <w:pPr>
        <w:ind w:firstLine="376"/>
        <w:spacing w:after="0" w:line="255" w:lineRule="auto"/>
        <w:rPr>
          <w:sz w:val="20"/>
          <w:szCs w:val="20"/>
          <w:color w:val="auto"/>
        </w:rPr>
      </w:pPr>
      <w:r>
        <w:rPr>
          <w:rFonts w:ascii="Arial" w:cs="Arial" w:eastAsia="Arial" w:hAnsi="Arial"/>
          <w:sz w:val="15"/>
          <w:szCs w:val="15"/>
          <w:color w:val="auto"/>
        </w:rPr>
        <w:t>Information responsive to this item is incorporated herein by reference to our definitive proxy statement with respect to our 2021 Annual Meeting of Stockholders to be filed with the SEC within 120 days after the end of the fiscal year covered by this Annual Report on Form 10-K.</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11. Executive Compensation</w:t>
      </w:r>
    </w:p>
    <w:p>
      <w:pPr>
        <w:spacing w:after="0" w:line="154" w:lineRule="exact"/>
        <w:rPr>
          <w:sz w:val="20"/>
          <w:szCs w:val="20"/>
          <w:color w:val="auto"/>
        </w:rPr>
      </w:pPr>
    </w:p>
    <w:p>
      <w:pPr>
        <w:ind w:firstLine="376"/>
        <w:spacing w:after="0" w:line="255" w:lineRule="auto"/>
        <w:rPr>
          <w:sz w:val="20"/>
          <w:szCs w:val="20"/>
          <w:color w:val="auto"/>
        </w:rPr>
      </w:pPr>
      <w:r>
        <w:rPr>
          <w:rFonts w:ascii="Arial" w:cs="Arial" w:eastAsia="Arial" w:hAnsi="Arial"/>
          <w:sz w:val="15"/>
          <w:szCs w:val="15"/>
          <w:color w:val="auto"/>
        </w:rPr>
        <w:t>Information responsive to this item is incorporated herein by reference to our definitive proxy statement with respect to our 2021 Annual Meeting of Stockholder to be filed with the SEC within 120 days after the end of the fiscal year covered by this Annual Report on Form 10-K.</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12. Security Ownership of Certain Beneficial Owners and Management and Related Stockholder Matters</w:t>
      </w:r>
    </w:p>
    <w:p>
      <w:pPr>
        <w:spacing w:after="0" w:line="154" w:lineRule="exact"/>
        <w:rPr>
          <w:sz w:val="20"/>
          <w:szCs w:val="20"/>
          <w:color w:val="auto"/>
        </w:rPr>
      </w:pPr>
    </w:p>
    <w:p>
      <w:pPr>
        <w:ind w:firstLine="376"/>
        <w:spacing w:after="0" w:line="255" w:lineRule="auto"/>
        <w:rPr>
          <w:sz w:val="20"/>
          <w:szCs w:val="20"/>
          <w:color w:val="auto"/>
        </w:rPr>
      </w:pPr>
      <w:r>
        <w:rPr>
          <w:rFonts w:ascii="Arial" w:cs="Arial" w:eastAsia="Arial" w:hAnsi="Arial"/>
          <w:sz w:val="15"/>
          <w:szCs w:val="15"/>
          <w:color w:val="auto"/>
        </w:rPr>
        <w:t>Information responsive to this item is incorporated herein by reference to our definitive proxy statement with respect to our 2021 Annual Meeting of Stockholders to be filed with the SEC within 120 days after the end of the fiscal year covered by this Annual Report on Form 10-K.</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13. Certain Relationships and Related Transactions, and Director Independence</w:t>
      </w:r>
    </w:p>
    <w:p>
      <w:pPr>
        <w:spacing w:after="0" w:line="154" w:lineRule="exact"/>
        <w:rPr>
          <w:sz w:val="20"/>
          <w:szCs w:val="20"/>
          <w:color w:val="auto"/>
        </w:rPr>
      </w:pPr>
    </w:p>
    <w:p>
      <w:pPr>
        <w:ind w:firstLine="376"/>
        <w:spacing w:after="0" w:line="255" w:lineRule="auto"/>
        <w:rPr>
          <w:sz w:val="20"/>
          <w:szCs w:val="20"/>
          <w:color w:val="auto"/>
        </w:rPr>
      </w:pPr>
      <w:r>
        <w:rPr>
          <w:rFonts w:ascii="Arial" w:cs="Arial" w:eastAsia="Arial" w:hAnsi="Arial"/>
          <w:sz w:val="15"/>
          <w:szCs w:val="15"/>
          <w:color w:val="auto"/>
        </w:rPr>
        <w:t>Information responsive to this item is incorporated herein by reference to our definitive proxy statement with respect to our 2021 Annual Meeting of Stockholders to be filed with the SEC within 120 days after the end of the fiscal year covered by this Annual Report on Form 10-K.</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14. Principal Accounting Fees and Services</w:t>
      </w:r>
    </w:p>
    <w:p>
      <w:pPr>
        <w:spacing w:after="0" w:line="154" w:lineRule="exact"/>
        <w:rPr>
          <w:sz w:val="20"/>
          <w:szCs w:val="20"/>
          <w:color w:val="auto"/>
        </w:rPr>
      </w:pPr>
    </w:p>
    <w:p>
      <w:pPr>
        <w:ind w:firstLine="376"/>
        <w:spacing w:after="0" w:line="255" w:lineRule="auto"/>
        <w:rPr>
          <w:sz w:val="20"/>
          <w:szCs w:val="20"/>
          <w:color w:val="auto"/>
        </w:rPr>
      </w:pPr>
      <w:r>
        <w:rPr>
          <w:rFonts w:ascii="Arial" w:cs="Arial" w:eastAsia="Arial" w:hAnsi="Arial"/>
          <w:sz w:val="15"/>
          <w:szCs w:val="15"/>
          <w:color w:val="auto"/>
        </w:rPr>
        <w:t>Information responsive to this item is incorporated herein by reference to our definitive proxy statement with respect to our 2021 Annual Meeting of Stockholders to be filed with the SEC within 120 days after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0" w:name="page81"/>
    <w:bookmarkEnd w:id="80"/>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Part IV</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15. Exhibits, Financial Statement Schedules</w:t>
      </w:r>
    </w:p>
    <w:p>
      <w:pPr>
        <w:spacing w:after="0" w:line="154" w:lineRule="exact"/>
        <w:rPr>
          <w:sz w:val="20"/>
          <w:szCs w:val="20"/>
          <w:color w:val="auto"/>
        </w:rPr>
      </w:pPr>
    </w:p>
    <w:p>
      <w:pPr>
        <w:ind w:left="480" w:hanging="211"/>
        <w:spacing w:after="0"/>
        <w:tabs>
          <w:tab w:leader="none" w:pos="4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following documents are filed as part of, or incorporated by reference into, this Annual Report on Form 10-K:</w:t>
      </w:r>
    </w:p>
    <w:p>
      <w:pPr>
        <w:spacing w:after="0" w:line="150" w:lineRule="exact"/>
        <w:rPr>
          <w:rFonts w:ascii="Arial" w:cs="Arial" w:eastAsia="Arial" w:hAnsi="Arial"/>
          <w:sz w:val="15"/>
          <w:szCs w:val="15"/>
          <w:color w:val="auto"/>
        </w:rPr>
      </w:pPr>
    </w:p>
    <w:p>
      <w:pPr>
        <w:ind w:left="700" w:hanging="154"/>
        <w:spacing w:after="0"/>
        <w:tabs>
          <w:tab w:leader="none" w:pos="700" w:val="left"/>
        </w:tabs>
        <w:numPr>
          <w:ilvl w:val="1"/>
          <w:numId w:val="12"/>
        </w:numPr>
        <w:rPr>
          <w:rFonts w:ascii="Arial" w:cs="Arial" w:eastAsia="Arial" w:hAnsi="Arial"/>
          <w:sz w:val="15"/>
          <w:szCs w:val="15"/>
          <w:color w:val="auto"/>
        </w:rPr>
      </w:pPr>
      <w:r>
        <w:rPr>
          <w:rFonts w:ascii="Arial" w:cs="Arial" w:eastAsia="Arial" w:hAnsi="Arial"/>
          <w:sz w:val="15"/>
          <w:szCs w:val="15"/>
          <w:i w:val="1"/>
          <w:iCs w:val="1"/>
          <w:color w:val="auto"/>
        </w:rPr>
        <w:t>Financial Statements</w:t>
      </w:r>
      <w:r>
        <w:rPr>
          <w:rFonts w:ascii="Arial" w:cs="Arial" w:eastAsia="Arial" w:hAnsi="Arial"/>
          <w:sz w:val="15"/>
          <w:szCs w:val="15"/>
          <w:color w:val="auto"/>
        </w:rPr>
        <w:t>: See Item 8 of this Annual Report on Form 10-K.</w:t>
      </w:r>
    </w:p>
    <w:p>
      <w:pPr>
        <w:spacing w:after="0" w:line="150" w:lineRule="exact"/>
        <w:rPr>
          <w:rFonts w:ascii="Arial" w:cs="Arial" w:eastAsia="Arial" w:hAnsi="Arial"/>
          <w:sz w:val="15"/>
          <w:szCs w:val="15"/>
          <w:color w:val="auto"/>
        </w:rPr>
      </w:pPr>
    </w:p>
    <w:p>
      <w:pPr>
        <w:ind w:left="540" w:firstLine="6"/>
        <w:spacing w:after="0" w:line="255" w:lineRule="auto"/>
        <w:tabs>
          <w:tab w:leader="none" w:pos="705" w:val="left"/>
        </w:tabs>
        <w:numPr>
          <w:ilvl w:val="1"/>
          <w:numId w:val="12"/>
        </w:numPr>
        <w:rPr>
          <w:rFonts w:ascii="Arial" w:cs="Arial" w:eastAsia="Arial" w:hAnsi="Arial"/>
          <w:sz w:val="15"/>
          <w:szCs w:val="15"/>
          <w:color w:val="auto"/>
        </w:rPr>
      </w:pPr>
      <w:r>
        <w:rPr>
          <w:rFonts w:ascii="Arial" w:cs="Arial" w:eastAsia="Arial" w:hAnsi="Arial"/>
          <w:sz w:val="15"/>
          <w:szCs w:val="15"/>
          <w:i w:val="1"/>
          <w:iCs w:val="1"/>
          <w:color w:val="auto"/>
        </w:rPr>
        <w:t>Financial Statement Schedules</w:t>
      </w:r>
      <w:r>
        <w:rPr>
          <w:rFonts w:ascii="Arial" w:cs="Arial" w:eastAsia="Arial" w:hAnsi="Arial"/>
          <w:sz w:val="15"/>
          <w:szCs w:val="15"/>
          <w:color w:val="auto"/>
        </w:rPr>
        <w:t>: All schedules are omitted because they are not required, are not applicable or the information is included in the consolidated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or notes thereto.</w:t>
      </w:r>
    </w:p>
    <w:p>
      <w:pPr>
        <w:spacing w:after="0" w:line="117" w:lineRule="exact"/>
        <w:rPr>
          <w:rFonts w:ascii="Arial" w:cs="Arial" w:eastAsia="Arial" w:hAnsi="Arial"/>
          <w:sz w:val="15"/>
          <w:szCs w:val="15"/>
          <w:color w:val="auto"/>
        </w:rPr>
      </w:pPr>
    </w:p>
    <w:p>
      <w:pPr>
        <w:ind w:left="480" w:hanging="211"/>
        <w:spacing w:after="0"/>
        <w:tabs>
          <w:tab w:leader="none" w:pos="4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following exhibits are filed as part of, or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spacing w:after="0"/>
        <w:rPr>
          <w:rFonts w:ascii="Arial" w:cs="Arial" w:eastAsia="Arial" w:hAnsi="Arial"/>
          <w:sz w:val="13"/>
          <w:szCs w:val="13"/>
          <w:b w:val="1"/>
          <w:bCs w:val="1"/>
          <w:u w:val="single" w:color="auto"/>
          <w:color w:val="0563C1"/>
        </w:rPr>
      </w:pPr>
      <w:hyperlink w:anchor="page2">
        <w:r>
          <w:rPr>
            <w:rFonts w:ascii="Arial" w:cs="Arial" w:eastAsia="Arial" w:hAnsi="Arial"/>
            <w:sz w:val="13"/>
            <w:szCs w:val="13"/>
            <w:b w:val="1"/>
            <w:bCs w:val="1"/>
            <w:u w:val="single" w:color="auto"/>
            <w:color w:val="0563C1"/>
          </w:rPr>
          <w:t>Table of Contents</w:t>
        </w:r>
      </w:hyperlink>
    </w:p>
    <w:p>
      <w:pPr>
        <w:sectPr>
          <w:pgSz w:w="11900" w:h="16838" w:orient="portrait"/>
          <w:cols w:equalWidth="0" w:num="1">
            <w:col w:w="11260"/>
          </w:cols>
          <w:pgMar w:left="320" w:top="111" w:right="31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auto"/>
        </w:rPr>
        <w:t>Exhibit</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1"/>
          <w:szCs w:val="11"/>
          <w:b w:val="1"/>
          <w:bCs w:val="1"/>
          <w:color w:val="auto"/>
        </w:rPr>
        <w:t>Number</w:t>
      </w:r>
    </w:p>
    <w:p>
      <w:pPr>
        <w:spacing w:after="0" w:line="5" w:lineRule="exact"/>
        <w:rPr>
          <w:sz w:val="20"/>
          <w:szCs w:val="20"/>
          <w:color w:val="auto"/>
        </w:rPr>
      </w:pPr>
    </w:p>
    <w:p>
      <w:pPr>
        <w:ind w:left="320"/>
        <w:spacing w:after="0"/>
        <w:rPr>
          <w:rFonts w:ascii="Arial" w:cs="Arial" w:eastAsia="Arial" w:hAnsi="Arial"/>
          <w:sz w:val="15"/>
          <w:szCs w:val="15"/>
          <w:u w:val="single" w:color="auto"/>
          <w:color w:val="0563C1"/>
        </w:rPr>
      </w:pPr>
      <w:hyperlink r:id="rId119">
        <w:r>
          <w:rPr>
            <w:rFonts w:ascii="Arial" w:cs="Arial" w:eastAsia="Arial" w:hAnsi="Arial"/>
            <w:sz w:val="15"/>
            <w:szCs w:val="15"/>
            <w:u w:val="single" w:color="auto"/>
            <w:color w:val="0563C1"/>
          </w:rPr>
          <w:t>2.1</w:t>
        </w:r>
      </w:hyperlink>
    </w:p>
    <w:p>
      <w:pPr>
        <w:ind w:left="320"/>
        <w:spacing w:after="0" w:line="225" w:lineRule="auto"/>
        <w:rPr>
          <w:rFonts w:ascii="Arial" w:cs="Arial" w:eastAsia="Arial" w:hAnsi="Arial"/>
          <w:sz w:val="15"/>
          <w:szCs w:val="15"/>
          <w:u w:val="single" w:color="auto"/>
          <w:color w:val="0563C1"/>
        </w:rPr>
      </w:pPr>
      <w:hyperlink r:id="rId120">
        <w:r>
          <w:rPr>
            <w:rFonts w:ascii="Arial" w:cs="Arial" w:eastAsia="Arial" w:hAnsi="Arial"/>
            <w:sz w:val="15"/>
            <w:szCs w:val="15"/>
            <w:u w:val="single" w:color="auto"/>
            <w:color w:val="0563C1"/>
          </w:rPr>
          <w:t>3.1</w:t>
        </w:r>
      </w:hyperlink>
    </w:p>
    <w:p>
      <w:pPr>
        <w:ind w:left="320"/>
        <w:spacing w:after="0" w:line="225" w:lineRule="auto"/>
        <w:rPr>
          <w:rFonts w:ascii="Arial" w:cs="Arial" w:eastAsia="Arial" w:hAnsi="Arial"/>
          <w:sz w:val="15"/>
          <w:szCs w:val="15"/>
          <w:u w:val="single" w:color="auto"/>
          <w:color w:val="0563C1"/>
        </w:rPr>
      </w:pPr>
      <w:hyperlink r:id="rId121">
        <w:r>
          <w:rPr>
            <w:rFonts w:ascii="Arial" w:cs="Arial" w:eastAsia="Arial" w:hAnsi="Arial"/>
            <w:sz w:val="15"/>
            <w:szCs w:val="15"/>
            <w:u w:val="single" w:color="auto"/>
            <w:color w:val="0563C1"/>
          </w:rPr>
          <w:t>3.2</w:t>
        </w:r>
      </w:hyperlink>
    </w:p>
    <w:p>
      <w:pPr>
        <w:ind w:left="320"/>
        <w:spacing w:after="0" w:line="225" w:lineRule="auto"/>
        <w:rPr>
          <w:rFonts w:ascii="Arial" w:cs="Arial" w:eastAsia="Arial" w:hAnsi="Arial"/>
          <w:sz w:val="15"/>
          <w:szCs w:val="15"/>
          <w:u w:val="single" w:color="auto"/>
          <w:color w:val="0563C1"/>
        </w:rPr>
      </w:pPr>
      <w:hyperlink r:id="rId122">
        <w:r>
          <w:rPr>
            <w:rFonts w:ascii="Arial" w:cs="Arial" w:eastAsia="Arial" w:hAnsi="Arial"/>
            <w:sz w:val="15"/>
            <w:szCs w:val="15"/>
            <w:u w:val="single" w:color="auto"/>
            <w:color w:val="0563C1"/>
          </w:rPr>
          <w:t>3.3</w:t>
        </w:r>
      </w:hyperlink>
    </w:p>
    <w:p>
      <w:pPr>
        <w:ind w:left="320"/>
        <w:spacing w:after="0" w:line="224" w:lineRule="auto"/>
        <w:rPr>
          <w:rFonts w:ascii="Arial" w:cs="Arial" w:eastAsia="Arial" w:hAnsi="Arial"/>
          <w:sz w:val="15"/>
          <w:szCs w:val="15"/>
          <w:u w:val="single" w:color="auto"/>
          <w:color w:val="0563C1"/>
        </w:rPr>
      </w:pPr>
      <w:hyperlink r:id="rId123">
        <w:r>
          <w:rPr>
            <w:rFonts w:ascii="Arial" w:cs="Arial" w:eastAsia="Arial" w:hAnsi="Arial"/>
            <w:sz w:val="15"/>
            <w:szCs w:val="15"/>
            <w:u w:val="single" w:color="auto"/>
            <w:color w:val="0563C1"/>
          </w:rPr>
          <w:t>3.4</w:t>
        </w:r>
      </w:hyperlink>
    </w:p>
    <w:p>
      <w:pPr>
        <w:ind w:left="320"/>
        <w:spacing w:after="0" w:line="225" w:lineRule="auto"/>
        <w:rPr>
          <w:rFonts w:ascii="Arial" w:cs="Arial" w:eastAsia="Arial" w:hAnsi="Arial"/>
          <w:sz w:val="15"/>
          <w:szCs w:val="15"/>
          <w:u w:val="single" w:color="auto"/>
          <w:color w:val="0563C1"/>
        </w:rPr>
      </w:pPr>
      <w:hyperlink r:id="rId124">
        <w:r>
          <w:rPr>
            <w:rFonts w:ascii="Arial" w:cs="Arial" w:eastAsia="Arial" w:hAnsi="Arial"/>
            <w:sz w:val="15"/>
            <w:szCs w:val="15"/>
            <w:u w:val="single" w:color="auto"/>
            <w:color w:val="0563C1"/>
          </w:rPr>
          <w:t>4.1</w:t>
        </w:r>
      </w:hyperlink>
    </w:p>
    <w:p>
      <w:pPr>
        <w:ind w:left="320"/>
        <w:spacing w:after="0"/>
        <w:rPr>
          <w:rFonts w:ascii="Arial" w:cs="Arial" w:eastAsia="Arial" w:hAnsi="Arial"/>
          <w:sz w:val="15"/>
          <w:szCs w:val="15"/>
          <w:u w:val="single" w:color="auto"/>
          <w:color w:val="0563C1"/>
        </w:rPr>
      </w:pPr>
      <w:hyperlink r:id="rId125">
        <w:r>
          <w:rPr>
            <w:rFonts w:ascii="Arial" w:cs="Arial" w:eastAsia="Arial" w:hAnsi="Arial"/>
            <w:sz w:val="15"/>
            <w:szCs w:val="15"/>
            <w:u w:val="single" w:color="auto"/>
            <w:color w:val="0563C1"/>
          </w:rPr>
          <w:t>4.2</w:t>
        </w:r>
      </w:hyperlink>
    </w:p>
    <w:p>
      <w:pPr>
        <w:spacing w:after="0" w:line="58" w:lineRule="exact"/>
        <w:rPr>
          <w:sz w:val="20"/>
          <w:szCs w:val="20"/>
          <w:color w:val="auto"/>
        </w:rPr>
      </w:pPr>
    </w:p>
    <w:p>
      <w:pPr>
        <w:ind w:left="320"/>
        <w:spacing w:after="0"/>
        <w:rPr>
          <w:rFonts w:ascii="Arial" w:cs="Arial" w:eastAsia="Arial" w:hAnsi="Arial"/>
          <w:sz w:val="15"/>
          <w:szCs w:val="15"/>
          <w:u w:val="single" w:color="auto"/>
          <w:color w:val="0563C1"/>
        </w:rPr>
      </w:pPr>
      <w:hyperlink r:id="rId126">
        <w:r>
          <w:rPr>
            <w:rFonts w:ascii="Arial" w:cs="Arial" w:eastAsia="Arial" w:hAnsi="Arial"/>
            <w:sz w:val="15"/>
            <w:szCs w:val="15"/>
            <w:u w:val="single" w:color="auto"/>
            <w:color w:val="0563C1"/>
          </w:rPr>
          <w:t>4.3</w:t>
        </w:r>
      </w:hyperlink>
    </w:p>
    <w:p>
      <w:pPr>
        <w:spacing w:after="0" w:line="150" w:lineRule="exact"/>
        <w:rPr>
          <w:sz w:val="20"/>
          <w:szCs w:val="20"/>
          <w:color w:val="auto"/>
        </w:rPr>
      </w:pPr>
    </w:p>
    <w:p>
      <w:pPr>
        <w:ind w:left="320"/>
        <w:spacing w:after="0"/>
        <w:rPr>
          <w:rFonts w:ascii="Arial" w:cs="Arial" w:eastAsia="Arial" w:hAnsi="Arial"/>
          <w:sz w:val="15"/>
          <w:szCs w:val="15"/>
          <w:u w:val="single" w:color="auto"/>
          <w:color w:val="0563C1"/>
        </w:rPr>
      </w:pPr>
      <w:hyperlink r:id="rId127">
        <w:r>
          <w:rPr>
            <w:rFonts w:ascii="Arial" w:cs="Arial" w:eastAsia="Arial" w:hAnsi="Arial"/>
            <w:sz w:val="15"/>
            <w:szCs w:val="15"/>
            <w:u w:val="single" w:color="auto"/>
            <w:color w:val="0563C1"/>
          </w:rPr>
          <w:t>4.4</w:t>
        </w:r>
      </w:hyperlink>
    </w:p>
    <w:p>
      <w:pPr>
        <w:spacing w:after="0" w:line="70" w:lineRule="exact"/>
        <w:rPr>
          <w:sz w:val="20"/>
          <w:szCs w:val="20"/>
          <w:color w:val="auto"/>
        </w:rPr>
      </w:pPr>
    </w:p>
    <w:p>
      <w:pPr>
        <w:ind w:left="320"/>
        <w:spacing w:after="0"/>
        <w:rPr>
          <w:rFonts w:ascii="Arial" w:cs="Arial" w:eastAsia="Arial" w:hAnsi="Arial"/>
          <w:sz w:val="15"/>
          <w:szCs w:val="15"/>
          <w:u w:val="single" w:color="auto"/>
          <w:color w:val="0563C1"/>
        </w:rPr>
      </w:pPr>
      <w:hyperlink r:id="rId128">
        <w:r>
          <w:rPr>
            <w:rFonts w:ascii="Arial" w:cs="Arial" w:eastAsia="Arial" w:hAnsi="Arial"/>
            <w:sz w:val="15"/>
            <w:szCs w:val="15"/>
            <w:u w:val="single" w:color="auto"/>
            <w:color w:val="0563C1"/>
          </w:rPr>
          <w:t>4.5</w:t>
        </w:r>
      </w:hyperlink>
    </w:p>
    <w:p>
      <w:pPr>
        <w:ind w:left="320"/>
        <w:spacing w:after="0" w:line="225" w:lineRule="auto"/>
        <w:rPr>
          <w:rFonts w:ascii="Arial" w:cs="Arial" w:eastAsia="Arial" w:hAnsi="Arial"/>
          <w:sz w:val="15"/>
          <w:szCs w:val="15"/>
          <w:u w:val="single" w:color="auto"/>
          <w:color w:val="0563C1"/>
        </w:rPr>
      </w:pPr>
      <w:hyperlink r:id="rId129">
        <w:r>
          <w:rPr>
            <w:rFonts w:ascii="Arial" w:cs="Arial" w:eastAsia="Arial" w:hAnsi="Arial"/>
            <w:sz w:val="15"/>
            <w:szCs w:val="15"/>
            <w:u w:val="single" w:color="auto"/>
            <w:color w:val="0563C1"/>
          </w:rPr>
          <w:t>4.6</w:t>
        </w:r>
      </w:hyperlink>
    </w:p>
    <w:p>
      <w:pPr>
        <w:spacing w:after="0" w:line="1" w:lineRule="exact"/>
        <w:rPr>
          <w:sz w:val="20"/>
          <w:szCs w:val="20"/>
          <w:color w:val="auto"/>
        </w:rPr>
      </w:pPr>
    </w:p>
    <w:p>
      <w:pPr>
        <w:ind w:left="280"/>
        <w:spacing w:after="0"/>
        <w:rPr>
          <w:rFonts w:ascii="Arial" w:cs="Arial" w:eastAsia="Arial" w:hAnsi="Arial"/>
          <w:sz w:val="15"/>
          <w:szCs w:val="15"/>
          <w:u w:val="single" w:color="auto"/>
          <w:color w:val="0563C1"/>
        </w:rPr>
      </w:pPr>
      <w:hyperlink r:id="rId130">
        <w:r>
          <w:rPr>
            <w:rFonts w:ascii="Arial" w:cs="Arial" w:eastAsia="Arial" w:hAnsi="Arial"/>
            <w:sz w:val="15"/>
            <w:szCs w:val="15"/>
            <w:u w:val="single" w:color="auto"/>
            <w:color w:val="0563C1"/>
          </w:rPr>
          <w:t>10.1</w:t>
        </w:r>
      </w:hyperlink>
    </w:p>
    <w:p>
      <w:pPr>
        <w:spacing w:after="0" w:line="58" w:lineRule="exact"/>
        <w:rPr>
          <w:sz w:val="20"/>
          <w:szCs w:val="20"/>
          <w:color w:val="auto"/>
        </w:rPr>
      </w:pPr>
    </w:p>
    <w:p>
      <w:pPr>
        <w:ind w:left="240"/>
        <w:spacing w:after="0"/>
        <w:rPr>
          <w:rFonts w:ascii="Arial" w:cs="Arial" w:eastAsia="Arial" w:hAnsi="Arial"/>
          <w:sz w:val="15"/>
          <w:szCs w:val="15"/>
          <w:color w:val="0563C1"/>
        </w:rPr>
      </w:pPr>
      <w:hyperlink r:id="rId131">
        <w:r>
          <w:rPr>
            <w:rFonts w:ascii="Arial" w:cs="Arial" w:eastAsia="Arial" w:hAnsi="Arial"/>
            <w:sz w:val="15"/>
            <w:szCs w:val="15"/>
            <w:u w:val="single" w:color="auto"/>
            <w:color w:val="0563C1"/>
          </w:rPr>
          <w:t>10.2</w:t>
        </w:r>
      </w:hyperlink>
      <w:r>
        <w:rPr>
          <w:rFonts w:ascii="Arial" w:cs="Arial" w:eastAsia="Arial" w:hAnsi="Arial"/>
          <w:sz w:val="15"/>
          <w:szCs w:val="15"/>
          <w:color w:val="000000"/>
        </w:rPr>
        <w:t>#</w:t>
      </w:r>
    </w:p>
    <w:p>
      <w:pPr>
        <w:spacing w:after="0" w:line="150" w:lineRule="exact"/>
        <w:rPr>
          <w:sz w:val="20"/>
          <w:szCs w:val="20"/>
          <w:color w:val="auto"/>
        </w:rPr>
      </w:pPr>
    </w:p>
    <w:p>
      <w:pPr>
        <w:ind w:left="280"/>
        <w:spacing w:after="0"/>
        <w:rPr>
          <w:rFonts w:ascii="Arial" w:cs="Arial" w:eastAsia="Arial" w:hAnsi="Arial"/>
          <w:sz w:val="15"/>
          <w:szCs w:val="15"/>
          <w:u w:val="single" w:color="auto"/>
          <w:color w:val="0563C1"/>
        </w:rPr>
      </w:pPr>
      <w:hyperlink r:id="rId132">
        <w:r>
          <w:rPr>
            <w:rFonts w:ascii="Arial" w:cs="Arial" w:eastAsia="Arial" w:hAnsi="Arial"/>
            <w:sz w:val="15"/>
            <w:szCs w:val="15"/>
            <w:u w:val="single" w:color="auto"/>
            <w:color w:val="0563C1"/>
          </w:rPr>
          <w:t>10.3</w:t>
        </w:r>
      </w:hyperlink>
    </w:p>
    <w:p>
      <w:pPr>
        <w:spacing w:after="0" w:line="150" w:lineRule="exact"/>
        <w:rPr>
          <w:sz w:val="20"/>
          <w:szCs w:val="20"/>
          <w:color w:val="auto"/>
        </w:rPr>
      </w:pPr>
    </w:p>
    <w:p>
      <w:pPr>
        <w:ind w:left="240"/>
        <w:spacing w:after="0"/>
        <w:rPr>
          <w:rFonts w:ascii="Arial" w:cs="Arial" w:eastAsia="Arial" w:hAnsi="Arial"/>
          <w:sz w:val="15"/>
          <w:szCs w:val="15"/>
          <w:color w:val="0563C1"/>
        </w:rPr>
      </w:pPr>
      <w:hyperlink r:id="rId133">
        <w:r>
          <w:rPr>
            <w:rFonts w:ascii="Arial" w:cs="Arial" w:eastAsia="Arial" w:hAnsi="Arial"/>
            <w:sz w:val="15"/>
            <w:szCs w:val="15"/>
            <w:u w:val="single" w:color="auto"/>
            <w:color w:val="0563C1"/>
          </w:rPr>
          <w:t>10.4</w:t>
        </w:r>
      </w:hyperlink>
      <w:r>
        <w:rPr>
          <w:rFonts w:ascii="Arial" w:cs="Arial" w:eastAsia="Arial" w:hAnsi="Arial"/>
          <w:sz w:val="15"/>
          <w:szCs w:val="15"/>
          <w:color w:val="000000"/>
        </w:rPr>
        <w:t>#</w:t>
      </w:r>
    </w:p>
    <w:p>
      <w:pPr>
        <w:spacing w:after="0" w:line="150" w:lineRule="exact"/>
        <w:rPr>
          <w:sz w:val="20"/>
          <w:szCs w:val="20"/>
          <w:color w:val="auto"/>
        </w:rPr>
      </w:pPr>
    </w:p>
    <w:p>
      <w:pPr>
        <w:ind w:left="240"/>
        <w:spacing w:after="0"/>
        <w:rPr>
          <w:rFonts w:ascii="Arial" w:cs="Arial" w:eastAsia="Arial" w:hAnsi="Arial"/>
          <w:sz w:val="15"/>
          <w:szCs w:val="15"/>
          <w:color w:val="0563C1"/>
        </w:rPr>
      </w:pPr>
      <w:hyperlink r:id="rId134">
        <w:r>
          <w:rPr>
            <w:rFonts w:ascii="Arial" w:cs="Arial" w:eastAsia="Arial" w:hAnsi="Arial"/>
            <w:sz w:val="15"/>
            <w:szCs w:val="15"/>
            <w:u w:val="single" w:color="auto"/>
            <w:color w:val="0563C1"/>
          </w:rPr>
          <w:t>10.5</w:t>
        </w:r>
      </w:hyperlink>
      <w:r>
        <w:rPr>
          <w:rFonts w:ascii="Arial" w:cs="Arial" w:eastAsia="Arial" w:hAnsi="Arial"/>
          <w:sz w:val="15"/>
          <w:szCs w:val="15"/>
          <w:color w:val="000000"/>
        </w:rPr>
        <w:t>#</w:t>
      </w:r>
    </w:p>
    <w:p>
      <w:pPr>
        <w:spacing w:after="0" w:line="150" w:lineRule="exact"/>
        <w:rPr>
          <w:sz w:val="20"/>
          <w:szCs w:val="20"/>
          <w:color w:val="auto"/>
        </w:rPr>
      </w:pPr>
    </w:p>
    <w:p>
      <w:pPr>
        <w:ind w:left="280"/>
        <w:spacing w:after="0"/>
        <w:rPr>
          <w:rFonts w:ascii="Arial" w:cs="Arial" w:eastAsia="Arial" w:hAnsi="Arial"/>
          <w:sz w:val="15"/>
          <w:szCs w:val="15"/>
          <w:u w:val="single" w:color="auto"/>
          <w:color w:val="0563C1"/>
        </w:rPr>
      </w:pPr>
      <w:hyperlink r:id="rId135">
        <w:r>
          <w:rPr>
            <w:rFonts w:ascii="Arial" w:cs="Arial" w:eastAsia="Arial" w:hAnsi="Arial"/>
            <w:sz w:val="15"/>
            <w:szCs w:val="15"/>
            <w:u w:val="single" w:color="auto"/>
            <w:color w:val="0563C1"/>
          </w:rPr>
          <w:t>10.6</w:t>
        </w:r>
      </w:hyperlink>
    </w:p>
    <w:p>
      <w:pPr>
        <w:spacing w:after="0" w:line="150" w:lineRule="exact"/>
        <w:rPr>
          <w:sz w:val="20"/>
          <w:szCs w:val="20"/>
          <w:color w:val="auto"/>
        </w:rPr>
      </w:pPr>
    </w:p>
    <w:p>
      <w:pPr>
        <w:ind w:left="280"/>
        <w:spacing w:after="0"/>
        <w:rPr>
          <w:rFonts w:ascii="Arial" w:cs="Arial" w:eastAsia="Arial" w:hAnsi="Arial"/>
          <w:sz w:val="15"/>
          <w:szCs w:val="15"/>
          <w:u w:val="single" w:color="auto"/>
          <w:color w:val="0563C1"/>
        </w:rPr>
      </w:pPr>
      <w:hyperlink r:id="rId136">
        <w:r>
          <w:rPr>
            <w:rFonts w:ascii="Arial" w:cs="Arial" w:eastAsia="Arial" w:hAnsi="Arial"/>
            <w:sz w:val="15"/>
            <w:szCs w:val="15"/>
            <w:u w:val="single" w:color="auto"/>
            <w:color w:val="0563C1"/>
          </w:rPr>
          <w:t>10.7</w:t>
        </w:r>
      </w:hyperlink>
    </w:p>
    <w:p>
      <w:pPr>
        <w:spacing w:after="0" w:line="70" w:lineRule="exact"/>
        <w:rPr>
          <w:sz w:val="20"/>
          <w:szCs w:val="20"/>
          <w:color w:val="auto"/>
        </w:rPr>
      </w:pPr>
    </w:p>
    <w:p>
      <w:pPr>
        <w:jc w:val="center"/>
        <w:ind w:left="160"/>
        <w:spacing w:after="0"/>
        <w:rPr>
          <w:rFonts w:ascii="Arial" w:cs="Arial" w:eastAsia="Arial" w:hAnsi="Arial"/>
          <w:sz w:val="15"/>
          <w:szCs w:val="15"/>
          <w:color w:val="0563C1"/>
        </w:rPr>
      </w:pPr>
      <w:hyperlink r:id="rId137">
        <w:r>
          <w:rPr>
            <w:rFonts w:ascii="Arial" w:cs="Arial" w:eastAsia="Arial" w:hAnsi="Arial"/>
            <w:sz w:val="15"/>
            <w:szCs w:val="15"/>
            <w:u w:val="single" w:color="auto"/>
            <w:color w:val="0563C1"/>
          </w:rPr>
          <w:t>10.8</w:t>
        </w:r>
      </w:hyperlink>
      <w:r>
        <w:rPr>
          <w:rFonts w:ascii="Arial" w:cs="Arial" w:eastAsia="Arial" w:hAnsi="Arial"/>
          <w:sz w:val="15"/>
          <w:szCs w:val="15"/>
          <w:color w:val="000000"/>
        </w:rPr>
        <w:t>+</w:t>
      </w:r>
    </w:p>
    <w:p>
      <w:pPr>
        <w:jc w:val="center"/>
        <w:ind w:left="160"/>
        <w:spacing w:after="0" w:line="225" w:lineRule="auto"/>
        <w:rPr>
          <w:rFonts w:ascii="Arial" w:cs="Arial" w:eastAsia="Arial" w:hAnsi="Arial"/>
          <w:sz w:val="15"/>
          <w:szCs w:val="15"/>
          <w:color w:val="0563C1"/>
        </w:rPr>
      </w:pPr>
      <w:hyperlink r:id="rId138">
        <w:r>
          <w:rPr>
            <w:rFonts w:ascii="Arial" w:cs="Arial" w:eastAsia="Arial" w:hAnsi="Arial"/>
            <w:sz w:val="15"/>
            <w:szCs w:val="15"/>
            <w:u w:val="single" w:color="auto"/>
            <w:color w:val="0563C1"/>
          </w:rPr>
          <w:t>10.9</w:t>
        </w:r>
      </w:hyperlink>
      <w:r>
        <w:rPr>
          <w:rFonts w:ascii="Arial" w:cs="Arial" w:eastAsia="Arial" w:hAnsi="Arial"/>
          <w:sz w:val="15"/>
          <w:szCs w:val="15"/>
          <w:color w:val="000000"/>
        </w:rPr>
        <w:t>+</w:t>
      </w:r>
    </w:p>
    <w:p>
      <w:pPr>
        <w:spacing w:after="0" w:line="1" w:lineRule="exact"/>
        <w:rPr>
          <w:sz w:val="20"/>
          <w:szCs w:val="20"/>
          <w:color w:val="auto"/>
        </w:rPr>
      </w:pPr>
    </w:p>
    <w:p>
      <w:pPr>
        <w:jc w:val="center"/>
        <w:ind w:left="160"/>
        <w:spacing w:after="0"/>
        <w:rPr>
          <w:rFonts w:ascii="Arial" w:cs="Arial" w:eastAsia="Arial" w:hAnsi="Arial"/>
          <w:sz w:val="14"/>
          <w:szCs w:val="14"/>
          <w:color w:val="0563C1"/>
        </w:rPr>
      </w:pPr>
      <w:hyperlink w:anchor="page87">
        <w:r>
          <w:rPr>
            <w:rFonts w:ascii="Arial" w:cs="Arial" w:eastAsia="Arial" w:hAnsi="Arial"/>
            <w:sz w:val="14"/>
            <w:szCs w:val="14"/>
            <w:u w:val="single" w:color="auto"/>
            <w:color w:val="0563C1"/>
          </w:rPr>
          <w:t>10.10</w:t>
        </w:r>
      </w:hyperlink>
      <w:r>
        <w:rPr>
          <w:rFonts w:ascii="Arial" w:cs="Arial" w:eastAsia="Arial" w:hAnsi="Arial"/>
          <w:sz w:val="14"/>
          <w:szCs w:val="14"/>
          <w:color w:val="000000"/>
        </w:rPr>
        <w:t>+*</w:t>
      </w:r>
    </w:p>
    <w:p>
      <w:pPr>
        <w:jc w:val="center"/>
        <w:ind w:left="160"/>
        <w:spacing w:after="0" w:line="225" w:lineRule="auto"/>
        <w:rPr>
          <w:rFonts w:ascii="Arial" w:cs="Arial" w:eastAsia="Arial" w:hAnsi="Arial"/>
          <w:sz w:val="15"/>
          <w:szCs w:val="15"/>
          <w:color w:val="0563C1"/>
        </w:rPr>
      </w:pPr>
      <w:hyperlink r:id="rId139">
        <w:r>
          <w:rPr>
            <w:rFonts w:ascii="Arial" w:cs="Arial" w:eastAsia="Arial" w:hAnsi="Arial"/>
            <w:sz w:val="15"/>
            <w:szCs w:val="15"/>
            <w:u w:val="single" w:color="auto"/>
            <w:color w:val="0563C1"/>
          </w:rPr>
          <w:t>10.11</w:t>
        </w:r>
      </w:hyperlink>
      <w:r>
        <w:rPr>
          <w:rFonts w:ascii="Arial" w:cs="Arial" w:eastAsia="Arial" w:hAnsi="Arial"/>
          <w:sz w:val="15"/>
          <w:szCs w:val="15"/>
          <w:color w:val="000000"/>
        </w:rPr>
        <w:t>+</w:t>
      </w:r>
    </w:p>
    <w:p>
      <w:pPr>
        <w:jc w:val="center"/>
        <w:ind w:left="160"/>
        <w:spacing w:after="0" w:line="224" w:lineRule="auto"/>
        <w:rPr>
          <w:rFonts w:ascii="Arial" w:cs="Arial" w:eastAsia="Arial" w:hAnsi="Arial"/>
          <w:sz w:val="15"/>
          <w:szCs w:val="15"/>
          <w:color w:val="0563C1"/>
        </w:rPr>
      </w:pPr>
      <w:hyperlink r:id="rId140">
        <w:r>
          <w:rPr>
            <w:rFonts w:ascii="Arial" w:cs="Arial" w:eastAsia="Arial" w:hAnsi="Arial"/>
            <w:sz w:val="15"/>
            <w:szCs w:val="15"/>
            <w:u w:val="single" w:color="auto"/>
            <w:color w:val="0563C1"/>
          </w:rPr>
          <w:t>10.12</w:t>
        </w:r>
      </w:hyperlink>
      <w:r>
        <w:rPr>
          <w:rFonts w:ascii="Arial" w:cs="Arial" w:eastAsia="Arial" w:hAnsi="Arial"/>
          <w:sz w:val="15"/>
          <w:szCs w:val="15"/>
          <w:color w:val="000000"/>
        </w:rPr>
        <w:t>+</w:t>
      </w:r>
    </w:p>
    <w:p>
      <w:pPr>
        <w:spacing w:after="0" w:line="1" w:lineRule="exact"/>
        <w:rPr>
          <w:sz w:val="20"/>
          <w:szCs w:val="20"/>
          <w:color w:val="auto"/>
        </w:rPr>
      </w:pPr>
    </w:p>
    <w:p>
      <w:pPr>
        <w:jc w:val="center"/>
        <w:ind w:left="160"/>
        <w:spacing w:after="0"/>
        <w:rPr>
          <w:rFonts w:ascii="Arial" w:cs="Arial" w:eastAsia="Arial" w:hAnsi="Arial"/>
          <w:sz w:val="15"/>
          <w:szCs w:val="15"/>
          <w:color w:val="0563C1"/>
        </w:rPr>
      </w:pPr>
      <w:hyperlink r:id="rId141">
        <w:r>
          <w:rPr>
            <w:rFonts w:ascii="Arial" w:cs="Arial" w:eastAsia="Arial" w:hAnsi="Arial"/>
            <w:sz w:val="15"/>
            <w:szCs w:val="15"/>
            <w:u w:val="single" w:color="auto"/>
            <w:color w:val="0563C1"/>
          </w:rPr>
          <w:t>10.13</w:t>
        </w:r>
      </w:hyperlink>
      <w:r>
        <w:rPr>
          <w:rFonts w:ascii="Arial" w:cs="Arial" w:eastAsia="Arial" w:hAnsi="Arial"/>
          <w:sz w:val="15"/>
          <w:szCs w:val="15"/>
          <w:color w:val="000000"/>
        </w:rPr>
        <w:t>+</w:t>
      </w:r>
    </w:p>
    <w:p>
      <w:pPr>
        <w:spacing w:after="0" w:line="58" w:lineRule="exact"/>
        <w:rPr>
          <w:sz w:val="20"/>
          <w:szCs w:val="20"/>
          <w:color w:val="auto"/>
        </w:rPr>
      </w:pPr>
    </w:p>
    <w:p>
      <w:pPr>
        <w:ind w:left="200"/>
        <w:spacing w:after="0"/>
        <w:rPr>
          <w:rFonts w:ascii="Arial" w:cs="Arial" w:eastAsia="Arial" w:hAnsi="Arial"/>
          <w:sz w:val="14"/>
          <w:szCs w:val="14"/>
          <w:color w:val="0563C1"/>
        </w:rPr>
      </w:pPr>
      <w:hyperlink r:id="rId142">
        <w:r>
          <w:rPr>
            <w:rFonts w:ascii="Arial" w:cs="Arial" w:eastAsia="Arial" w:hAnsi="Arial"/>
            <w:sz w:val="14"/>
            <w:szCs w:val="14"/>
            <w:u w:val="single" w:color="auto"/>
            <w:color w:val="0563C1"/>
          </w:rPr>
          <w:t>10.14</w:t>
        </w:r>
      </w:hyperlink>
      <w:r>
        <w:rPr>
          <w:rFonts w:ascii="Arial" w:cs="Arial" w:eastAsia="Arial" w:hAnsi="Arial"/>
          <w:sz w:val="14"/>
          <w:szCs w:val="14"/>
          <w:color w:val="000000"/>
        </w:rPr>
        <w:t>+</w:t>
      </w:r>
    </w:p>
    <w:p>
      <w:pPr>
        <w:spacing w:after="0" w:line="162" w:lineRule="exact"/>
        <w:rPr>
          <w:sz w:val="20"/>
          <w:szCs w:val="20"/>
          <w:color w:val="auto"/>
        </w:rPr>
      </w:pPr>
    </w:p>
    <w:p>
      <w:pPr>
        <w:ind w:left="200"/>
        <w:spacing w:after="0"/>
        <w:rPr>
          <w:rFonts w:ascii="Arial" w:cs="Arial" w:eastAsia="Arial" w:hAnsi="Arial"/>
          <w:sz w:val="14"/>
          <w:szCs w:val="14"/>
          <w:color w:val="0563C1"/>
        </w:rPr>
      </w:pPr>
      <w:hyperlink r:id="rId143">
        <w:r>
          <w:rPr>
            <w:rFonts w:ascii="Arial" w:cs="Arial" w:eastAsia="Arial" w:hAnsi="Arial"/>
            <w:sz w:val="14"/>
            <w:szCs w:val="14"/>
            <w:u w:val="single" w:color="auto"/>
            <w:color w:val="0563C1"/>
          </w:rPr>
          <w:t>10.15</w:t>
        </w:r>
      </w:hyperlink>
      <w:r>
        <w:rPr>
          <w:rFonts w:ascii="Arial" w:cs="Arial" w:eastAsia="Arial" w:hAnsi="Arial"/>
          <w:sz w:val="14"/>
          <w:szCs w:val="14"/>
          <w:color w:val="000000"/>
        </w:rPr>
        <w:t>+</w:t>
      </w:r>
    </w:p>
    <w:p>
      <w:pPr>
        <w:spacing w:after="0" w:line="81" w:lineRule="exact"/>
        <w:rPr>
          <w:sz w:val="20"/>
          <w:szCs w:val="20"/>
          <w:color w:val="auto"/>
        </w:rPr>
      </w:pPr>
    </w:p>
    <w:p>
      <w:pPr>
        <w:ind w:left="200"/>
        <w:spacing w:after="0"/>
        <w:rPr>
          <w:rFonts w:ascii="Arial" w:cs="Arial" w:eastAsia="Arial" w:hAnsi="Arial"/>
          <w:sz w:val="14"/>
          <w:szCs w:val="14"/>
          <w:u w:val="single" w:color="auto"/>
          <w:color w:val="0563C1"/>
        </w:rPr>
      </w:pPr>
      <w:hyperlink r:id="rId144">
        <w:r>
          <w:rPr>
            <w:rFonts w:ascii="Arial" w:cs="Arial" w:eastAsia="Arial" w:hAnsi="Arial"/>
            <w:sz w:val="14"/>
            <w:szCs w:val="14"/>
            <w:u w:val="single" w:color="auto"/>
            <w:color w:val="0563C1"/>
          </w:rPr>
          <w:t>10.</w:t>
        </w:r>
      </w:hyperlink>
      <w:r>
        <w:rPr>
          <w:rFonts w:ascii="Arial" w:cs="Arial" w:eastAsia="Arial" w:hAnsi="Arial"/>
          <w:sz w:val="14"/>
          <w:szCs w:val="14"/>
          <w:u w:val="single" w:color="auto"/>
          <w:color w:val="0563C1"/>
        </w:rPr>
        <w:t>16+</w:t>
      </w:r>
    </w:p>
    <w:p>
      <w:pPr>
        <w:spacing w:after="0" w:line="81" w:lineRule="exact"/>
        <w:rPr>
          <w:sz w:val="20"/>
          <w:szCs w:val="20"/>
          <w:color w:val="auto"/>
        </w:rPr>
      </w:pPr>
    </w:p>
    <w:p>
      <w:pPr>
        <w:ind w:left="200"/>
        <w:spacing w:after="0"/>
        <w:rPr>
          <w:rFonts w:ascii="Arial" w:cs="Arial" w:eastAsia="Arial" w:hAnsi="Arial"/>
          <w:sz w:val="14"/>
          <w:szCs w:val="14"/>
          <w:u w:val="single" w:color="auto"/>
          <w:color w:val="0563C1"/>
        </w:rPr>
      </w:pPr>
      <w:hyperlink r:id="rId145">
        <w:r>
          <w:rPr>
            <w:rFonts w:ascii="Arial" w:cs="Arial" w:eastAsia="Arial" w:hAnsi="Arial"/>
            <w:sz w:val="14"/>
            <w:szCs w:val="14"/>
            <w:u w:val="single" w:color="auto"/>
            <w:color w:val="0563C1"/>
          </w:rPr>
          <w:t>10.</w:t>
        </w:r>
      </w:hyperlink>
      <w:r>
        <w:rPr>
          <w:rFonts w:ascii="Arial" w:cs="Arial" w:eastAsia="Arial" w:hAnsi="Arial"/>
          <w:sz w:val="14"/>
          <w:szCs w:val="14"/>
          <w:u w:val="single" w:color="auto"/>
          <w:color w:val="0563C1"/>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0</wp:posOffset>
            </wp:positionV>
            <wp:extent cx="21971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219710" cy="7620"/>
                    </a:xfrm>
                    <a:prstGeom prst="rect">
                      <a:avLst/>
                    </a:prstGeom>
                    <a:noFill/>
                  </pic:spPr>
                </pic:pic>
              </a:graphicData>
            </a:graphic>
          </wp:anchor>
        </w:drawing>
      </w:r>
    </w:p>
    <w:p>
      <w:pPr>
        <w:spacing w:after="0" w:line="142" w:lineRule="exact"/>
        <w:rPr>
          <w:sz w:val="20"/>
          <w:szCs w:val="20"/>
          <w:color w:val="auto"/>
        </w:rPr>
      </w:pPr>
    </w:p>
    <w:p>
      <w:pPr>
        <w:ind w:left="240"/>
        <w:spacing w:after="0"/>
        <w:rPr>
          <w:rFonts w:ascii="Arial" w:cs="Arial" w:eastAsia="Arial" w:hAnsi="Arial"/>
          <w:sz w:val="15"/>
          <w:szCs w:val="15"/>
          <w:u w:val="single" w:color="auto"/>
          <w:color w:val="0563C1"/>
        </w:rPr>
      </w:pPr>
      <w:hyperlink r:id="rId147">
        <w:r>
          <w:rPr>
            <w:rFonts w:ascii="Arial" w:cs="Arial" w:eastAsia="Arial" w:hAnsi="Arial"/>
            <w:sz w:val="15"/>
            <w:szCs w:val="15"/>
            <w:u w:val="single" w:color="auto"/>
            <w:color w:val="0563C1"/>
          </w:rPr>
          <w:t>10.18</w:t>
        </w:r>
      </w:hyperlink>
    </w:p>
    <w:p>
      <w:pPr>
        <w:spacing w:after="0" w:line="70" w:lineRule="exact"/>
        <w:rPr>
          <w:sz w:val="20"/>
          <w:szCs w:val="20"/>
          <w:color w:val="auto"/>
        </w:rPr>
      </w:pPr>
    </w:p>
    <w:p>
      <w:pPr>
        <w:ind w:left="200"/>
        <w:spacing w:after="0"/>
        <w:rPr>
          <w:rFonts w:ascii="Arial" w:cs="Arial" w:eastAsia="Arial" w:hAnsi="Arial"/>
          <w:sz w:val="14"/>
          <w:szCs w:val="14"/>
          <w:color w:val="0563C1"/>
        </w:rPr>
      </w:pPr>
      <w:hyperlink r:id="rId148">
        <w:r>
          <w:rPr>
            <w:rFonts w:ascii="Arial" w:cs="Arial" w:eastAsia="Arial" w:hAnsi="Arial"/>
            <w:sz w:val="14"/>
            <w:szCs w:val="14"/>
            <w:u w:val="single" w:color="auto"/>
            <w:color w:val="0563C1"/>
          </w:rPr>
          <w:t>10.19</w:t>
        </w:r>
      </w:hyperlink>
      <w:r>
        <w:rPr>
          <w:rFonts w:ascii="Arial" w:cs="Arial" w:eastAsia="Arial" w:hAnsi="Arial"/>
          <w:sz w:val="14"/>
          <w:szCs w:val="14"/>
          <w:color w:val="000000"/>
        </w:rPr>
        <w:t>+</w:t>
      </w:r>
    </w:p>
    <w:p>
      <w:pPr>
        <w:spacing w:after="0" w:line="12" w:lineRule="exact"/>
        <w:rPr>
          <w:sz w:val="20"/>
          <w:szCs w:val="20"/>
          <w:color w:val="auto"/>
        </w:rPr>
      </w:pPr>
    </w:p>
    <w:p>
      <w:pPr>
        <w:ind w:left="200"/>
        <w:spacing w:after="0"/>
        <w:rPr>
          <w:rFonts w:ascii="Arial" w:cs="Arial" w:eastAsia="Arial" w:hAnsi="Arial"/>
          <w:sz w:val="14"/>
          <w:szCs w:val="14"/>
          <w:color w:val="0563C1"/>
        </w:rPr>
      </w:pPr>
      <w:hyperlink r:id="rId149">
        <w:r>
          <w:rPr>
            <w:rFonts w:ascii="Arial" w:cs="Arial" w:eastAsia="Arial" w:hAnsi="Arial"/>
            <w:sz w:val="14"/>
            <w:szCs w:val="14"/>
            <w:u w:val="single" w:color="auto"/>
            <w:color w:val="0563C1"/>
          </w:rPr>
          <w:t>10.20</w:t>
        </w:r>
      </w:hyperlink>
      <w:r>
        <w:rPr>
          <w:rFonts w:ascii="Arial" w:cs="Arial" w:eastAsia="Arial" w:hAnsi="Arial"/>
          <w:sz w:val="14"/>
          <w:szCs w:val="14"/>
          <w:color w:val="000000"/>
        </w:rPr>
        <w:t>+</w:t>
      </w:r>
    </w:p>
    <w:p>
      <w:pPr>
        <w:ind w:left="240"/>
        <w:spacing w:after="0"/>
        <w:rPr>
          <w:rFonts w:ascii="Arial" w:cs="Arial" w:eastAsia="Arial" w:hAnsi="Arial"/>
          <w:sz w:val="15"/>
          <w:szCs w:val="15"/>
          <w:u w:val="single" w:color="auto"/>
          <w:color w:val="0563C1"/>
        </w:rPr>
      </w:pPr>
      <w:hyperlink r:id="rId150">
        <w:r>
          <w:rPr>
            <w:rFonts w:ascii="Arial" w:cs="Arial" w:eastAsia="Arial" w:hAnsi="Arial"/>
            <w:sz w:val="15"/>
            <w:szCs w:val="15"/>
            <w:u w:val="single" w:color="auto"/>
            <w:color w:val="0563C1"/>
          </w:rPr>
          <w:t>10.21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4"/>
        </w:trPr>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80" w:type="dxa"/>
            <w:vAlign w:val="bottom"/>
            <w:gridSpan w:val="13"/>
            <w:vMerge w:val="restart"/>
          </w:tcPr>
          <w:p>
            <w:pPr>
              <w:ind w:left="120"/>
              <w:spacing w:after="0"/>
              <w:rPr>
                <w:sz w:val="20"/>
                <w:szCs w:val="20"/>
                <w:color w:val="auto"/>
              </w:rPr>
            </w:pPr>
            <w:r>
              <w:rPr>
                <w:rFonts w:ascii="Arial" w:cs="Arial" w:eastAsia="Arial" w:hAnsi="Arial"/>
                <w:sz w:val="11"/>
                <w:szCs w:val="11"/>
                <w:b w:val="1"/>
                <w:bCs w:val="1"/>
                <w:color w:val="auto"/>
              </w:rPr>
              <w:t>Exhibit Description</w:t>
            </w: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4"/>
          </w:tcPr>
          <w:p>
            <w:pPr>
              <w:ind w:left="540"/>
              <w:spacing w:after="0"/>
              <w:rPr>
                <w:sz w:val="20"/>
                <w:szCs w:val="20"/>
                <w:color w:val="auto"/>
              </w:rPr>
            </w:pPr>
            <w:r>
              <w:rPr>
                <w:rFonts w:ascii="Arial" w:cs="Arial" w:eastAsia="Arial" w:hAnsi="Arial"/>
                <w:sz w:val="11"/>
                <w:szCs w:val="11"/>
                <w:b w:val="1"/>
                <w:bCs w:val="1"/>
                <w:color w:val="auto"/>
                <w:w w:val="92"/>
              </w:rPr>
              <w:t>Incorporation by Reference</w:t>
            </w:r>
          </w:p>
        </w:tc>
        <w:tc>
          <w:tcPr>
            <w:tcW w:w="1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80" w:type="dxa"/>
            <w:vAlign w:val="bottom"/>
            <w:gridSpan w:val="13"/>
            <w:vMerge w:val="continue"/>
          </w:tcPr>
          <w:p>
            <w:pPr>
              <w:spacing w:after="0"/>
              <w:rPr>
                <w:sz w:val="10"/>
                <w:szCs w:val="10"/>
                <w:color w:val="auto"/>
              </w:rPr>
            </w:pPr>
          </w:p>
        </w:tc>
        <w:tc>
          <w:tcPr>
            <w:tcW w:w="96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94"/>
              </w:rPr>
              <w:t>Form</w:t>
            </w:r>
          </w:p>
        </w:tc>
        <w:tc>
          <w:tcPr>
            <w:tcW w:w="1100" w:type="dxa"/>
            <w:vAlign w:val="bottom"/>
            <w:gridSpan w:val="2"/>
          </w:tcPr>
          <w:p>
            <w:pPr>
              <w:ind w:left="360"/>
              <w:spacing w:after="0" w:line="115" w:lineRule="exact"/>
              <w:rPr>
                <w:sz w:val="20"/>
                <w:szCs w:val="20"/>
                <w:color w:val="auto"/>
              </w:rPr>
            </w:pPr>
            <w:r>
              <w:rPr>
                <w:rFonts w:ascii="Arial" w:cs="Arial" w:eastAsia="Arial" w:hAnsi="Arial"/>
                <w:sz w:val="11"/>
                <w:szCs w:val="11"/>
                <w:b w:val="1"/>
                <w:bCs w:val="1"/>
                <w:color w:val="auto"/>
              </w:rPr>
              <w:t>File No.</w:t>
            </w:r>
          </w:p>
        </w:tc>
        <w:tc>
          <w:tcPr>
            <w:tcW w:w="780" w:type="dxa"/>
            <w:vAlign w:val="bottom"/>
            <w:gridSpan w:val="2"/>
          </w:tcPr>
          <w:p>
            <w:pPr>
              <w:ind w:left="120"/>
              <w:spacing w:after="0" w:line="115" w:lineRule="exact"/>
              <w:rPr>
                <w:sz w:val="20"/>
                <w:szCs w:val="20"/>
                <w:color w:val="auto"/>
              </w:rPr>
            </w:pPr>
            <w:r>
              <w:rPr>
                <w:rFonts w:ascii="Arial" w:cs="Arial" w:eastAsia="Arial" w:hAnsi="Arial"/>
                <w:sz w:val="11"/>
                <w:szCs w:val="11"/>
                <w:b w:val="1"/>
                <w:bCs w:val="1"/>
                <w:color w:val="auto"/>
              </w:rPr>
              <w:t>Exhibit(s)</w:t>
            </w:r>
          </w:p>
        </w:tc>
        <w:tc>
          <w:tcPr>
            <w:tcW w:w="14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2"/>
              </w:rPr>
              <w:t>Filing Date</w:t>
            </w:r>
          </w:p>
        </w:tc>
        <w:tc>
          <w:tcPr>
            <w:tcW w:w="0" w:type="dxa"/>
            <w:vAlign w:val="bottom"/>
          </w:tcPr>
          <w:p>
            <w:pPr>
              <w:spacing w:after="0"/>
              <w:rPr>
                <w:sz w:val="1"/>
                <w:szCs w:val="1"/>
                <w:color w:val="auto"/>
              </w:rPr>
            </w:pPr>
          </w:p>
        </w:tc>
      </w:tr>
      <w:tr>
        <w:trPr>
          <w:trHeight w:val="139"/>
        </w:trPr>
        <w:tc>
          <w:tcPr>
            <w:tcW w:w="6020" w:type="dxa"/>
            <w:vAlign w:val="bottom"/>
            <w:tcBorders>
              <w:top w:val="single" w:sz="8" w:color="auto"/>
            </w:tcBorders>
            <w:gridSpan w:val="21"/>
          </w:tcPr>
          <w:p>
            <w:pPr>
              <w:spacing w:after="0" w:line="139" w:lineRule="exact"/>
              <w:rPr>
                <w:rFonts w:ascii="Arial" w:cs="Arial" w:eastAsia="Arial" w:hAnsi="Arial"/>
                <w:sz w:val="15"/>
                <w:szCs w:val="15"/>
                <w:u w:val="single" w:color="auto"/>
                <w:color w:val="0563C1"/>
              </w:rPr>
            </w:pPr>
            <w:hyperlink r:id="rId119">
              <w:r>
                <w:rPr>
                  <w:rFonts w:ascii="Arial" w:cs="Arial" w:eastAsia="Arial" w:hAnsi="Arial"/>
                  <w:sz w:val="15"/>
                  <w:szCs w:val="15"/>
                  <w:u w:val="single" w:color="auto"/>
                  <w:color w:val="0563C1"/>
                </w:rPr>
                <w:t>Plan of Conversion of Pulse Biosciences, Inc.</w:t>
              </w:r>
            </w:hyperlink>
          </w:p>
        </w:tc>
        <w:tc>
          <w:tcPr>
            <w:tcW w:w="20" w:type="dxa"/>
            <w:vAlign w:val="bottom"/>
          </w:tcPr>
          <w:p>
            <w:pPr>
              <w:spacing w:after="0"/>
              <w:rPr>
                <w:sz w:val="12"/>
                <w:szCs w:val="12"/>
                <w:color w:val="auto"/>
              </w:rPr>
            </w:pPr>
          </w:p>
        </w:tc>
        <w:tc>
          <w:tcPr>
            <w:tcW w:w="86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5"/>
                <w:szCs w:val="15"/>
                <w:color w:val="auto"/>
                <w:w w:val="95"/>
              </w:rPr>
              <w:t>8-K12B</w:t>
            </w:r>
          </w:p>
        </w:tc>
        <w:tc>
          <w:tcPr>
            <w:tcW w:w="100" w:type="dxa"/>
            <w:vAlign w:val="bottom"/>
          </w:tcPr>
          <w:p>
            <w:pPr>
              <w:spacing w:after="0"/>
              <w:rPr>
                <w:sz w:val="12"/>
                <w:szCs w:val="12"/>
                <w:color w:val="auto"/>
              </w:rPr>
            </w:pPr>
          </w:p>
        </w:tc>
        <w:tc>
          <w:tcPr>
            <w:tcW w:w="10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5"/>
                <w:szCs w:val="15"/>
                <w:color w:val="auto"/>
                <w:w w:val="94"/>
              </w:rPr>
              <w:t>001-37744</w:t>
            </w:r>
          </w:p>
        </w:tc>
        <w:tc>
          <w:tcPr>
            <w:tcW w:w="20" w:type="dxa"/>
            <w:vAlign w:val="bottom"/>
          </w:tcPr>
          <w:p>
            <w:pPr>
              <w:spacing w:after="0"/>
              <w:rPr>
                <w:sz w:val="12"/>
                <w:szCs w:val="12"/>
                <w:color w:val="auto"/>
              </w:rPr>
            </w:pPr>
          </w:p>
        </w:tc>
        <w:tc>
          <w:tcPr>
            <w:tcW w:w="6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5"/>
                <w:szCs w:val="15"/>
                <w:color w:val="auto"/>
                <w:w w:val="95"/>
              </w:rPr>
              <w:t>2.1</w:t>
            </w:r>
          </w:p>
        </w:tc>
        <w:tc>
          <w:tcPr>
            <w:tcW w:w="100" w:type="dxa"/>
            <w:vAlign w:val="bottom"/>
          </w:tcPr>
          <w:p>
            <w:pPr>
              <w:spacing w:after="0"/>
              <w:rPr>
                <w:sz w:val="12"/>
                <w:szCs w:val="12"/>
                <w:color w:val="auto"/>
              </w:rPr>
            </w:pPr>
          </w:p>
        </w:tc>
        <w:tc>
          <w:tcPr>
            <w:tcW w:w="14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5"/>
                <w:szCs w:val="15"/>
                <w:color w:val="auto"/>
                <w:w w:val="90"/>
              </w:rPr>
              <w:t>June 18, 2018</w:t>
            </w:r>
          </w:p>
        </w:tc>
        <w:tc>
          <w:tcPr>
            <w:tcW w:w="0" w:type="dxa"/>
            <w:vAlign w:val="bottom"/>
          </w:tcPr>
          <w:p>
            <w:pPr>
              <w:spacing w:after="0"/>
              <w:rPr>
                <w:sz w:val="1"/>
                <w:szCs w:val="1"/>
                <w:color w:val="auto"/>
              </w:rPr>
            </w:pPr>
          </w:p>
        </w:tc>
      </w:tr>
      <w:tr>
        <w:trPr>
          <w:trHeight w:val="161"/>
        </w:trPr>
        <w:tc>
          <w:tcPr>
            <w:tcW w:w="6040" w:type="dxa"/>
            <w:vAlign w:val="bottom"/>
            <w:gridSpan w:val="22"/>
          </w:tcPr>
          <w:p>
            <w:pPr>
              <w:spacing w:after="0" w:line="161" w:lineRule="exact"/>
              <w:rPr>
                <w:rFonts w:ascii="Arial" w:cs="Arial" w:eastAsia="Arial" w:hAnsi="Arial"/>
                <w:sz w:val="15"/>
                <w:szCs w:val="15"/>
                <w:u w:val="single" w:color="auto"/>
                <w:color w:val="0563C1"/>
              </w:rPr>
            </w:pPr>
            <w:hyperlink r:id="rId120">
              <w:r>
                <w:rPr>
                  <w:rFonts w:ascii="Arial" w:cs="Arial" w:eastAsia="Arial" w:hAnsi="Arial"/>
                  <w:sz w:val="15"/>
                  <w:szCs w:val="15"/>
                  <w:u w:val="single" w:color="auto"/>
                  <w:color w:val="0563C1"/>
                </w:rPr>
                <w:t>Articles of Conversion</w:t>
              </w:r>
            </w:hyperlink>
          </w:p>
        </w:tc>
        <w:tc>
          <w:tcPr>
            <w:tcW w:w="960" w:type="dxa"/>
            <w:vAlign w:val="bottom"/>
            <w:gridSpan w:val="2"/>
          </w:tcPr>
          <w:p>
            <w:pPr>
              <w:jc w:val="center"/>
              <w:ind w:right="160"/>
              <w:spacing w:after="0" w:line="161" w:lineRule="exact"/>
              <w:rPr>
                <w:sz w:val="20"/>
                <w:szCs w:val="20"/>
                <w:color w:val="auto"/>
              </w:rPr>
            </w:pPr>
            <w:r>
              <w:rPr>
                <w:rFonts w:ascii="Arial" w:cs="Arial" w:eastAsia="Arial" w:hAnsi="Arial"/>
                <w:sz w:val="15"/>
                <w:szCs w:val="15"/>
                <w:color w:val="auto"/>
                <w:w w:val="95"/>
              </w:rPr>
              <w:t>8-K12B</w:t>
            </w:r>
          </w:p>
        </w:tc>
        <w:tc>
          <w:tcPr>
            <w:tcW w:w="1080" w:type="dxa"/>
            <w:vAlign w:val="bottom"/>
          </w:tcPr>
          <w:p>
            <w:pPr>
              <w:jc w:val="center"/>
              <w:spacing w:after="0" w:line="161" w:lineRule="exact"/>
              <w:rPr>
                <w:sz w:val="20"/>
                <w:szCs w:val="20"/>
                <w:color w:val="auto"/>
              </w:rPr>
            </w:pPr>
            <w:r>
              <w:rPr>
                <w:rFonts w:ascii="Arial" w:cs="Arial" w:eastAsia="Arial" w:hAnsi="Arial"/>
                <w:sz w:val="15"/>
                <w:szCs w:val="15"/>
                <w:color w:val="auto"/>
                <w:w w:val="94"/>
              </w:rPr>
              <w:t>001-37744</w:t>
            </w:r>
          </w:p>
        </w:tc>
        <w:tc>
          <w:tcPr>
            <w:tcW w:w="20" w:type="dxa"/>
            <w:vAlign w:val="bottom"/>
          </w:tcPr>
          <w:p>
            <w:pPr>
              <w:spacing w:after="0"/>
              <w:rPr>
                <w:sz w:val="14"/>
                <w:szCs w:val="14"/>
                <w:color w:val="auto"/>
              </w:rPr>
            </w:pPr>
          </w:p>
        </w:tc>
        <w:tc>
          <w:tcPr>
            <w:tcW w:w="680" w:type="dxa"/>
            <w:vAlign w:val="bottom"/>
          </w:tcPr>
          <w:p>
            <w:pPr>
              <w:jc w:val="center"/>
              <w:spacing w:after="0" w:line="161" w:lineRule="exact"/>
              <w:rPr>
                <w:sz w:val="20"/>
                <w:szCs w:val="20"/>
                <w:color w:val="auto"/>
              </w:rPr>
            </w:pPr>
            <w:r>
              <w:rPr>
                <w:rFonts w:ascii="Arial" w:cs="Arial" w:eastAsia="Arial" w:hAnsi="Arial"/>
                <w:sz w:val="15"/>
                <w:szCs w:val="15"/>
                <w:color w:val="auto"/>
                <w:w w:val="95"/>
              </w:rPr>
              <w:t>3.1</w:t>
            </w:r>
          </w:p>
        </w:tc>
        <w:tc>
          <w:tcPr>
            <w:tcW w:w="100" w:type="dxa"/>
            <w:vAlign w:val="bottom"/>
          </w:tcPr>
          <w:p>
            <w:pPr>
              <w:spacing w:after="0"/>
              <w:rPr>
                <w:sz w:val="14"/>
                <w:szCs w:val="14"/>
                <w:color w:val="auto"/>
              </w:rPr>
            </w:pPr>
          </w:p>
        </w:tc>
        <w:tc>
          <w:tcPr>
            <w:tcW w:w="1480" w:type="dxa"/>
            <w:vAlign w:val="bottom"/>
          </w:tcPr>
          <w:p>
            <w:pPr>
              <w:jc w:val="center"/>
              <w:spacing w:after="0" w:line="161" w:lineRule="exact"/>
              <w:rPr>
                <w:sz w:val="20"/>
                <w:szCs w:val="20"/>
                <w:color w:val="auto"/>
              </w:rPr>
            </w:pPr>
            <w:r>
              <w:rPr>
                <w:rFonts w:ascii="Arial" w:cs="Arial" w:eastAsia="Arial" w:hAnsi="Arial"/>
                <w:sz w:val="15"/>
                <w:szCs w:val="15"/>
                <w:color w:val="auto"/>
                <w:w w:val="90"/>
              </w:rPr>
              <w:t>June 18, 2018</w:t>
            </w:r>
          </w:p>
        </w:tc>
        <w:tc>
          <w:tcPr>
            <w:tcW w:w="0" w:type="dxa"/>
            <w:vAlign w:val="bottom"/>
          </w:tcPr>
          <w:p>
            <w:pPr>
              <w:spacing w:after="0"/>
              <w:rPr>
                <w:sz w:val="1"/>
                <w:szCs w:val="1"/>
                <w:color w:val="auto"/>
              </w:rPr>
            </w:pPr>
          </w:p>
        </w:tc>
      </w:tr>
      <w:tr>
        <w:trPr>
          <w:trHeight w:val="161"/>
        </w:trPr>
        <w:tc>
          <w:tcPr>
            <w:tcW w:w="6040" w:type="dxa"/>
            <w:vAlign w:val="bottom"/>
            <w:gridSpan w:val="22"/>
          </w:tcPr>
          <w:p>
            <w:pPr>
              <w:spacing w:after="0" w:line="161" w:lineRule="exact"/>
              <w:rPr>
                <w:rFonts w:ascii="Arial" w:cs="Arial" w:eastAsia="Arial" w:hAnsi="Arial"/>
                <w:sz w:val="15"/>
                <w:szCs w:val="15"/>
                <w:u w:val="single" w:color="auto"/>
                <w:color w:val="0563C1"/>
              </w:rPr>
            </w:pPr>
            <w:hyperlink r:id="rId121">
              <w:r>
                <w:rPr>
                  <w:rFonts w:ascii="Arial" w:cs="Arial" w:eastAsia="Arial" w:hAnsi="Arial"/>
                  <w:sz w:val="15"/>
                  <w:szCs w:val="15"/>
                  <w:u w:val="single" w:color="auto"/>
                  <w:color w:val="0563C1"/>
                </w:rPr>
                <w:t>Certificate of Conversion</w:t>
              </w:r>
            </w:hyperlink>
          </w:p>
        </w:tc>
        <w:tc>
          <w:tcPr>
            <w:tcW w:w="960" w:type="dxa"/>
            <w:vAlign w:val="bottom"/>
            <w:gridSpan w:val="2"/>
          </w:tcPr>
          <w:p>
            <w:pPr>
              <w:jc w:val="center"/>
              <w:ind w:right="160"/>
              <w:spacing w:after="0" w:line="161" w:lineRule="exact"/>
              <w:rPr>
                <w:sz w:val="20"/>
                <w:szCs w:val="20"/>
                <w:color w:val="auto"/>
              </w:rPr>
            </w:pPr>
            <w:r>
              <w:rPr>
                <w:rFonts w:ascii="Arial" w:cs="Arial" w:eastAsia="Arial" w:hAnsi="Arial"/>
                <w:sz w:val="15"/>
                <w:szCs w:val="15"/>
                <w:color w:val="auto"/>
                <w:w w:val="95"/>
              </w:rPr>
              <w:t>8-K12B</w:t>
            </w:r>
          </w:p>
        </w:tc>
        <w:tc>
          <w:tcPr>
            <w:tcW w:w="1080" w:type="dxa"/>
            <w:vAlign w:val="bottom"/>
          </w:tcPr>
          <w:p>
            <w:pPr>
              <w:jc w:val="center"/>
              <w:spacing w:after="0" w:line="161" w:lineRule="exact"/>
              <w:rPr>
                <w:sz w:val="20"/>
                <w:szCs w:val="20"/>
                <w:color w:val="auto"/>
              </w:rPr>
            </w:pPr>
            <w:r>
              <w:rPr>
                <w:rFonts w:ascii="Arial" w:cs="Arial" w:eastAsia="Arial" w:hAnsi="Arial"/>
                <w:sz w:val="15"/>
                <w:szCs w:val="15"/>
                <w:color w:val="auto"/>
                <w:w w:val="94"/>
              </w:rPr>
              <w:t>001-37744</w:t>
            </w:r>
          </w:p>
        </w:tc>
        <w:tc>
          <w:tcPr>
            <w:tcW w:w="20" w:type="dxa"/>
            <w:vAlign w:val="bottom"/>
          </w:tcPr>
          <w:p>
            <w:pPr>
              <w:spacing w:after="0"/>
              <w:rPr>
                <w:sz w:val="14"/>
                <w:szCs w:val="14"/>
                <w:color w:val="auto"/>
              </w:rPr>
            </w:pPr>
          </w:p>
        </w:tc>
        <w:tc>
          <w:tcPr>
            <w:tcW w:w="680" w:type="dxa"/>
            <w:vAlign w:val="bottom"/>
          </w:tcPr>
          <w:p>
            <w:pPr>
              <w:jc w:val="center"/>
              <w:spacing w:after="0" w:line="161" w:lineRule="exact"/>
              <w:rPr>
                <w:sz w:val="20"/>
                <w:szCs w:val="20"/>
                <w:color w:val="auto"/>
              </w:rPr>
            </w:pPr>
            <w:r>
              <w:rPr>
                <w:rFonts w:ascii="Arial" w:cs="Arial" w:eastAsia="Arial" w:hAnsi="Arial"/>
                <w:sz w:val="15"/>
                <w:szCs w:val="15"/>
                <w:color w:val="auto"/>
                <w:w w:val="95"/>
              </w:rPr>
              <w:t>3.2</w:t>
            </w:r>
          </w:p>
        </w:tc>
        <w:tc>
          <w:tcPr>
            <w:tcW w:w="100" w:type="dxa"/>
            <w:vAlign w:val="bottom"/>
          </w:tcPr>
          <w:p>
            <w:pPr>
              <w:spacing w:after="0"/>
              <w:rPr>
                <w:sz w:val="14"/>
                <w:szCs w:val="14"/>
                <w:color w:val="auto"/>
              </w:rPr>
            </w:pPr>
          </w:p>
        </w:tc>
        <w:tc>
          <w:tcPr>
            <w:tcW w:w="1480" w:type="dxa"/>
            <w:vAlign w:val="bottom"/>
          </w:tcPr>
          <w:p>
            <w:pPr>
              <w:jc w:val="center"/>
              <w:spacing w:after="0" w:line="161" w:lineRule="exact"/>
              <w:rPr>
                <w:sz w:val="20"/>
                <w:szCs w:val="20"/>
                <w:color w:val="auto"/>
              </w:rPr>
            </w:pPr>
            <w:r>
              <w:rPr>
                <w:rFonts w:ascii="Arial" w:cs="Arial" w:eastAsia="Arial" w:hAnsi="Arial"/>
                <w:sz w:val="15"/>
                <w:szCs w:val="15"/>
                <w:color w:val="auto"/>
                <w:w w:val="90"/>
              </w:rPr>
              <w:t>June 18, 2018</w:t>
            </w:r>
          </w:p>
        </w:tc>
        <w:tc>
          <w:tcPr>
            <w:tcW w:w="0" w:type="dxa"/>
            <w:vAlign w:val="bottom"/>
          </w:tcPr>
          <w:p>
            <w:pPr>
              <w:spacing w:after="0"/>
              <w:rPr>
                <w:sz w:val="1"/>
                <w:szCs w:val="1"/>
                <w:color w:val="auto"/>
              </w:rPr>
            </w:pPr>
          </w:p>
        </w:tc>
      </w:tr>
      <w:tr>
        <w:trPr>
          <w:trHeight w:val="161"/>
        </w:trPr>
        <w:tc>
          <w:tcPr>
            <w:tcW w:w="6040" w:type="dxa"/>
            <w:vAlign w:val="bottom"/>
            <w:gridSpan w:val="22"/>
          </w:tcPr>
          <w:p>
            <w:pPr>
              <w:spacing w:after="0" w:line="161" w:lineRule="exact"/>
              <w:rPr>
                <w:rFonts w:ascii="Arial" w:cs="Arial" w:eastAsia="Arial" w:hAnsi="Arial"/>
                <w:sz w:val="15"/>
                <w:szCs w:val="15"/>
                <w:u w:val="single" w:color="auto"/>
                <w:color w:val="0563C1"/>
              </w:rPr>
            </w:pPr>
            <w:hyperlink r:id="rId122">
              <w:r>
                <w:rPr>
                  <w:rFonts w:ascii="Arial" w:cs="Arial" w:eastAsia="Arial" w:hAnsi="Arial"/>
                  <w:sz w:val="15"/>
                  <w:szCs w:val="15"/>
                  <w:u w:val="single" w:color="auto"/>
                  <w:color w:val="0563C1"/>
                </w:rPr>
                <w:t>Certificate of Incorporation of Pulse Biosciences, Inc.</w:t>
              </w:r>
            </w:hyperlink>
          </w:p>
        </w:tc>
        <w:tc>
          <w:tcPr>
            <w:tcW w:w="960" w:type="dxa"/>
            <w:vAlign w:val="bottom"/>
            <w:gridSpan w:val="2"/>
          </w:tcPr>
          <w:p>
            <w:pPr>
              <w:jc w:val="center"/>
              <w:ind w:right="160"/>
              <w:spacing w:after="0" w:line="161" w:lineRule="exact"/>
              <w:rPr>
                <w:sz w:val="20"/>
                <w:szCs w:val="20"/>
                <w:color w:val="auto"/>
              </w:rPr>
            </w:pPr>
            <w:r>
              <w:rPr>
                <w:rFonts w:ascii="Arial" w:cs="Arial" w:eastAsia="Arial" w:hAnsi="Arial"/>
                <w:sz w:val="15"/>
                <w:szCs w:val="15"/>
                <w:color w:val="auto"/>
                <w:w w:val="95"/>
              </w:rPr>
              <w:t>8-K12B</w:t>
            </w:r>
          </w:p>
        </w:tc>
        <w:tc>
          <w:tcPr>
            <w:tcW w:w="1080" w:type="dxa"/>
            <w:vAlign w:val="bottom"/>
          </w:tcPr>
          <w:p>
            <w:pPr>
              <w:jc w:val="center"/>
              <w:spacing w:after="0" w:line="161" w:lineRule="exact"/>
              <w:rPr>
                <w:sz w:val="20"/>
                <w:szCs w:val="20"/>
                <w:color w:val="auto"/>
              </w:rPr>
            </w:pPr>
            <w:r>
              <w:rPr>
                <w:rFonts w:ascii="Arial" w:cs="Arial" w:eastAsia="Arial" w:hAnsi="Arial"/>
                <w:sz w:val="15"/>
                <w:szCs w:val="15"/>
                <w:color w:val="auto"/>
                <w:w w:val="94"/>
              </w:rPr>
              <w:t>001-37744</w:t>
            </w:r>
          </w:p>
        </w:tc>
        <w:tc>
          <w:tcPr>
            <w:tcW w:w="20" w:type="dxa"/>
            <w:vAlign w:val="bottom"/>
          </w:tcPr>
          <w:p>
            <w:pPr>
              <w:spacing w:after="0"/>
              <w:rPr>
                <w:sz w:val="14"/>
                <w:szCs w:val="14"/>
                <w:color w:val="auto"/>
              </w:rPr>
            </w:pPr>
          </w:p>
        </w:tc>
        <w:tc>
          <w:tcPr>
            <w:tcW w:w="680" w:type="dxa"/>
            <w:vAlign w:val="bottom"/>
          </w:tcPr>
          <w:p>
            <w:pPr>
              <w:jc w:val="center"/>
              <w:spacing w:after="0" w:line="161" w:lineRule="exact"/>
              <w:rPr>
                <w:sz w:val="20"/>
                <w:szCs w:val="20"/>
                <w:color w:val="auto"/>
              </w:rPr>
            </w:pPr>
            <w:r>
              <w:rPr>
                <w:rFonts w:ascii="Arial" w:cs="Arial" w:eastAsia="Arial" w:hAnsi="Arial"/>
                <w:sz w:val="15"/>
                <w:szCs w:val="15"/>
                <w:color w:val="auto"/>
                <w:w w:val="95"/>
              </w:rPr>
              <w:t>3.3</w:t>
            </w:r>
          </w:p>
        </w:tc>
        <w:tc>
          <w:tcPr>
            <w:tcW w:w="100" w:type="dxa"/>
            <w:vAlign w:val="bottom"/>
          </w:tcPr>
          <w:p>
            <w:pPr>
              <w:spacing w:after="0"/>
              <w:rPr>
                <w:sz w:val="14"/>
                <w:szCs w:val="14"/>
                <w:color w:val="auto"/>
              </w:rPr>
            </w:pPr>
          </w:p>
        </w:tc>
        <w:tc>
          <w:tcPr>
            <w:tcW w:w="1480" w:type="dxa"/>
            <w:vAlign w:val="bottom"/>
          </w:tcPr>
          <w:p>
            <w:pPr>
              <w:jc w:val="center"/>
              <w:spacing w:after="0" w:line="161" w:lineRule="exact"/>
              <w:rPr>
                <w:sz w:val="20"/>
                <w:szCs w:val="20"/>
                <w:color w:val="auto"/>
              </w:rPr>
            </w:pPr>
            <w:r>
              <w:rPr>
                <w:rFonts w:ascii="Arial" w:cs="Arial" w:eastAsia="Arial" w:hAnsi="Arial"/>
                <w:sz w:val="15"/>
                <w:szCs w:val="15"/>
                <w:color w:val="auto"/>
                <w:w w:val="90"/>
              </w:rPr>
              <w:t>June 18, 2018</w:t>
            </w:r>
          </w:p>
        </w:tc>
        <w:tc>
          <w:tcPr>
            <w:tcW w:w="0" w:type="dxa"/>
            <w:vAlign w:val="bottom"/>
          </w:tcPr>
          <w:p>
            <w:pPr>
              <w:spacing w:after="0"/>
              <w:rPr>
                <w:sz w:val="1"/>
                <w:szCs w:val="1"/>
                <w:color w:val="auto"/>
              </w:rPr>
            </w:pPr>
          </w:p>
        </w:tc>
      </w:tr>
      <w:tr>
        <w:trPr>
          <w:trHeight w:val="161"/>
        </w:trPr>
        <w:tc>
          <w:tcPr>
            <w:tcW w:w="6040" w:type="dxa"/>
            <w:vAlign w:val="bottom"/>
            <w:gridSpan w:val="22"/>
          </w:tcPr>
          <w:p>
            <w:pPr>
              <w:spacing w:after="0" w:line="161" w:lineRule="exact"/>
              <w:rPr>
                <w:rFonts w:ascii="Arial" w:cs="Arial" w:eastAsia="Arial" w:hAnsi="Arial"/>
                <w:sz w:val="15"/>
                <w:szCs w:val="15"/>
                <w:u w:val="single" w:color="auto"/>
                <w:color w:val="0563C1"/>
              </w:rPr>
            </w:pPr>
            <w:hyperlink r:id="rId123">
              <w:r>
                <w:rPr>
                  <w:rFonts w:ascii="Arial" w:cs="Arial" w:eastAsia="Arial" w:hAnsi="Arial"/>
                  <w:sz w:val="15"/>
                  <w:szCs w:val="15"/>
                  <w:u w:val="single" w:color="auto"/>
                  <w:color w:val="0563C1"/>
                </w:rPr>
                <w:t>Bylaws of Pulse Biosciences, Inc.</w:t>
              </w:r>
            </w:hyperlink>
          </w:p>
        </w:tc>
        <w:tc>
          <w:tcPr>
            <w:tcW w:w="960" w:type="dxa"/>
            <w:vAlign w:val="bottom"/>
            <w:gridSpan w:val="2"/>
          </w:tcPr>
          <w:p>
            <w:pPr>
              <w:jc w:val="center"/>
              <w:ind w:right="160"/>
              <w:spacing w:after="0" w:line="161" w:lineRule="exact"/>
              <w:rPr>
                <w:sz w:val="20"/>
                <w:szCs w:val="20"/>
                <w:color w:val="auto"/>
              </w:rPr>
            </w:pPr>
            <w:r>
              <w:rPr>
                <w:rFonts w:ascii="Arial" w:cs="Arial" w:eastAsia="Arial" w:hAnsi="Arial"/>
                <w:sz w:val="15"/>
                <w:szCs w:val="15"/>
                <w:color w:val="auto"/>
                <w:w w:val="95"/>
              </w:rPr>
              <w:t>8-K12B</w:t>
            </w:r>
          </w:p>
        </w:tc>
        <w:tc>
          <w:tcPr>
            <w:tcW w:w="1080" w:type="dxa"/>
            <w:vAlign w:val="bottom"/>
          </w:tcPr>
          <w:p>
            <w:pPr>
              <w:jc w:val="center"/>
              <w:spacing w:after="0" w:line="161" w:lineRule="exact"/>
              <w:rPr>
                <w:sz w:val="20"/>
                <w:szCs w:val="20"/>
                <w:color w:val="auto"/>
              </w:rPr>
            </w:pPr>
            <w:r>
              <w:rPr>
                <w:rFonts w:ascii="Arial" w:cs="Arial" w:eastAsia="Arial" w:hAnsi="Arial"/>
                <w:sz w:val="15"/>
                <w:szCs w:val="15"/>
                <w:color w:val="auto"/>
                <w:w w:val="94"/>
              </w:rPr>
              <w:t>001-37744</w:t>
            </w:r>
          </w:p>
        </w:tc>
        <w:tc>
          <w:tcPr>
            <w:tcW w:w="20" w:type="dxa"/>
            <w:vAlign w:val="bottom"/>
          </w:tcPr>
          <w:p>
            <w:pPr>
              <w:spacing w:after="0"/>
              <w:rPr>
                <w:sz w:val="14"/>
                <w:szCs w:val="14"/>
                <w:color w:val="auto"/>
              </w:rPr>
            </w:pPr>
          </w:p>
        </w:tc>
        <w:tc>
          <w:tcPr>
            <w:tcW w:w="680" w:type="dxa"/>
            <w:vAlign w:val="bottom"/>
          </w:tcPr>
          <w:p>
            <w:pPr>
              <w:jc w:val="center"/>
              <w:spacing w:after="0" w:line="161" w:lineRule="exact"/>
              <w:rPr>
                <w:sz w:val="20"/>
                <w:szCs w:val="20"/>
                <w:color w:val="auto"/>
              </w:rPr>
            </w:pPr>
            <w:r>
              <w:rPr>
                <w:rFonts w:ascii="Arial" w:cs="Arial" w:eastAsia="Arial" w:hAnsi="Arial"/>
                <w:sz w:val="15"/>
                <w:szCs w:val="15"/>
                <w:color w:val="auto"/>
                <w:w w:val="95"/>
              </w:rPr>
              <w:t>3.4</w:t>
            </w:r>
          </w:p>
        </w:tc>
        <w:tc>
          <w:tcPr>
            <w:tcW w:w="100" w:type="dxa"/>
            <w:vAlign w:val="bottom"/>
          </w:tcPr>
          <w:p>
            <w:pPr>
              <w:spacing w:after="0"/>
              <w:rPr>
                <w:sz w:val="14"/>
                <w:szCs w:val="14"/>
                <w:color w:val="auto"/>
              </w:rPr>
            </w:pPr>
          </w:p>
        </w:tc>
        <w:tc>
          <w:tcPr>
            <w:tcW w:w="1480" w:type="dxa"/>
            <w:vAlign w:val="bottom"/>
          </w:tcPr>
          <w:p>
            <w:pPr>
              <w:jc w:val="center"/>
              <w:spacing w:after="0" w:line="161" w:lineRule="exact"/>
              <w:rPr>
                <w:sz w:val="20"/>
                <w:szCs w:val="20"/>
                <w:color w:val="auto"/>
              </w:rPr>
            </w:pPr>
            <w:r>
              <w:rPr>
                <w:rFonts w:ascii="Arial" w:cs="Arial" w:eastAsia="Arial" w:hAnsi="Arial"/>
                <w:sz w:val="15"/>
                <w:szCs w:val="15"/>
                <w:color w:val="auto"/>
                <w:w w:val="90"/>
              </w:rPr>
              <w:t>June 18, 2018</w:t>
            </w:r>
          </w:p>
        </w:tc>
        <w:tc>
          <w:tcPr>
            <w:tcW w:w="0" w:type="dxa"/>
            <w:vAlign w:val="bottom"/>
          </w:tcPr>
          <w:p>
            <w:pPr>
              <w:spacing w:after="0"/>
              <w:rPr>
                <w:sz w:val="1"/>
                <w:szCs w:val="1"/>
                <w:color w:val="auto"/>
              </w:rPr>
            </w:pPr>
          </w:p>
        </w:tc>
      </w:tr>
      <w:tr>
        <w:trPr>
          <w:trHeight w:val="161"/>
        </w:trPr>
        <w:tc>
          <w:tcPr>
            <w:tcW w:w="6040" w:type="dxa"/>
            <w:vAlign w:val="bottom"/>
            <w:gridSpan w:val="22"/>
          </w:tcPr>
          <w:p>
            <w:pPr>
              <w:spacing w:after="0" w:line="161" w:lineRule="exact"/>
              <w:rPr>
                <w:rFonts w:ascii="Arial" w:cs="Arial" w:eastAsia="Arial" w:hAnsi="Arial"/>
                <w:sz w:val="15"/>
                <w:szCs w:val="15"/>
                <w:u w:val="single" w:color="auto"/>
                <w:color w:val="0563C1"/>
              </w:rPr>
            </w:pPr>
            <w:hyperlink r:id="rId124">
              <w:r>
                <w:rPr>
                  <w:rFonts w:ascii="Arial" w:cs="Arial" w:eastAsia="Arial" w:hAnsi="Arial"/>
                  <w:sz w:val="15"/>
                  <w:szCs w:val="15"/>
                  <w:u w:val="single" w:color="auto"/>
                  <w:color w:val="0563C1"/>
                </w:rPr>
                <w:t>Specimen Common Stock Certificate</w:t>
              </w:r>
            </w:hyperlink>
          </w:p>
        </w:tc>
        <w:tc>
          <w:tcPr>
            <w:tcW w:w="960" w:type="dxa"/>
            <w:vAlign w:val="bottom"/>
            <w:gridSpan w:val="2"/>
          </w:tcPr>
          <w:p>
            <w:pPr>
              <w:jc w:val="center"/>
              <w:ind w:right="160"/>
              <w:spacing w:after="0" w:line="161" w:lineRule="exact"/>
              <w:rPr>
                <w:sz w:val="20"/>
                <w:szCs w:val="20"/>
                <w:color w:val="auto"/>
              </w:rPr>
            </w:pPr>
            <w:r>
              <w:rPr>
                <w:rFonts w:ascii="Arial" w:cs="Arial" w:eastAsia="Arial" w:hAnsi="Arial"/>
                <w:sz w:val="15"/>
                <w:szCs w:val="15"/>
                <w:color w:val="auto"/>
                <w:w w:val="95"/>
              </w:rPr>
              <w:t>8-K12B</w:t>
            </w:r>
          </w:p>
        </w:tc>
        <w:tc>
          <w:tcPr>
            <w:tcW w:w="1080" w:type="dxa"/>
            <w:vAlign w:val="bottom"/>
          </w:tcPr>
          <w:p>
            <w:pPr>
              <w:jc w:val="center"/>
              <w:spacing w:after="0" w:line="161" w:lineRule="exact"/>
              <w:rPr>
                <w:sz w:val="20"/>
                <w:szCs w:val="20"/>
                <w:color w:val="auto"/>
              </w:rPr>
            </w:pPr>
            <w:r>
              <w:rPr>
                <w:rFonts w:ascii="Arial" w:cs="Arial" w:eastAsia="Arial" w:hAnsi="Arial"/>
                <w:sz w:val="15"/>
                <w:szCs w:val="15"/>
                <w:color w:val="auto"/>
                <w:w w:val="94"/>
              </w:rPr>
              <w:t>001-37744</w:t>
            </w:r>
          </w:p>
        </w:tc>
        <w:tc>
          <w:tcPr>
            <w:tcW w:w="20" w:type="dxa"/>
            <w:vAlign w:val="bottom"/>
          </w:tcPr>
          <w:p>
            <w:pPr>
              <w:spacing w:after="0"/>
              <w:rPr>
                <w:sz w:val="14"/>
                <w:szCs w:val="14"/>
                <w:color w:val="auto"/>
              </w:rPr>
            </w:pPr>
          </w:p>
        </w:tc>
        <w:tc>
          <w:tcPr>
            <w:tcW w:w="680" w:type="dxa"/>
            <w:vAlign w:val="bottom"/>
          </w:tcPr>
          <w:p>
            <w:pPr>
              <w:jc w:val="center"/>
              <w:spacing w:after="0" w:line="161" w:lineRule="exact"/>
              <w:rPr>
                <w:sz w:val="20"/>
                <w:szCs w:val="20"/>
                <w:color w:val="auto"/>
              </w:rPr>
            </w:pPr>
            <w:r>
              <w:rPr>
                <w:rFonts w:ascii="Arial" w:cs="Arial" w:eastAsia="Arial" w:hAnsi="Arial"/>
                <w:sz w:val="15"/>
                <w:szCs w:val="15"/>
                <w:color w:val="auto"/>
                <w:w w:val="95"/>
              </w:rPr>
              <w:t>4.1</w:t>
            </w:r>
          </w:p>
        </w:tc>
        <w:tc>
          <w:tcPr>
            <w:tcW w:w="100" w:type="dxa"/>
            <w:vAlign w:val="bottom"/>
          </w:tcPr>
          <w:p>
            <w:pPr>
              <w:spacing w:after="0"/>
              <w:rPr>
                <w:sz w:val="14"/>
                <w:szCs w:val="14"/>
                <w:color w:val="auto"/>
              </w:rPr>
            </w:pPr>
          </w:p>
        </w:tc>
        <w:tc>
          <w:tcPr>
            <w:tcW w:w="1480" w:type="dxa"/>
            <w:vAlign w:val="bottom"/>
          </w:tcPr>
          <w:p>
            <w:pPr>
              <w:jc w:val="center"/>
              <w:spacing w:after="0" w:line="161" w:lineRule="exact"/>
              <w:rPr>
                <w:sz w:val="20"/>
                <w:szCs w:val="20"/>
                <w:color w:val="auto"/>
              </w:rPr>
            </w:pPr>
            <w:r>
              <w:rPr>
                <w:rFonts w:ascii="Arial" w:cs="Arial" w:eastAsia="Arial" w:hAnsi="Arial"/>
                <w:sz w:val="15"/>
                <w:szCs w:val="15"/>
                <w:color w:val="auto"/>
                <w:w w:val="90"/>
              </w:rPr>
              <w:t>June 18, 2018</w:t>
            </w:r>
          </w:p>
        </w:tc>
        <w:tc>
          <w:tcPr>
            <w:tcW w:w="0" w:type="dxa"/>
            <w:vAlign w:val="bottom"/>
          </w:tcPr>
          <w:p>
            <w:pPr>
              <w:spacing w:after="0"/>
              <w:rPr>
                <w:sz w:val="1"/>
                <w:szCs w:val="1"/>
                <w:color w:val="auto"/>
              </w:rPr>
            </w:pPr>
          </w:p>
        </w:tc>
      </w:tr>
      <w:tr>
        <w:trPr>
          <w:trHeight w:val="161"/>
        </w:trPr>
        <w:tc>
          <w:tcPr>
            <w:tcW w:w="6040" w:type="dxa"/>
            <w:vAlign w:val="bottom"/>
            <w:gridSpan w:val="22"/>
          </w:tcPr>
          <w:p>
            <w:pPr>
              <w:spacing w:after="0" w:line="161" w:lineRule="exact"/>
              <w:rPr>
                <w:rFonts w:ascii="Arial" w:cs="Arial" w:eastAsia="Arial" w:hAnsi="Arial"/>
                <w:sz w:val="15"/>
                <w:szCs w:val="15"/>
                <w:u w:val="single" w:color="auto"/>
                <w:color w:val="0563C1"/>
              </w:rPr>
            </w:pPr>
            <w:hyperlink r:id="rId125">
              <w:r>
                <w:rPr>
                  <w:rFonts w:ascii="Arial" w:cs="Arial" w:eastAsia="Arial" w:hAnsi="Arial"/>
                  <w:sz w:val="15"/>
                  <w:szCs w:val="15"/>
                  <w:u w:val="single" w:color="auto"/>
                  <w:color w:val="0563C1"/>
                </w:rPr>
                <w:t>Form of Warrant dated November 9, 2014 issued to MDB Capital Group, LLC</w:t>
              </w:r>
            </w:hyperlink>
          </w:p>
        </w:tc>
        <w:tc>
          <w:tcPr>
            <w:tcW w:w="960" w:type="dxa"/>
            <w:vAlign w:val="bottom"/>
            <w:gridSpan w:val="2"/>
          </w:tcPr>
          <w:p>
            <w:pPr>
              <w:jc w:val="center"/>
              <w:ind w:right="160"/>
              <w:spacing w:after="0" w:line="161" w:lineRule="exact"/>
              <w:rPr>
                <w:sz w:val="20"/>
                <w:szCs w:val="20"/>
                <w:color w:val="auto"/>
              </w:rPr>
            </w:pPr>
            <w:r>
              <w:rPr>
                <w:rFonts w:ascii="Arial" w:cs="Arial" w:eastAsia="Arial" w:hAnsi="Arial"/>
                <w:sz w:val="15"/>
                <w:szCs w:val="15"/>
                <w:color w:val="auto"/>
                <w:w w:val="85"/>
              </w:rPr>
              <w:t>S-1</w:t>
            </w:r>
          </w:p>
        </w:tc>
        <w:tc>
          <w:tcPr>
            <w:tcW w:w="1080" w:type="dxa"/>
            <w:vAlign w:val="bottom"/>
          </w:tcPr>
          <w:p>
            <w:pPr>
              <w:jc w:val="center"/>
              <w:spacing w:after="0" w:line="161" w:lineRule="exact"/>
              <w:rPr>
                <w:sz w:val="20"/>
                <w:szCs w:val="20"/>
                <w:color w:val="auto"/>
              </w:rPr>
            </w:pPr>
            <w:r>
              <w:rPr>
                <w:rFonts w:ascii="Arial" w:cs="Arial" w:eastAsia="Arial" w:hAnsi="Arial"/>
                <w:sz w:val="15"/>
                <w:szCs w:val="15"/>
                <w:color w:val="auto"/>
                <w:w w:val="92"/>
              </w:rPr>
              <w:t>333-208694</w:t>
            </w:r>
          </w:p>
        </w:tc>
        <w:tc>
          <w:tcPr>
            <w:tcW w:w="20" w:type="dxa"/>
            <w:vAlign w:val="bottom"/>
          </w:tcPr>
          <w:p>
            <w:pPr>
              <w:spacing w:after="0"/>
              <w:rPr>
                <w:sz w:val="14"/>
                <w:szCs w:val="14"/>
                <w:color w:val="auto"/>
              </w:rPr>
            </w:pPr>
          </w:p>
        </w:tc>
        <w:tc>
          <w:tcPr>
            <w:tcW w:w="680" w:type="dxa"/>
            <w:vAlign w:val="bottom"/>
          </w:tcPr>
          <w:p>
            <w:pPr>
              <w:jc w:val="center"/>
              <w:spacing w:after="0" w:line="161" w:lineRule="exact"/>
              <w:rPr>
                <w:sz w:val="20"/>
                <w:szCs w:val="20"/>
                <w:color w:val="auto"/>
              </w:rPr>
            </w:pPr>
            <w:r>
              <w:rPr>
                <w:rFonts w:ascii="Arial" w:cs="Arial" w:eastAsia="Arial" w:hAnsi="Arial"/>
                <w:sz w:val="15"/>
                <w:szCs w:val="15"/>
                <w:color w:val="auto"/>
                <w:w w:val="95"/>
              </w:rPr>
              <w:t>4.2</w:t>
            </w:r>
          </w:p>
        </w:tc>
        <w:tc>
          <w:tcPr>
            <w:tcW w:w="100" w:type="dxa"/>
            <w:vAlign w:val="bottom"/>
          </w:tcPr>
          <w:p>
            <w:pPr>
              <w:spacing w:after="0"/>
              <w:rPr>
                <w:sz w:val="14"/>
                <w:szCs w:val="14"/>
                <w:color w:val="auto"/>
              </w:rPr>
            </w:pPr>
          </w:p>
        </w:tc>
        <w:tc>
          <w:tcPr>
            <w:tcW w:w="1480" w:type="dxa"/>
            <w:vAlign w:val="bottom"/>
          </w:tcPr>
          <w:p>
            <w:pPr>
              <w:jc w:val="center"/>
              <w:spacing w:after="0" w:line="161" w:lineRule="exact"/>
              <w:rPr>
                <w:sz w:val="20"/>
                <w:szCs w:val="20"/>
                <w:color w:val="auto"/>
              </w:rPr>
            </w:pPr>
            <w:r>
              <w:rPr>
                <w:rFonts w:ascii="Arial" w:cs="Arial" w:eastAsia="Arial" w:hAnsi="Arial"/>
                <w:sz w:val="15"/>
                <w:szCs w:val="15"/>
                <w:color w:val="auto"/>
                <w:w w:val="91"/>
              </w:rPr>
              <w:t>December 22, 2015</w:t>
            </w:r>
          </w:p>
        </w:tc>
        <w:tc>
          <w:tcPr>
            <w:tcW w:w="0" w:type="dxa"/>
            <w:vAlign w:val="bottom"/>
          </w:tcPr>
          <w:p>
            <w:pPr>
              <w:spacing w:after="0"/>
              <w:rPr>
                <w:sz w:val="1"/>
                <w:szCs w:val="1"/>
                <w:color w:val="auto"/>
              </w:rPr>
            </w:pPr>
          </w:p>
        </w:tc>
      </w:tr>
      <w:tr>
        <w:trPr>
          <w:trHeight w:val="160"/>
        </w:trPr>
        <w:tc>
          <w:tcPr>
            <w:tcW w:w="6040" w:type="dxa"/>
            <w:vAlign w:val="bottom"/>
            <w:gridSpan w:val="22"/>
          </w:tcPr>
          <w:p>
            <w:pPr>
              <w:spacing w:after="0" w:line="161" w:lineRule="exact"/>
              <w:rPr>
                <w:rFonts w:ascii="Arial" w:cs="Arial" w:eastAsia="Arial" w:hAnsi="Arial"/>
                <w:sz w:val="15"/>
                <w:szCs w:val="15"/>
                <w:color w:val="0563C1"/>
              </w:rPr>
            </w:pPr>
            <w:hyperlink r:id="rId126">
              <w:r>
                <w:rPr>
                  <w:rFonts w:ascii="Arial" w:cs="Arial" w:eastAsia="Arial" w:hAnsi="Arial"/>
                  <w:sz w:val="15"/>
                  <w:szCs w:val="15"/>
                  <w:color w:val="0563C1"/>
                </w:rPr>
                <w:t>Form of Registration Rights Agreement dated November 6, 2014, among the holders of</w:t>
              </w:r>
            </w:hyperlink>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5"/>
                <w:szCs w:val="15"/>
                <w:color w:val="auto"/>
                <w:w w:val="85"/>
              </w:rPr>
              <w:t>S-1</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w w:val="92"/>
              </w:rPr>
              <w:t>333-208694</w:t>
            </w:r>
          </w:p>
        </w:tc>
        <w:tc>
          <w:tcPr>
            <w:tcW w:w="2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5"/>
                <w:szCs w:val="15"/>
                <w:color w:val="auto"/>
                <w:w w:val="95"/>
              </w:rPr>
              <w:t>10.7</w:t>
            </w:r>
          </w:p>
        </w:tc>
        <w:tc>
          <w:tcPr>
            <w:tcW w:w="10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5"/>
                <w:szCs w:val="15"/>
                <w:color w:val="auto"/>
                <w:w w:val="91"/>
              </w:rPr>
              <w:t>December 22, 2015</w:t>
            </w:r>
          </w:p>
        </w:tc>
        <w:tc>
          <w:tcPr>
            <w:tcW w:w="0" w:type="dxa"/>
            <w:vAlign w:val="bottom"/>
          </w:tcPr>
          <w:p>
            <w:pPr>
              <w:spacing w:after="0"/>
              <w:rPr>
                <w:sz w:val="1"/>
                <w:szCs w:val="1"/>
                <w:color w:val="auto"/>
              </w:rPr>
            </w:pPr>
          </w:p>
        </w:tc>
      </w:tr>
      <w:tr>
        <w:trPr>
          <w:trHeight w:val="141"/>
        </w:trPr>
        <w:tc>
          <w:tcPr>
            <w:tcW w:w="2360" w:type="dxa"/>
            <w:vAlign w:val="bottom"/>
            <w:tcBorders>
              <w:top w:val="single" w:sz="8" w:color="0563C1"/>
              <w:bottom w:val="single" w:sz="8" w:color="0563C1"/>
            </w:tcBorders>
            <w:gridSpan w:val="9"/>
          </w:tcPr>
          <w:p>
            <w:pPr>
              <w:spacing w:after="0" w:line="141" w:lineRule="exact"/>
              <w:rPr>
                <w:rFonts w:ascii="Arial" w:cs="Arial" w:eastAsia="Arial" w:hAnsi="Arial"/>
                <w:sz w:val="15"/>
                <w:szCs w:val="15"/>
                <w:color w:val="0563C1"/>
                <w:w w:val="90"/>
              </w:rPr>
            </w:pPr>
            <w:hyperlink r:id="rId126">
              <w:r>
                <w:rPr>
                  <w:rFonts w:ascii="Arial" w:cs="Arial" w:eastAsia="Arial" w:hAnsi="Arial"/>
                  <w:sz w:val="15"/>
                  <w:szCs w:val="15"/>
                  <w:color w:val="0563C1"/>
                  <w:w w:val="90"/>
                </w:rPr>
                <w:t>placement warrants and the Registrant</w:t>
              </w:r>
            </w:hyperlink>
          </w:p>
        </w:tc>
        <w:tc>
          <w:tcPr>
            <w:tcW w:w="3060" w:type="dxa"/>
            <w:vAlign w:val="bottom"/>
            <w:tcBorders>
              <w:top w:val="single" w:sz="8" w:color="0563C1"/>
            </w:tcBorders>
            <w:gridSpan w:val="3"/>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040" w:type="dxa"/>
            <w:vAlign w:val="bottom"/>
            <w:gridSpan w:val="22"/>
          </w:tcPr>
          <w:p>
            <w:pPr>
              <w:spacing w:after="0" w:line="141" w:lineRule="exact"/>
              <w:rPr>
                <w:rFonts w:ascii="Arial" w:cs="Arial" w:eastAsia="Arial" w:hAnsi="Arial"/>
                <w:sz w:val="15"/>
                <w:szCs w:val="15"/>
                <w:color w:val="0563C1"/>
                <w:w w:val="98"/>
              </w:rPr>
            </w:pPr>
            <w:hyperlink r:id="rId127">
              <w:r>
                <w:rPr>
                  <w:rFonts w:ascii="Arial" w:cs="Arial" w:eastAsia="Arial" w:hAnsi="Arial"/>
                  <w:sz w:val="15"/>
                  <w:szCs w:val="15"/>
                  <w:color w:val="0563C1"/>
                  <w:w w:val="98"/>
                </w:rPr>
                <w:t>Description of the Registrant's Securities Registered Pursuant to Section 12 of the Securities</w:t>
              </w:r>
            </w:hyperlink>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5"/>
                <w:szCs w:val="15"/>
                <w:color w:val="auto"/>
              </w:rPr>
              <w:t>10-K</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w w:val="94"/>
              </w:rPr>
              <w:t>001-34899</w:t>
            </w:r>
          </w:p>
        </w:tc>
        <w:tc>
          <w:tcPr>
            <w:tcW w:w="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5"/>
                <w:szCs w:val="15"/>
                <w:color w:val="auto"/>
                <w:w w:val="95"/>
              </w:rPr>
              <w:t>4.6</w:t>
            </w: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5"/>
                <w:szCs w:val="15"/>
                <w:color w:val="auto"/>
                <w:w w:val="93"/>
              </w:rPr>
              <w:t>March 16, 2020</w:t>
            </w:r>
          </w:p>
        </w:tc>
        <w:tc>
          <w:tcPr>
            <w:tcW w:w="0" w:type="dxa"/>
            <w:vAlign w:val="bottom"/>
          </w:tcPr>
          <w:p>
            <w:pPr>
              <w:spacing w:after="0"/>
              <w:rPr>
                <w:sz w:val="1"/>
                <w:szCs w:val="1"/>
                <w:color w:val="auto"/>
              </w:rPr>
            </w:pPr>
          </w:p>
        </w:tc>
      </w:tr>
      <w:tr>
        <w:trPr>
          <w:trHeight w:val="141"/>
        </w:trPr>
        <w:tc>
          <w:tcPr>
            <w:tcW w:w="5720" w:type="dxa"/>
            <w:vAlign w:val="bottom"/>
            <w:tcBorders>
              <w:top w:val="single" w:sz="8" w:color="0563C1"/>
            </w:tcBorders>
            <w:gridSpan w:val="13"/>
          </w:tcPr>
          <w:p>
            <w:pPr>
              <w:spacing w:after="0" w:line="141" w:lineRule="exact"/>
              <w:rPr>
                <w:rFonts w:ascii="Arial" w:cs="Arial" w:eastAsia="Arial" w:hAnsi="Arial"/>
                <w:sz w:val="15"/>
                <w:szCs w:val="15"/>
                <w:color w:val="0563C1"/>
              </w:rPr>
            </w:pPr>
            <w:hyperlink r:id="rId127">
              <w:r>
                <w:rPr>
                  <w:rFonts w:ascii="Arial" w:cs="Arial" w:eastAsia="Arial" w:hAnsi="Arial"/>
                  <w:sz w:val="15"/>
                  <w:szCs w:val="15"/>
                  <w:color w:val="0563C1"/>
                </w:rPr>
                <w:t>Exchange Act of 1934</w:t>
              </w:r>
            </w:hyperlink>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Borders>
              <w:top w:val="single" w:sz="8" w:color="0563C1"/>
            </w:tcBorders>
            <w:gridSpan w:val="5"/>
          </w:tcPr>
          <w:p>
            <w:pPr>
              <w:spacing w:after="0" w:line="143" w:lineRule="exact"/>
              <w:rPr>
                <w:rFonts w:ascii="Arial" w:cs="Arial" w:eastAsia="Arial" w:hAnsi="Arial"/>
                <w:sz w:val="15"/>
                <w:szCs w:val="15"/>
                <w:u w:val="single" w:color="auto"/>
                <w:color w:val="0563C1"/>
              </w:rPr>
            </w:pPr>
            <w:hyperlink r:id="rId128">
              <w:r>
                <w:rPr>
                  <w:rFonts w:ascii="Arial" w:cs="Arial" w:eastAsia="Arial" w:hAnsi="Arial"/>
                  <w:sz w:val="15"/>
                  <w:szCs w:val="15"/>
                  <w:u w:val="single" w:color="auto"/>
                  <w:color w:val="0563C1"/>
                </w:rPr>
                <w:t>Form of Warrant</w:t>
              </w:r>
            </w:hyperlink>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440" w:type="dxa"/>
            <w:vAlign w:val="bottom"/>
          </w:tcPr>
          <w:p>
            <w:pPr>
              <w:spacing w:after="0"/>
              <w:rPr>
                <w:sz w:val="12"/>
                <w:szCs w:val="12"/>
                <w:color w:val="auto"/>
              </w:rPr>
            </w:pPr>
          </w:p>
        </w:tc>
        <w:tc>
          <w:tcPr>
            <w:tcW w:w="19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gridSpan w:val="2"/>
          </w:tcPr>
          <w:p>
            <w:pPr>
              <w:jc w:val="center"/>
              <w:ind w:right="160"/>
              <w:spacing w:after="0" w:line="143" w:lineRule="exact"/>
              <w:rPr>
                <w:sz w:val="20"/>
                <w:szCs w:val="20"/>
                <w:color w:val="auto"/>
              </w:rPr>
            </w:pPr>
            <w:r>
              <w:rPr>
                <w:rFonts w:ascii="Arial" w:cs="Arial" w:eastAsia="Arial" w:hAnsi="Arial"/>
                <w:sz w:val="15"/>
                <w:szCs w:val="15"/>
                <w:color w:val="auto"/>
                <w:w w:val="95"/>
              </w:rPr>
              <w:t>S-3/A</w:t>
            </w:r>
          </w:p>
        </w:tc>
        <w:tc>
          <w:tcPr>
            <w:tcW w:w="1080" w:type="dxa"/>
            <w:vAlign w:val="bottom"/>
          </w:tcPr>
          <w:p>
            <w:pPr>
              <w:jc w:val="center"/>
              <w:spacing w:after="0" w:line="143" w:lineRule="exact"/>
              <w:rPr>
                <w:sz w:val="20"/>
                <w:szCs w:val="20"/>
                <w:color w:val="auto"/>
              </w:rPr>
            </w:pPr>
            <w:r>
              <w:rPr>
                <w:rFonts w:ascii="Arial" w:cs="Arial" w:eastAsia="Arial" w:hAnsi="Arial"/>
                <w:sz w:val="15"/>
                <w:szCs w:val="15"/>
                <w:color w:val="auto"/>
                <w:w w:val="92"/>
              </w:rPr>
              <w:t>333-237577</w:t>
            </w:r>
          </w:p>
        </w:tc>
        <w:tc>
          <w:tcPr>
            <w:tcW w:w="2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5"/>
                <w:szCs w:val="15"/>
                <w:color w:val="auto"/>
                <w:w w:val="95"/>
              </w:rPr>
              <w:t>4.3</w:t>
            </w:r>
          </w:p>
        </w:tc>
        <w:tc>
          <w:tcPr>
            <w:tcW w:w="100" w:type="dxa"/>
            <w:vAlign w:val="bottom"/>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Arial" w:cs="Arial" w:eastAsia="Arial" w:hAnsi="Arial"/>
                <w:sz w:val="15"/>
                <w:szCs w:val="15"/>
                <w:color w:val="auto"/>
                <w:w w:val="94"/>
              </w:rPr>
              <w:t>May 1, 2020</w:t>
            </w:r>
          </w:p>
        </w:tc>
        <w:tc>
          <w:tcPr>
            <w:tcW w:w="0" w:type="dxa"/>
            <w:vAlign w:val="bottom"/>
          </w:tcPr>
          <w:p>
            <w:pPr>
              <w:spacing w:after="0"/>
              <w:rPr>
                <w:sz w:val="1"/>
                <w:szCs w:val="1"/>
                <w:color w:val="auto"/>
              </w:rPr>
            </w:pPr>
          </w:p>
        </w:tc>
      </w:tr>
      <w:tr>
        <w:trPr>
          <w:trHeight w:val="161"/>
        </w:trPr>
        <w:tc>
          <w:tcPr>
            <w:tcW w:w="6040" w:type="dxa"/>
            <w:vAlign w:val="bottom"/>
            <w:gridSpan w:val="22"/>
          </w:tcPr>
          <w:p>
            <w:pPr>
              <w:spacing w:after="0" w:line="161" w:lineRule="exact"/>
              <w:rPr>
                <w:rFonts w:ascii="Arial" w:cs="Arial" w:eastAsia="Arial" w:hAnsi="Arial"/>
                <w:sz w:val="15"/>
                <w:szCs w:val="15"/>
                <w:u w:val="single" w:color="auto"/>
                <w:color w:val="0563C1"/>
              </w:rPr>
            </w:pPr>
            <w:hyperlink r:id="rId129">
              <w:r>
                <w:rPr>
                  <w:rFonts w:ascii="Arial" w:cs="Arial" w:eastAsia="Arial" w:hAnsi="Arial"/>
                  <w:sz w:val="15"/>
                  <w:szCs w:val="15"/>
                  <w:u w:val="single" w:color="auto"/>
                  <w:color w:val="0563C1"/>
                </w:rPr>
                <w:t>Form of Warrant Agent Agreement</w:t>
              </w:r>
            </w:hyperlink>
          </w:p>
        </w:tc>
        <w:tc>
          <w:tcPr>
            <w:tcW w:w="960" w:type="dxa"/>
            <w:vAlign w:val="bottom"/>
            <w:gridSpan w:val="2"/>
          </w:tcPr>
          <w:p>
            <w:pPr>
              <w:jc w:val="center"/>
              <w:ind w:right="160"/>
              <w:spacing w:after="0" w:line="161" w:lineRule="exact"/>
              <w:rPr>
                <w:sz w:val="20"/>
                <w:szCs w:val="20"/>
                <w:color w:val="auto"/>
              </w:rPr>
            </w:pPr>
            <w:r>
              <w:rPr>
                <w:rFonts w:ascii="Arial" w:cs="Arial" w:eastAsia="Arial" w:hAnsi="Arial"/>
                <w:sz w:val="15"/>
                <w:szCs w:val="15"/>
                <w:color w:val="auto"/>
                <w:w w:val="95"/>
              </w:rPr>
              <w:t>S-3/A</w:t>
            </w:r>
          </w:p>
        </w:tc>
        <w:tc>
          <w:tcPr>
            <w:tcW w:w="1080" w:type="dxa"/>
            <w:vAlign w:val="bottom"/>
          </w:tcPr>
          <w:p>
            <w:pPr>
              <w:jc w:val="center"/>
              <w:spacing w:after="0" w:line="161" w:lineRule="exact"/>
              <w:rPr>
                <w:sz w:val="20"/>
                <w:szCs w:val="20"/>
                <w:color w:val="auto"/>
              </w:rPr>
            </w:pPr>
            <w:r>
              <w:rPr>
                <w:rFonts w:ascii="Arial" w:cs="Arial" w:eastAsia="Arial" w:hAnsi="Arial"/>
                <w:sz w:val="15"/>
                <w:szCs w:val="15"/>
                <w:color w:val="auto"/>
                <w:w w:val="92"/>
              </w:rPr>
              <w:t>333-237577</w:t>
            </w:r>
          </w:p>
        </w:tc>
        <w:tc>
          <w:tcPr>
            <w:tcW w:w="20" w:type="dxa"/>
            <w:vAlign w:val="bottom"/>
          </w:tcPr>
          <w:p>
            <w:pPr>
              <w:spacing w:after="0"/>
              <w:rPr>
                <w:sz w:val="14"/>
                <w:szCs w:val="14"/>
                <w:color w:val="auto"/>
              </w:rPr>
            </w:pPr>
          </w:p>
        </w:tc>
        <w:tc>
          <w:tcPr>
            <w:tcW w:w="680" w:type="dxa"/>
            <w:vAlign w:val="bottom"/>
          </w:tcPr>
          <w:p>
            <w:pPr>
              <w:jc w:val="center"/>
              <w:spacing w:after="0" w:line="161" w:lineRule="exact"/>
              <w:rPr>
                <w:sz w:val="20"/>
                <w:szCs w:val="20"/>
                <w:color w:val="auto"/>
              </w:rPr>
            </w:pPr>
            <w:r>
              <w:rPr>
                <w:rFonts w:ascii="Arial" w:cs="Arial" w:eastAsia="Arial" w:hAnsi="Arial"/>
                <w:sz w:val="15"/>
                <w:szCs w:val="15"/>
                <w:color w:val="auto"/>
                <w:w w:val="95"/>
              </w:rPr>
              <w:t>4.4</w:t>
            </w:r>
          </w:p>
        </w:tc>
        <w:tc>
          <w:tcPr>
            <w:tcW w:w="100" w:type="dxa"/>
            <w:vAlign w:val="bottom"/>
          </w:tcPr>
          <w:p>
            <w:pPr>
              <w:spacing w:after="0"/>
              <w:rPr>
                <w:sz w:val="14"/>
                <w:szCs w:val="14"/>
                <w:color w:val="auto"/>
              </w:rPr>
            </w:pPr>
          </w:p>
        </w:tc>
        <w:tc>
          <w:tcPr>
            <w:tcW w:w="1480" w:type="dxa"/>
            <w:vAlign w:val="bottom"/>
          </w:tcPr>
          <w:p>
            <w:pPr>
              <w:jc w:val="center"/>
              <w:spacing w:after="0" w:line="161" w:lineRule="exact"/>
              <w:rPr>
                <w:sz w:val="20"/>
                <w:szCs w:val="20"/>
                <w:color w:val="auto"/>
              </w:rPr>
            </w:pPr>
            <w:r>
              <w:rPr>
                <w:rFonts w:ascii="Arial" w:cs="Arial" w:eastAsia="Arial" w:hAnsi="Arial"/>
                <w:sz w:val="15"/>
                <w:szCs w:val="15"/>
                <w:color w:val="auto"/>
                <w:w w:val="94"/>
              </w:rPr>
              <w:t>May 1, 2020</w:t>
            </w:r>
          </w:p>
        </w:tc>
        <w:tc>
          <w:tcPr>
            <w:tcW w:w="0" w:type="dxa"/>
            <w:vAlign w:val="bottom"/>
          </w:tcPr>
          <w:p>
            <w:pPr>
              <w:spacing w:after="0"/>
              <w:rPr>
                <w:sz w:val="1"/>
                <w:szCs w:val="1"/>
                <w:color w:val="auto"/>
              </w:rPr>
            </w:pPr>
          </w:p>
        </w:tc>
      </w:tr>
      <w:tr>
        <w:trPr>
          <w:trHeight w:val="161"/>
        </w:trPr>
        <w:tc>
          <w:tcPr>
            <w:tcW w:w="6040" w:type="dxa"/>
            <w:vAlign w:val="bottom"/>
            <w:gridSpan w:val="22"/>
          </w:tcPr>
          <w:p>
            <w:pPr>
              <w:spacing w:after="0" w:line="161" w:lineRule="exact"/>
              <w:rPr>
                <w:rFonts w:ascii="Arial" w:cs="Arial" w:eastAsia="Arial" w:hAnsi="Arial"/>
                <w:sz w:val="15"/>
                <w:szCs w:val="15"/>
                <w:u w:val="single" w:color="auto"/>
                <w:color w:val="0563C1"/>
              </w:rPr>
            </w:pPr>
            <w:hyperlink r:id="rId130">
              <w:r>
                <w:rPr>
                  <w:rFonts w:ascii="Arial" w:cs="Arial" w:eastAsia="Arial" w:hAnsi="Arial"/>
                  <w:sz w:val="15"/>
                  <w:szCs w:val="15"/>
                  <w:u w:val="single" w:color="auto"/>
                  <w:color w:val="0563C1"/>
                </w:rPr>
                <w:t>Lease for facilities at 3955 Point Eden Way, Hayward, California, dated January 26, 2017</w:t>
              </w:r>
            </w:hyperlink>
          </w:p>
        </w:tc>
        <w:tc>
          <w:tcPr>
            <w:tcW w:w="960" w:type="dxa"/>
            <w:vAlign w:val="bottom"/>
            <w:gridSpan w:val="2"/>
          </w:tcPr>
          <w:p>
            <w:pPr>
              <w:jc w:val="center"/>
              <w:ind w:right="160"/>
              <w:spacing w:after="0" w:line="161" w:lineRule="exact"/>
              <w:rPr>
                <w:sz w:val="20"/>
                <w:szCs w:val="20"/>
                <w:color w:val="auto"/>
              </w:rPr>
            </w:pPr>
            <w:r>
              <w:rPr>
                <w:rFonts w:ascii="Arial" w:cs="Arial" w:eastAsia="Arial" w:hAnsi="Arial"/>
                <w:sz w:val="15"/>
                <w:szCs w:val="15"/>
                <w:color w:val="auto"/>
              </w:rPr>
              <w:t>10-K</w:t>
            </w:r>
          </w:p>
        </w:tc>
        <w:tc>
          <w:tcPr>
            <w:tcW w:w="1080" w:type="dxa"/>
            <w:vAlign w:val="bottom"/>
          </w:tcPr>
          <w:p>
            <w:pPr>
              <w:jc w:val="center"/>
              <w:spacing w:after="0" w:line="161" w:lineRule="exact"/>
              <w:rPr>
                <w:sz w:val="20"/>
                <w:szCs w:val="20"/>
                <w:color w:val="auto"/>
              </w:rPr>
            </w:pPr>
            <w:r>
              <w:rPr>
                <w:rFonts w:ascii="Arial" w:cs="Arial" w:eastAsia="Arial" w:hAnsi="Arial"/>
                <w:sz w:val="15"/>
                <w:szCs w:val="15"/>
                <w:color w:val="auto"/>
                <w:w w:val="94"/>
              </w:rPr>
              <w:t>001-34899</w:t>
            </w:r>
          </w:p>
        </w:tc>
        <w:tc>
          <w:tcPr>
            <w:tcW w:w="20" w:type="dxa"/>
            <w:vAlign w:val="bottom"/>
          </w:tcPr>
          <w:p>
            <w:pPr>
              <w:spacing w:after="0"/>
              <w:rPr>
                <w:sz w:val="14"/>
                <w:szCs w:val="14"/>
                <w:color w:val="auto"/>
              </w:rPr>
            </w:pPr>
          </w:p>
        </w:tc>
        <w:tc>
          <w:tcPr>
            <w:tcW w:w="680" w:type="dxa"/>
            <w:vAlign w:val="bottom"/>
          </w:tcPr>
          <w:p>
            <w:pPr>
              <w:jc w:val="center"/>
              <w:spacing w:after="0" w:line="161" w:lineRule="exact"/>
              <w:rPr>
                <w:sz w:val="20"/>
                <w:szCs w:val="20"/>
                <w:color w:val="auto"/>
              </w:rPr>
            </w:pPr>
            <w:r>
              <w:rPr>
                <w:rFonts w:ascii="Arial" w:cs="Arial" w:eastAsia="Arial" w:hAnsi="Arial"/>
                <w:sz w:val="15"/>
                <w:szCs w:val="15"/>
                <w:color w:val="auto"/>
                <w:w w:val="95"/>
              </w:rPr>
              <w:t>10.1</w:t>
            </w:r>
          </w:p>
        </w:tc>
        <w:tc>
          <w:tcPr>
            <w:tcW w:w="100" w:type="dxa"/>
            <w:vAlign w:val="bottom"/>
          </w:tcPr>
          <w:p>
            <w:pPr>
              <w:spacing w:after="0"/>
              <w:rPr>
                <w:sz w:val="14"/>
                <w:szCs w:val="14"/>
                <w:color w:val="auto"/>
              </w:rPr>
            </w:pPr>
          </w:p>
        </w:tc>
        <w:tc>
          <w:tcPr>
            <w:tcW w:w="1480" w:type="dxa"/>
            <w:vAlign w:val="bottom"/>
          </w:tcPr>
          <w:p>
            <w:pPr>
              <w:jc w:val="center"/>
              <w:spacing w:after="0" w:line="161" w:lineRule="exact"/>
              <w:rPr>
                <w:sz w:val="20"/>
                <w:szCs w:val="20"/>
                <w:color w:val="auto"/>
              </w:rPr>
            </w:pPr>
            <w:r>
              <w:rPr>
                <w:rFonts w:ascii="Arial" w:cs="Arial" w:eastAsia="Arial" w:hAnsi="Arial"/>
                <w:sz w:val="15"/>
                <w:szCs w:val="15"/>
                <w:color w:val="auto"/>
                <w:w w:val="93"/>
              </w:rPr>
              <w:t>March 20, 2017</w:t>
            </w:r>
          </w:p>
        </w:tc>
        <w:tc>
          <w:tcPr>
            <w:tcW w:w="0" w:type="dxa"/>
            <w:vAlign w:val="bottom"/>
          </w:tcPr>
          <w:p>
            <w:pPr>
              <w:spacing w:after="0"/>
              <w:rPr>
                <w:sz w:val="1"/>
                <w:szCs w:val="1"/>
                <w:color w:val="auto"/>
              </w:rPr>
            </w:pPr>
          </w:p>
        </w:tc>
      </w:tr>
      <w:tr>
        <w:trPr>
          <w:trHeight w:val="160"/>
        </w:trPr>
        <w:tc>
          <w:tcPr>
            <w:tcW w:w="6040" w:type="dxa"/>
            <w:vAlign w:val="bottom"/>
            <w:gridSpan w:val="22"/>
          </w:tcPr>
          <w:p>
            <w:pPr>
              <w:spacing w:after="0" w:line="161" w:lineRule="exact"/>
              <w:rPr>
                <w:rFonts w:ascii="Arial" w:cs="Arial" w:eastAsia="Arial" w:hAnsi="Arial"/>
                <w:sz w:val="15"/>
                <w:szCs w:val="15"/>
                <w:color w:val="0563C1"/>
                <w:w w:val="99"/>
              </w:rPr>
            </w:pPr>
            <w:hyperlink r:id="rId131">
              <w:r>
                <w:rPr>
                  <w:rFonts w:ascii="Arial" w:cs="Arial" w:eastAsia="Arial" w:hAnsi="Arial"/>
                  <w:sz w:val="15"/>
                  <w:szCs w:val="15"/>
                  <w:color w:val="0563C1"/>
                  <w:w w:val="99"/>
                </w:rPr>
                <w:t>License Agreement among Old Dominion University Research Foundation, Eastern Virginia</w:t>
              </w:r>
            </w:hyperlink>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5"/>
                <w:szCs w:val="15"/>
                <w:color w:val="auto"/>
                <w:w w:val="85"/>
              </w:rPr>
              <w:t>S-1</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w w:val="92"/>
              </w:rPr>
              <w:t>333-208694</w:t>
            </w:r>
          </w:p>
        </w:tc>
        <w:tc>
          <w:tcPr>
            <w:tcW w:w="2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5"/>
                <w:szCs w:val="15"/>
                <w:color w:val="auto"/>
                <w:w w:val="95"/>
              </w:rPr>
              <w:t>10.12</w:t>
            </w:r>
          </w:p>
        </w:tc>
        <w:tc>
          <w:tcPr>
            <w:tcW w:w="10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5"/>
                <w:szCs w:val="15"/>
                <w:color w:val="auto"/>
                <w:w w:val="94"/>
              </w:rPr>
              <w:t>May 3, 2016</w:t>
            </w:r>
          </w:p>
        </w:tc>
        <w:tc>
          <w:tcPr>
            <w:tcW w:w="0" w:type="dxa"/>
            <w:vAlign w:val="bottom"/>
          </w:tcPr>
          <w:p>
            <w:pPr>
              <w:spacing w:after="0"/>
              <w:rPr>
                <w:sz w:val="1"/>
                <w:szCs w:val="1"/>
                <w:color w:val="auto"/>
              </w:rPr>
            </w:pPr>
          </w:p>
        </w:tc>
      </w:tr>
      <w:tr>
        <w:trPr>
          <w:trHeight w:val="141"/>
        </w:trPr>
        <w:tc>
          <w:tcPr>
            <w:tcW w:w="5940" w:type="dxa"/>
            <w:vAlign w:val="bottom"/>
            <w:tcBorders>
              <w:top w:val="single" w:sz="8" w:color="0563C1"/>
            </w:tcBorders>
            <w:gridSpan w:val="17"/>
          </w:tcPr>
          <w:p>
            <w:pPr>
              <w:spacing w:after="0" w:line="141" w:lineRule="exact"/>
              <w:rPr>
                <w:rFonts w:ascii="Arial" w:cs="Arial" w:eastAsia="Arial" w:hAnsi="Arial"/>
                <w:sz w:val="15"/>
                <w:szCs w:val="15"/>
                <w:color w:val="0563C1"/>
              </w:rPr>
            </w:pPr>
            <w:hyperlink r:id="rId131">
              <w:r>
                <w:rPr>
                  <w:rFonts w:ascii="Arial" w:cs="Arial" w:eastAsia="Arial" w:hAnsi="Arial"/>
                  <w:sz w:val="15"/>
                  <w:szCs w:val="15"/>
                  <w:color w:val="0563C1"/>
                </w:rPr>
                <w:t>Medical School and the Registrant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20" w:type="dxa"/>
            <w:vAlign w:val="bottom"/>
            <w:tcBorders>
              <w:top w:val="single" w:sz="8" w:color="0563C1"/>
            </w:tcBorders>
            <w:gridSpan w:val="7"/>
          </w:tcPr>
          <w:p>
            <w:pPr>
              <w:spacing w:after="0" w:line="141" w:lineRule="exact"/>
              <w:rPr>
                <w:rFonts w:ascii="Arial" w:cs="Arial" w:eastAsia="Arial" w:hAnsi="Arial"/>
                <w:sz w:val="15"/>
                <w:szCs w:val="15"/>
                <w:color w:val="0563C1"/>
              </w:rPr>
            </w:pPr>
            <w:hyperlink r:id="rId132">
              <w:r>
                <w:rPr>
                  <w:rFonts w:ascii="Arial" w:cs="Arial" w:eastAsia="Arial" w:hAnsi="Arial"/>
                  <w:sz w:val="15"/>
                  <w:szCs w:val="15"/>
                  <w:color w:val="0563C1"/>
                </w:rPr>
                <w:t>Amendments No. 1 to License</w:t>
              </w:r>
            </w:hyperlink>
          </w:p>
        </w:tc>
        <w:tc>
          <w:tcPr>
            <w:tcW w:w="3920" w:type="dxa"/>
            <w:vAlign w:val="bottom"/>
            <w:gridSpan w:val="15"/>
          </w:tcPr>
          <w:p>
            <w:pPr>
              <w:jc w:val="right"/>
              <w:ind w:right="160"/>
              <w:spacing w:after="0" w:line="141" w:lineRule="exact"/>
              <w:rPr>
                <w:rFonts w:ascii="Arial" w:cs="Arial" w:eastAsia="Arial" w:hAnsi="Arial"/>
                <w:sz w:val="15"/>
                <w:szCs w:val="15"/>
                <w:color w:val="0563C1"/>
              </w:rPr>
            </w:pPr>
            <w:hyperlink r:id="rId132">
              <w:r>
                <w:rPr>
                  <w:rFonts w:ascii="Arial" w:cs="Arial" w:eastAsia="Arial" w:hAnsi="Arial"/>
                  <w:sz w:val="15"/>
                  <w:szCs w:val="15"/>
                  <w:color w:val="0563C1"/>
                </w:rPr>
                <w:t>Agreement among Old Dominion University Research</w:t>
              </w:r>
            </w:hyperlink>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5"/>
                <w:szCs w:val="15"/>
                <w:color w:val="auto"/>
                <w:w w:val="85"/>
              </w:rPr>
              <w:t>S-1</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w w:val="92"/>
              </w:rPr>
              <w:t>333-208694</w:t>
            </w:r>
          </w:p>
        </w:tc>
        <w:tc>
          <w:tcPr>
            <w:tcW w:w="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5"/>
                <w:szCs w:val="15"/>
                <w:color w:val="auto"/>
                <w:w w:val="95"/>
              </w:rPr>
              <w:t>10.13</w:t>
            </w: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5"/>
                <w:szCs w:val="15"/>
                <w:color w:val="auto"/>
                <w:w w:val="93"/>
              </w:rPr>
              <w:t>March 7, 2016</w:t>
            </w:r>
          </w:p>
        </w:tc>
        <w:tc>
          <w:tcPr>
            <w:tcW w:w="0" w:type="dxa"/>
            <w:vAlign w:val="bottom"/>
          </w:tcPr>
          <w:p>
            <w:pPr>
              <w:spacing w:after="0"/>
              <w:rPr>
                <w:sz w:val="1"/>
                <w:szCs w:val="1"/>
                <w:color w:val="auto"/>
              </w:rPr>
            </w:pPr>
          </w:p>
        </w:tc>
      </w:tr>
      <w:tr>
        <w:trPr>
          <w:trHeight w:val="141"/>
        </w:trPr>
        <w:tc>
          <w:tcPr>
            <w:tcW w:w="5880" w:type="dxa"/>
            <w:vAlign w:val="bottom"/>
            <w:tcBorders>
              <w:top w:val="single" w:sz="8" w:color="0563C1"/>
            </w:tcBorders>
            <w:gridSpan w:val="14"/>
          </w:tcPr>
          <w:p>
            <w:pPr>
              <w:spacing w:after="0" w:line="141" w:lineRule="exact"/>
              <w:rPr>
                <w:rFonts w:ascii="Arial" w:cs="Arial" w:eastAsia="Arial" w:hAnsi="Arial"/>
                <w:sz w:val="15"/>
                <w:szCs w:val="15"/>
                <w:color w:val="0563C1"/>
              </w:rPr>
            </w:pPr>
            <w:hyperlink r:id="rId132">
              <w:r>
                <w:rPr>
                  <w:rFonts w:ascii="Arial" w:cs="Arial" w:eastAsia="Arial" w:hAnsi="Arial"/>
                  <w:sz w:val="15"/>
                  <w:szCs w:val="15"/>
                  <w:color w:val="0563C1"/>
                </w:rPr>
                <w:t>Foundation, Eastern Virginia Medical School and the Registrant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40" w:type="dxa"/>
            <w:vAlign w:val="bottom"/>
            <w:tcBorders>
              <w:top w:val="single" w:sz="8" w:color="0563C1"/>
            </w:tcBorders>
            <w:gridSpan w:val="11"/>
          </w:tcPr>
          <w:p>
            <w:pPr>
              <w:spacing w:after="0" w:line="141" w:lineRule="exact"/>
              <w:rPr>
                <w:rFonts w:ascii="Arial" w:cs="Arial" w:eastAsia="Arial" w:hAnsi="Arial"/>
                <w:sz w:val="15"/>
                <w:szCs w:val="15"/>
                <w:color w:val="0563C1"/>
                <w:w w:val="97"/>
              </w:rPr>
            </w:pPr>
            <w:hyperlink r:id="rId133">
              <w:r>
                <w:rPr>
                  <w:rFonts w:ascii="Arial" w:cs="Arial" w:eastAsia="Arial" w:hAnsi="Arial"/>
                  <w:sz w:val="15"/>
                  <w:szCs w:val="15"/>
                  <w:color w:val="0563C1"/>
                  <w:w w:val="97"/>
                </w:rPr>
                <w:t>License Agreement among University of Southern California,</w:t>
              </w:r>
            </w:hyperlink>
          </w:p>
        </w:tc>
        <w:tc>
          <w:tcPr>
            <w:tcW w:w="2100" w:type="dxa"/>
            <w:vAlign w:val="bottom"/>
            <w:gridSpan w:val="11"/>
          </w:tcPr>
          <w:p>
            <w:pPr>
              <w:jc w:val="right"/>
              <w:ind w:right="160"/>
              <w:spacing w:after="0" w:line="141" w:lineRule="exact"/>
              <w:rPr>
                <w:rFonts w:ascii="Arial" w:cs="Arial" w:eastAsia="Arial" w:hAnsi="Arial"/>
                <w:sz w:val="15"/>
                <w:szCs w:val="15"/>
                <w:color w:val="0563C1"/>
                <w:w w:val="97"/>
              </w:rPr>
            </w:pPr>
            <w:hyperlink r:id="rId133">
              <w:r>
                <w:rPr>
                  <w:rFonts w:ascii="Arial" w:cs="Arial" w:eastAsia="Arial" w:hAnsi="Arial"/>
                  <w:sz w:val="15"/>
                  <w:szCs w:val="15"/>
                  <w:color w:val="0563C1"/>
                  <w:w w:val="97"/>
                </w:rPr>
                <w:t>The Alfred Mann Institute and</w:t>
              </w:r>
            </w:hyperlink>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5"/>
                <w:szCs w:val="15"/>
                <w:color w:val="auto"/>
                <w:w w:val="85"/>
              </w:rPr>
              <w:t>S-1</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w w:val="92"/>
              </w:rPr>
              <w:t>333-208694</w:t>
            </w:r>
          </w:p>
        </w:tc>
        <w:tc>
          <w:tcPr>
            <w:tcW w:w="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5"/>
                <w:szCs w:val="15"/>
                <w:color w:val="auto"/>
                <w:w w:val="95"/>
              </w:rPr>
              <w:t>10.14</w:t>
            </w: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5"/>
                <w:szCs w:val="15"/>
                <w:color w:val="auto"/>
                <w:w w:val="94"/>
              </w:rPr>
              <w:t>May 3, 2016</w:t>
            </w:r>
          </w:p>
        </w:tc>
        <w:tc>
          <w:tcPr>
            <w:tcW w:w="0" w:type="dxa"/>
            <w:vAlign w:val="bottom"/>
          </w:tcPr>
          <w:p>
            <w:pPr>
              <w:spacing w:after="0"/>
              <w:rPr>
                <w:sz w:val="1"/>
                <w:szCs w:val="1"/>
                <w:color w:val="auto"/>
              </w:rPr>
            </w:pPr>
          </w:p>
        </w:tc>
      </w:tr>
      <w:tr>
        <w:trPr>
          <w:trHeight w:val="141"/>
        </w:trPr>
        <w:tc>
          <w:tcPr>
            <w:tcW w:w="6000" w:type="dxa"/>
            <w:vAlign w:val="bottom"/>
            <w:tcBorders>
              <w:top w:val="single" w:sz="8" w:color="0563C1"/>
            </w:tcBorders>
            <w:gridSpan w:val="20"/>
          </w:tcPr>
          <w:p>
            <w:pPr>
              <w:spacing w:after="0" w:line="141" w:lineRule="exact"/>
              <w:rPr>
                <w:rFonts w:ascii="Arial" w:cs="Arial" w:eastAsia="Arial" w:hAnsi="Arial"/>
                <w:sz w:val="15"/>
                <w:szCs w:val="15"/>
                <w:color w:val="0563C1"/>
              </w:rPr>
            </w:pPr>
            <w:hyperlink r:id="rId133">
              <w:r>
                <w:rPr>
                  <w:rFonts w:ascii="Arial" w:cs="Arial" w:eastAsia="Arial" w:hAnsi="Arial"/>
                  <w:sz w:val="15"/>
                  <w:szCs w:val="15"/>
                  <w:color w:val="0563C1"/>
                </w:rPr>
                <w:t>the Registrant</w:t>
              </w:r>
            </w:hyperlink>
          </w:p>
        </w:tc>
        <w:tc>
          <w:tcPr>
            <w:tcW w:w="40" w:type="dxa"/>
            <w:vAlign w:val="bottom"/>
            <w:gridSpan w:val="2"/>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60" w:type="dxa"/>
            <w:vAlign w:val="bottom"/>
            <w:tcBorders>
              <w:top w:val="single" w:sz="8" w:color="0563C1"/>
            </w:tcBorders>
            <w:gridSpan w:val="2"/>
          </w:tcPr>
          <w:p>
            <w:pPr>
              <w:spacing w:after="0" w:line="141" w:lineRule="exact"/>
              <w:rPr>
                <w:rFonts w:ascii="Arial" w:cs="Arial" w:eastAsia="Arial" w:hAnsi="Arial"/>
                <w:sz w:val="15"/>
                <w:szCs w:val="15"/>
                <w:color w:val="0563C1"/>
              </w:rPr>
            </w:pPr>
            <w:hyperlink r:id="rId134">
              <w:r>
                <w:rPr>
                  <w:rFonts w:ascii="Arial" w:cs="Arial" w:eastAsia="Arial" w:hAnsi="Arial"/>
                  <w:sz w:val="15"/>
                  <w:szCs w:val="15"/>
                  <w:color w:val="0563C1"/>
                </w:rPr>
                <w:t>Amendment</w:t>
              </w:r>
            </w:hyperlink>
          </w:p>
        </w:tc>
        <w:tc>
          <w:tcPr>
            <w:tcW w:w="5180" w:type="dxa"/>
            <w:vAlign w:val="bottom"/>
            <w:gridSpan w:val="20"/>
          </w:tcPr>
          <w:p>
            <w:pPr>
              <w:jc w:val="right"/>
              <w:ind w:right="160"/>
              <w:spacing w:after="0" w:line="141" w:lineRule="exact"/>
              <w:rPr>
                <w:rFonts w:ascii="Arial" w:cs="Arial" w:eastAsia="Arial" w:hAnsi="Arial"/>
                <w:sz w:val="15"/>
                <w:szCs w:val="15"/>
                <w:color w:val="0563C1"/>
                <w:w w:val="97"/>
              </w:rPr>
            </w:pPr>
            <w:hyperlink r:id="rId134">
              <w:r>
                <w:rPr>
                  <w:rFonts w:ascii="Arial" w:cs="Arial" w:eastAsia="Arial" w:hAnsi="Arial"/>
                  <w:sz w:val="15"/>
                  <w:szCs w:val="15"/>
                  <w:color w:val="0563C1"/>
                  <w:w w:val="97"/>
                </w:rPr>
                <w:t>No. 1 to the License Agreement among University of Southern California, The</w:t>
              </w:r>
            </w:hyperlink>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5"/>
                <w:szCs w:val="15"/>
                <w:color w:val="auto"/>
                <w:w w:val="85"/>
              </w:rPr>
              <w:t>S-1</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w w:val="92"/>
              </w:rPr>
              <w:t>333-208694</w:t>
            </w:r>
          </w:p>
        </w:tc>
        <w:tc>
          <w:tcPr>
            <w:tcW w:w="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5"/>
                <w:szCs w:val="15"/>
                <w:color w:val="auto"/>
                <w:w w:val="95"/>
              </w:rPr>
              <w:t>10.15</w:t>
            </w: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5"/>
                <w:szCs w:val="15"/>
                <w:color w:val="auto"/>
                <w:w w:val="94"/>
              </w:rPr>
              <w:t>May 3, 2016</w:t>
            </w:r>
          </w:p>
        </w:tc>
        <w:tc>
          <w:tcPr>
            <w:tcW w:w="0" w:type="dxa"/>
            <w:vAlign w:val="bottom"/>
          </w:tcPr>
          <w:p>
            <w:pPr>
              <w:spacing w:after="0"/>
              <w:rPr>
                <w:sz w:val="1"/>
                <w:szCs w:val="1"/>
                <w:color w:val="auto"/>
              </w:rPr>
            </w:pPr>
          </w:p>
        </w:tc>
      </w:tr>
      <w:tr>
        <w:trPr>
          <w:trHeight w:val="141"/>
        </w:trPr>
        <w:tc>
          <w:tcPr>
            <w:tcW w:w="5920" w:type="dxa"/>
            <w:vAlign w:val="bottom"/>
            <w:tcBorders>
              <w:top w:val="single" w:sz="8" w:color="0563C1"/>
            </w:tcBorders>
            <w:gridSpan w:val="16"/>
          </w:tcPr>
          <w:p>
            <w:pPr>
              <w:spacing w:after="0" w:line="141" w:lineRule="exact"/>
              <w:rPr>
                <w:rFonts w:ascii="Arial" w:cs="Arial" w:eastAsia="Arial" w:hAnsi="Arial"/>
                <w:sz w:val="15"/>
                <w:szCs w:val="15"/>
                <w:color w:val="0563C1"/>
              </w:rPr>
            </w:pPr>
            <w:hyperlink r:id="rId134">
              <w:r>
                <w:rPr>
                  <w:rFonts w:ascii="Arial" w:cs="Arial" w:eastAsia="Arial" w:hAnsi="Arial"/>
                  <w:sz w:val="15"/>
                  <w:szCs w:val="15"/>
                  <w:color w:val="0563C1"/>
                </w:rPr>
                <w:t>Alfred Mann Institute and the Registrant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500" w:type="dxa"/>
            <w:vAlign w:val="bottom"/>
            <w:tcBorders>
              <w:top w:val="single" w:sz="8" w:color="0563C1"/>
            </w:tcBorders>
            <w:gridSpan w:val="10"/>
          </w:tcPr>
          <w:p>
            <w:pPr>
              <w:spacing w:after="0" w:line="141" w:lineRule="exact"/>
              <w:rPr>
                <w:rFonts w:ascii="Arial" w:cs="Arial" w:eastAsia="Arial" w:hAnsi="Arial"/>
                <w:sz w:val="15"/>
                <w:szCs w:val="15"/>
                <w:color w:val="0563C1"/>
                <w:w w:val="96"/>
              </w:rPr>
            </w:pPr>
            <w:hyperlink r:id="rId135">
              <w:r>
                <w:rPr>
                  <w:rFonts w:ascii="Arial" w:cs="Arial" w:eastAsia="Arial" w:hAnsi="Arial"/>
                  <w:sz w:val="15"/>
                  <w:szCs w:val="15"/>
                  <w:color w:val="0563C1"/>
                  <w:w w:val="96"/>
                </w:rPr>
                <w:t>Securities Purchase Agreement, dated</w:t>
              </w:r>
            </w:hyperlink>
          </w:p>
        </w:tc>
        <w:tc>
          <w:tcPr>
            <w:tcW w:w="3540" w:type="dxa"/>
            <w:vAlign w:val="bottom"/>
            <w:gridSpan w:val="12"/>
          </w:tcPr>
          <w:p>
            <w:pPr>
              <w:jc w:val="right"/>
              <w:ind w:right="160"/>
              <w:spacing w:after="0" w:line="141" w:lineRule="exact"/>
              <w:rPr>
                <w:rFonts w:ascii="Arial" w:cs="Arial" w:eastAsia="Arial" w:hAnsi="Arial"/>
                <w:sz w:val="15"/>
                <w:szCs w:val="15"/>
                <w:color w:val="0563C1"/>
                <w:w w:val="93"/>
              </w:rPr>
            </w:pPr>
            <w:hyperlink r:id="rId135">
              <w:r>
                <w:rPr>
                  <w:rFonts w:ascii="Arial" w:cs="Arial" w:eastAsia="Arial" w:hAnsi="Arial"/>
                  <w:sz w:val="15"/>
                  <w:szCs w:val="15"/>
                  <w:color w:val="0563C1"/>
                  <w:w w:val="93"/>
                </w:rPr>
                <w:t>February 7, 2017, by and between Pulse Biosciences,</w:t>
              </w:r>
            </w:hyperlink>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5"/>
                <w:szCs w:val="15"/>
                <w:color w:val="auto"/>
              </w:rPr>
              <w:t>8-K</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w w:val="94"/>
              </w:rPr>
              <w:t>001-37744</w:t>
            </w:r>
          </w:p>
        </w:tc>
        <w:tc>
          <w:tcPr>
            <w:tcW w:w="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5"/>
                <w:szCs w:val="15"/>
                <w:color w:val="auto"/>
                <w:w w:val="95"/>
              </w:rPr>
              <w:t>10.1</w:t>
            </w: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5"/>
                <w:szCs w:val="15"/>
                <w:color w:val="auto"/>
                <w:w w:val="91"/>
              </w:rPr>
              <w:t>February 10, 2017</w:t>
            </w:r>
          </w:p>
        </w:tc>
        <w:tc>
          <w:tcPr>
            <w:tcW w:w="0" w:type="dxa"/>
            <w:vAlign w:val="bottom"/>
          </w:tcPr>
          <w:p>
            <w:pPr>
              <w:spacing w:after="0"/>
              <w:rPr>
                <w:sz w:val="1"/>
                <w:szCs w:val="1"/>
                <w:color w:val="auto"/>
              </w:rPr>
            </w:pPr>
          </w:p>
        </w:tc>
      </w:tr>
      <w:tr>
        <w:trPr>
          <w:trHeight w:val="141"/>
        </w:trPr>
        <w:tc>
          <w:tcPr>
            <w:tcW w:w="5960" w:type="dxa"/>
            <w:vAlign w:val="bottom"/>
            <w:tcBorders>
              <w:top w:val="single" w:sz="8" w:color="0563C1"/>
            </w:tcBorders>
            <w:gridSpan w:val="18"/>
          </w:tcPr>
          <w:p>
            <w:pPr>
              <w:spacing w:after="0" w:line="141" w:lineRule="exact"/>
              <w:rPr>
                <w:rFonts w:ascii="Arial" w:cs="Arial" w:eastAsia="Arial" w:hAnsi="Arial"/>
                <w:sz w:val="15"/>
                <w:szCs w:val="15"/>
                <w:color w:val="0563C1"/>
              </w:rPr>
            </w:pPr>
            <w:hyperlink r:id="rId135">
              <w:r>
                <w:rPr>
                  <w:rFonts w:ascii="Arial" w:cs="Arial" w:eastAsia="Arial" w:hAnsi="Arial"/>
                  <w:sz w:val="15"/>
                  <w:szCs w:val="15"/>
                  <w:color w:val="0563C1"/>
                </w:rPr>
                <w:t>Inc. and certain purchasers</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280" w:type="dxa"/>
            <w:vAlign w:val="bottom"/>
            <w:gridSpan w:val="2"/>
            <w:shd w:val="clear" w:color="auto" w:fill="0563C1"/>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040" w:type="dxa"/>
            <w:vAlign w:val="bottom"/>
            <w:gridSpan w:val="22"/>
          </w:tcPr>
          <w:p>
            <w:pPr>
              <w:spacing w:after="0" w:line="141" w:lineRule="exact"/>
              <w:rPr>
                <w:rFonts w:ascii="Arial" w:cs="Arial" w:eastAsia="Arial" w:hAnsi="Arial"/>
                <w:sz w:val="15"/>
                <w:szCs w:val="15"/>
                <w:color w:val="0563C1"/>
                <w:w w:val="93"/>
              </w:rPr>
            </w:pPr>
            <w:hyperlink r:id="rId136">
              <w:r>
                <w:rPr>
                  <w:rFonts w:ascii="Arial" w:cs="Arial" w:eastAsia="Arial" w:hAnsi="Arial"/>
                  <w:sz w:val="15"/>
                  <w:szCs w:val="15"/>
                  <w:color w:val="0563C1"/>
                  <w:w w:val="93"/>
                </w:rPr>
                <w:t>Securities Purchase Agreement, dated September 24, 2017, by and between Pulse Biosciences,</w:t>
              </w:r>
            </w:hyperlink>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5"/>
                <w:szCs w:val="15"/>
                <w:color w:val="auto"/>
              </w:rPr>
              <w:t>8-K</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w w:val="94"/>
              </w:rPr>
              <w:t>001-37744</w:t>
            </w:r>
          </w:p>
        </w:tc>
        <w:tc>
          <w:tcPr>
            <w:tcW w:w="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5"/>
                <w:szCs w:val="15"/>
                <w:color w:val="auto"/>
                <w:w w:val="95"/>
              </w:rPr>
              <w:t>10.1</w:t>
            </w: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5"/>
                <w:szCs w:val="15"/>
                <w:color w:val="auto"/>
                <w:w w:val="91"/>
              </w:rPr>
              <w:t>September 25, 2017</w:t>
            </w:r>
          </w:p>
        </w:tc>
        <w:tc>
          <w:tcPr>
            <w:tcW w:w="0" w:type="dxa"/>
            <w:vAlign w:val="bottom"/>
          </w:tcPr>
          <w:p>
            <w:pPr>
              <w:spacing w:after="0"/>
              <w:rPr>
                <w:sz w:val="1"/>
                <w:szCs w:val="1"/>
                <w:color w:val="auto"/>
              </w:rPr>
            </w:pPr>
          </w:p>
        </w:tc>
      </w:tr>
      <w:tr>
        <w:trPr>
          <w:trHeight w:val="141"/>
        </w:trPr>
        <w:tc>
          <w:tcPr>
            <w:tcW w:w="5900" w:type="dxa"/>
            <w:vAlign w:val="bottom"/>
            <w:tcBorders>
              <w:top w:val="single" w:sz="8" w:color="0563C1"/>
            </w:tcBorders>
            <w:gridSpan w:val="15"/>
          </w:tcPr>
          <w:p>
            <w:pPr>
              <w:spacing w:after="0" w:line="141" w:lineRule="exact"/>
              <w:rPr>
                <w:rFonts w:ascii="Arial" w:cs="Arial" w:eastAsia="Arial" w:hAnsi="Arial"/>
                <w:sz w:val="15"/>
                <w:szCs w:val="15"/>
                <w:color w:val="0563C1"/>
              </w:rPr>
            </w:pPr>
            <w:hyperlink r:id="rId136">
              <w:r>
                <w:rPr>
                  <w:rFonts w:ascii="Arial" w:cs="Arial" w:eastAsia="Arial" w:hAnsi="Arial"/>
                  <w:sz w:val="15"/>
                  <w:szCs w:val="15"/>
                  <w:color w:val="0563C1"/>
                </w:rPr>
                <w:t>Inc. and certain purchasers</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40" w:type="dxa"/>
            <w:vAlign w:val="bottom"/>
            <w:tcBorders>
              <w:top w:val="single" w:sz="8" w:color="0563C1"/>
            </w:tcBorders>
            <w:gridSpan w:val="6"/>
          </w:tcPr>
          <w:p>
            <w:pPr>
              <w:spacing w:after="0" w:line="143" w:lineRule="exact"/>
              <w:rPr>
                <w:rFonts w:ascii="Arial" w:cs="Arial" w:eastAsia="Arial" w:hAnsi="Arial"/>
                <w:sz w:val="15"/>
                <w:szCs w:val="15"/>
                <w:u w:val="single" w:color="auto"/>
                <w:color w:val="0563C1"/>
                <w:w w:val="93"/>
              </w:rPr>
            </w:pPr>
            <w:hyperlink r:id="rId137">
              <w:r>
                <w:rPr>
                  <w:rFonts w:ascii="Arial" w:cs="Arial" w:eastAsia="Arial" w:hAnsi="Arial"/>
                  <w:sz w:val="15"/>
                  <w:szCs w:val="15"/>
                  <w:u w:val="single" w:color="auto"/>
                  <w:color w:val="0563C1"/>
                  <w:w w:val="93"/>
                </w:rPr>
                <w:t>2015 Stock Incentive Plan</w:t>
              </w:r>
            </w:hyperlink>
          </w:p>
        </w:tc>
        <w:tc>
          <w:tcPr>
            <w:tcW w:w="700" w:type="dxa"/>
            <w:vAlign w:val="bottom"/>
            <w:gridSpan w:val="2"/>
          </w:tcPr>
          <w:p>
            <w:pPr>
              <w:spacing w:after="0"/>
              <w:rPr>
                <w:sz w:val="12"/>
                <w:szCs w:val="12"/>
                <w:color w:val="auto"/>
              </w:rPr>
            </w:pPr>
          </w:p>
        </w:tc>
        <w:tc>
          <w:tcPr>
            <w:tcW w:w="3640" w:type="dxa"/>
            <w:vAlign w:val="bottom"/>
            <w:gridSpan w:val="11"/>
          </w:tcPr>
          <w:p>
            <w:pPr>
              <w:spacing w:after="0"/>
              <w:rPr>
                <w:sz w:val="12"/>
                <w:szCs w:val="12"/>
                <w:color w:val="auto"/>
              </w:rPr>
            </w:pPr>
          </w:p>
        </w:tc>
        <w:tc>
          <w:tcPr>
            <w:tcW w:w="60" w:type="dxa"/>
            <w:vAlign w:val="bottom"/>
            <w:gridSpan w:val="3"/>
          </w:tcPr>
          <w:p>
            <w:pPr>
              <w:spacing w:after="0"/>
              <w:rPr>
                <w:sz w:val="12"/>
                <w:szCs w:val="12"/>
                <w:color w:val="auto"/>
              </w:rPr>
            </w:pPr>
          </w:p>
        </w:tc>
        <w:tc>
          <w:tcPr>
            <w:tcW w:w="960" w:type="dxa"/>
            <w:vAlign w:val="bottom"/>
            <w:gridSpan w:val="2"/>
          </w:tcPr>
          <w:p>
            <w:pPr>
              <w:jc w:val="center"/>
              <w:ind w:right="160"/>
              <w:spacing w:after="0" w:line="143" w:lineRule="exact"/>
              <w:rPr>
                <w:sz w:val="20"/>
                <w:szCs w:val="20"/>
                <w:color w:val="auto"/>
              </w:rPr>
            </w:pPr>
            <w:r>
              <w:rPr>
                <w:rFonts w:ascii="Arial" w:cs="Arial" w:eastAsia="Arial" w:hAnsi="Arial"/>
                <w:sz w:val="15"/>
                <w:szCs w:val="15"/>
                <w:color w:val="auto"/>
                <w:w w:val="85"/>
              </w:rPr>
              <w:t>S-1</w:t>
            </w:r>
          </w:p>
        </w:tc>
        <w:tc>
          <w:tcPr>
            <w:tcW w:w="1080" w:type="dxa"/>
            <w:vAlign w:val="bottom"/>
          </w:tcPr>
          <w:p>
            <w:pPr>
              <w:jc w:val="center"/>
              <w:spacing w:after="0" w:line="143" w:lineRule="exact"/>
              <w:rPr>
                <w:sz w:val="20"/>
                <w:szCs w:val="20"/>
                <w:color w:val="auto"/>
              </w:rPr>
            </w:pPr>
            <w:r>
              <w:rPr>
                <w:rFonts w:ascii="Arial" w:cs="Arial" w:eastAsia="Arial" w:hAnsi="Arial"/>
                <w:sz w:val="15"/>
                <w:szCs w:val="15"/>
                <w:color w:val="auto"/>
                <w:w w:val="92"/>
              </w:rPr>
              <w:t>333-208694</w:t>
            </w:r>
          </w:p>
        </w:tc>
        <w:tc>
          <w:tcPr>
            <w:tcW w:w="2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5"/>
                <w:szCs w:val="15"/>
                <w:color w:val="auto"/>
                <w:w w:val="95"/>
              </w:rPr>
              <w:t>10.2</w:t>
            </w:r>
          </w:p>
        </w:tc>
        <w:tc>
          <w:tcPr>
            <w:tcW w:w="100" w:type="dxa"/>
            <w:vAlign w:val="bottom"/>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Arial" w:cs="Arial" w:eastAsia="Arial" w:hAnsi="Arial"/>
                <w:sz w:val="15"/>
                <w:szCs w:val="15"/>
                <w:color w:val="auto"/>
                <w:w w:val="91"/>
              </w:rPr>
              <w:t>December 22, 2015</w:t>
            </w:r>
          </w:p>
        </w:tc>
        <w:tc>
          <w:tcPr>
            <w:tcW w:w="0" w:type="dxa"/>
            <w:vAlign w:val="bottom"/>
          </w:tcPr>
          <w:p>
            <w:pPr>
              <w:spacing w:after="0"/>
              <w:rPr>
                <w:sz w:val="1"/>
                <w:szCs w:val="1"/>
                <w:color w:val="auto"/>
              </w:rPr>
            </w:pPr>
          </w:p>
        </w:tc>
      </w:tr>
      <w:tr>
        <w:trPr>
          <w:trHeight w:val="161"/>
        </w:trPr>
        <w:tc>
          <w:tcPr>
            <w:tcW w:w="6040" w:type="dxa"/>
            <w:vAlign w:val="bottom"/>
            <w:gridSpan w:val="22"/>
          </w:tcPr>
          <w:p>
            <w:pPr>
              <w:spacing w:after="0" w:line="161" w:lineRule="exact"/>
              <w:rPr>
                <w:rFonts w:ascii="Arial" w:cs="Arial" w:eastAsia="Arial" w:hAnsi="Arial"/>
                <w:sz w:val="15"/>
                <w:szCs w:val="15"/>
                <w:u w:val="single" w:color="auto"/>
                <w:color w:val="0563C1"/>
              </w:rPr>
            </w:pPr>
            <w:hyperlink r:id="rId138">
              <w:r>
                <w:rPr>
                  <w:rFonts w:ascii="Arial" w:cs="Arial" w:eastAsia="Arial" w:hAnsi="Arial"/>
                  <w:sz w:val="15"/>
                  <w:szCs w:val="15"/>
                  <w:u w:val="single" w:color="auto"/>
                  <w:color w:val="0563C1"/>
                </w:rPr>
                <w:t>2017 Inducement Equity Incentive Plan and forms of agreements thereunder</w:t>
              </w:r>
            </w:hyperlink>
          </w:p>
        </w:tc>
        <w:tc>
          <w:tcPr>
            <w:tcW w:w="960" w:type="dxa"/>
            <w:vAlign w:val="bottom"/>
            <w:gridSpan w:val="2"/>
          </w:tcPr>
          <w:p>
            <w:pPr>
              <w:jc w:val="center"/>
              <w:ind w:right="160"/>
              <w:spacing w:after="0" w:line="161" w:lineRule="exact"/>
              <w:rPr>
                <w:sz w:val="20"/>
                <w:szCs w:val="20"/>
                <w:color w:val="auto"/>
              </w:rPr>
            </w:pPr>
            <w:r>
              <w:rPr>
                <w:rFonts w:ascii="Arial" w:cs="Arial" w:eastAsia="Arial" w:hAnsi="Arial"/>
                <w:sz w:val="15"/>
                <w:szCs w:val="15"/>
                <w:color w:val="auto"/>
              </w:rPr>
              <w:t>8-K</w:t>
            </w:r>
          </w:p>
        </w:tc>
        <w:tc>
          <w:tcPr>
            <w:tcW w:w="1080" w:type="dxa"/>
            <w:vAlign w:val="bottom"/>
          </w:tcPr>
          <w:p>
            <w:pPr>
              <w:jc w:val="center"/>
              <w:spacing w:after="0" w:line="161" w:lineRule="exact"/>
              <w:rPr>
                <w:sz w:val="20"/>
                <w:szCs w:val="20"/>
                <w:color w:val="auto"/>
              </w:rPr>
            </w:pPr>
            <w:r>
              <w:rPr>
                <w:rFonts w:ascii="Arial" w:cs="Arial" w:eastAsia="Arial" w:hAnsi="Arial"/>
                <w:sz w:val="15"/>
                <w:szCs w:val="15"/>
                <w:color w:val="auto"/>
                <w:w w:val="94"/>
              </w:rPr>
              <w:t>001-37744</w:t>
            </w:r>
          </w:p>
        </w:tc>
        <w:tc>
          <w:tcPr>
            <w:tcW w:w="20" w:type="dxa"/>
            <w:vAlign w:val="bottom"/>
          </w:tcPr>
          <w:p>
            <w:pPr>
              <w:spacing w:after="0"/>
              <w:rPr>
                <w:sz w:val="14"/>
                <w:szCs w:val="14"/>
                <w:color w:val="auto"/>
              </w:rPr>
            </w:pPr>
          </w:p>
        </w:tc>
        <w:tc>
          <w:tcPr>
            <w:tcW w:w="680" w:type="dxa"/>
            <w:vAlign w:val="bottom"/>
          </w:tcPr>
          <w:p>
            <w:pPr>
              <w:jc w:val="center"/>
              <w:spacing w:after="0" w:line="161" w:lineRule="exact"/>
              <w:rPr>
                <w:sz w:val="20"/>
                <w:szCs w:val="20"/>
                <w:color w:val="auto"/>
              </w:rPr>
            </w:pPr>
            <w:r>
              <w:rPr>
                <w:rFonts w:ascii="Arial" w:cs="Arial" w:eastAsia="Arial" w:hAnsi="Arial"/>
                <w:sz w:val="15"/>
                <w:szCs w:val="15"/>
                <w:color w:val="auto"/>
                <w:w w:val="95"/>
              </w:rPr>
              <w:t>10.1</w:t>
            </w:r>
          </w:p>
        </w:tc>
        <w:tc>
          <w:tcPr>
            <w:tcW w:w="100" w:type="dxa"/>
            <w:vAlign w:val="bottom"/>
          </w:tcPr>
          <w:p>
            <w:pPr>
              <w:spacing w:after="0"/>
              <w:rPr>
                <w:sz w:val="14"/>
                <w:szCs w:val="14"/>
                <w:color w:val="auto"/>
              </w:rPr>
            </w:pPr>
          </w:p>
        </w:tc>
        <w:tc>
          <w:tcPr>
            <w:tcW w:w="1480" w:type="dxa"/>
            <w:vAlign w:val="bottom"/>
          </w:tcPr>
          <w:p>
            <w:pPr>
              <w:jc w:val="center"/>
              <w:spacing w:after="0" w:line="161" w:lineRule="exact"/>
              <w:rPr>
                <w:sz w:val="20"/>
                <w:szCs w:val="20"/>
                <w:color w:val="auto"/>
              </w:rPr>
            </w:pPr>
            <w:r>
              <w:rPr>
                <w:rFonts w:ascii="Arial" w:cs="Arial" w:eastAsia="Arial" w:hAnsi="Arial"/>
                <w:sz w:val="15"/>
                <w:szCs w:val="15"/>
                <w:color w:val="auto"/>
                <w:w w:val="94"/>
              </w:rPr>
              <w:t>November 28, 2017</w:t>
            </w:r>
          </w:p>
        </w:tc>
        <w:tc>
          <w:tcPr>
            <w:tcW w:w="0" w:type="dxa"/>
            <w:vAlign w:val="bottom"/>
          </w:tcPr>
          <w:p>
            <w:pPr>
              <w:spacing w:after="0"/>
              <w:rPr>
                <w:sz w:val="1"/>
                <w:szCs w:val="1"/>
                <w:color w:val="auto"/>
              </w:rPr>
            </w:pPr>
          </w:p>
        </w:tc>
      </w:tr>
      <w:tr>
        <w:trPr>
          <w:trHeight w:val="161"/>
        </w:trPr>
        <w:tc>
          <w:tcPr>
            <w:tcW w:w="6040" w:type="dxa"/>
            <w:vAlign w:val="bottom"/>
            <w:gridSpan w:val="22"/>
          </w:tcPr>
          <w:p>
            <w:pPr>
              <w:spacing w:after="0" w:line="161" w:lineRule="exact"/>
              <w:rPr>
                <w:rFonts w:ascii="Arial" w:cs="Arial" w:eastAsia="Arial" w:hAnsi="Arial"/>
                <w:sz w:val="15"/>
                <w:szCs w:val="15"/>
                <w:u w:val="single" w:color="auto"/>
                <w:color w:val="0563C1"/>
              </w:rPr>
            </w:pPr>
            <w:hyperlink w:anchor="page87">
              <w:r>
                <w:rPr>
                  <w:rFonts w:ascii="Arial" w:cs="Arial" w:eastAsia="Arial" w:hAnsi="Arial"/>
                  <w:sz w:val="15"/>
                  <w:szCs w:val="15"/>
                  <w:u w:val="single" w:color="auto"/>
                  <w:color w:val="0563C1"/>
                </w:rPr>
                <w:t>2017 Equity Incentive Plan and forms of agreements thereunder</w:t>
              </w:r>
            </w:hyperlink>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22"/>
          </w:tcPr>
          <w:p>
            <w:pPr>
              <w:spacing w:after="0" w:line="161" w:lineRule="exact"/>
              <w:rPr>
                <w:rFonts w:ascii="Arial" w:cs="Arial" w:eastAsia="Arial" w:hAnsi="Arial"/>
                <w:sz w:val="15"/>
                <w:szCs w:val="15"/>
                <w:u w:val="single" w:color="auto"/>
                <w:color w:val="0563C1"/>
              </w:rPr>
            </w:pPr>
            <w:hyperlink r:id="rId139">
              <w:r>
                <w:rPr>
                  <w:rFonts w:ascii="Arial" w:cs="Arial" w:eastAsia="Arial" w:hAnsi="Arial"/>
                  <w:sz w:val="15"/>
                  <w:szCs w:val="15"/>
                  <w:u w:val="single" w:color="auto"/>
                  <w:color w:val="0563C1"/>
                </w:rPr>
                <w:t>2017 Employee Stock Purchase Plan and forms of agreements thereunder</w:t>
              </w:r>
            </w:hyperlink>
          </w:p>
        </w:tc>
        <w:tc>
          <w:tcPr>
            <w:tcW w:w="960" w:type="dxa"/>
            <w:vAlign w:val="bottom"/>
            <w:gridSpan w:val="2"/>
          </w:tcPr>
          <w:p>
            <w:pPr>
              <w:jc w:val="center"/>
              <w:ind w:right="160"/>
              <w:spacing w:after="0" w:line="161" w:lineRule="exact"/>
              <w:rPr>
                <w:sz w:val="20"/>
                <w:szCs w:val="20"/>
                <w:color w:val="auto"/>
              </w:rPr>
            </w:pPr>
            <w:r>
              <w:rPr>
                <w:rFonts w:ascii="Arial" w:cs="Arial" w:eastAsia="Arial" w:hAnsi="Arial"/>
                <w:sz w:val="15"/>
                <w:szCs w:val="15"/>
                <w:color w:val="auto"/>
              </w:rPr>
              <w:t>8-K</w:t>
            </w:r>
          </w:p>
        </w:tc>
        <w:tc>
          <w:tcPr>
            <w:tcW w:w="1080" w:type="dxa"/>
            <w:vAlign w:val="bottom"/>
          </w:tcPr>
          <w:p>
            <w:pPr>
              <w:jc w:val="center"/>
              <w:spacing w:after="0" w:line="161" w:lineRule="exact"/>
              <w:rPr>
                <w:sz w:val="20"/>
                <w:szCs w:val="20"/>
                <w:color w:val="auto"/>
              </w:rPr>
            </w:pPr>
            <w:r>
              <w:rPr>
                <w:rFonts w:ascii="Arial" w:cs="Arial" w:eastAsia="Arial" w:hAnsi="Arial"/>
                <w:sz w:val="15"/>
                <w:szCs w:val="15"/>
                <w:color w:val="auto"/>
                <w:w w:val="94"/>
              </w:rPr>
              <w:t>001-37744</w:t>
            </w:r>
          </w:p>
        </w:tc>
        <w:tc>
          <w:tcPr>
            <w:tcW w:w="20" w:type="dxa"/>
            <w:vAlign w:val="bottom"/>
          </w:tcPr>
          <w:p>
            <w:pPr>
              <w:spacing w:after="0"/>
              <w:rPr>
                <w:sz w:val="14"/>
                <w:szCs w:val="14"/>
                <w:color w:val="auto"/>
              </w:rPr>
            </w:pPr>
          </w:p>
        </w:tc>
        <w:tc>
          <w:tcPr>
            <w:tcW w:w="680" w:type="dxa"/>
            <w:vAlign w:val="bottom"/>
          </w:tcPr>
          <w:p>
            <w:pPr>
              <w:jc w:val="center"/>
              <w:spacing w:after="0" w:line="161" w:lineRule="exact"/>
              <w:rPr>
                <w:sz w:val="20"/>
                <w:szCs w:val="20"/>
                <w:color w:val="auto"/>
              </w:rPr>
            </w:pPr>
            <w:r>
              <w:rPr>
                <w:rFonts w:ascii="Arial" w:cs="Arial" w:eastAsia="Arial" w:hAnsi="Arial"/>
                <w:sz w:val="15"/>
                <w:szCs w:val="15"/>
                <w:color w:val="auto"/>
                <w:w w:val="95"/>
              </w:rPr>
              <w:t>10.2</w:t>
            </w:r>
          </w:p>
        </w:tc>
        <w:tc>
          <w:tcPr>
            <w:tcW w:w="100" w:type="dxa"/>
            <w:vAlign w:val="bottom"/>
          </w:tcPr>
          <w:p>
            <w:pPr>
              <w:spacing w:after="0"/>
              <w:rPr>
                <w:sz w:val="14"/>
                <w:szCs w:val="14"/>
                <w:color w:val="auto"/>
              </w:rPr>
            </w:pPr>
          </w:p>
        </w:tc>
        <w:tc>
          <w:tcPr>
            <w:tcW w:w="1480" w:type="dxa"/>
            <w:vAlign w:val="bottom"/>
          </w:tcPr>
          <w:p>
            <w:pPr>
              <w:jc w:val="center"/>
              <w:spacing w:after="0" w:line="161" w:lineRule="exact"/>
              <w:rPr>
                <w:sz w:val="20"/>
                <w:szCs w:val="20"/>
                <w:color w:val="auto"/>
              </w:rPr>
            </w:pPr>
            <w:r>
              <w:rPr>
                <w:rFonts w:ascii="Arial" w:cs="Arial" w:eastAsia="Arial" w:hAnsi="Arial"/>
                <w:sz w:val="15"/>
                <w:szCs w:val="15"/>
                <w:color w:val="auto"/>
                <w:w w:val="94"/>
              </w:rPr>
              <w:t>May 19, 2017</w:t>
            </w:r>
          </w:p>
        </w:tc>
        <w:tc>
          <w:tcPr>
            <w:tcW w:w="0" w:type="dxa"/>
            <w:vAlign w:val="bottom"/>
          </w:tcPr>
          <w:p>
            <w:pPr>
              <w:spacing w:after="0"/>
              <w:rPr>
                <w:sz w:val="1"/>
                <w:szCs w:val="1"/>
                <w:color w:val="auto"/>
              </w:rPr>
            </w:pPr>
          </w:p>
        </w:tc>
      </w:tr>
      <w:tr>
        <w:trPr>
          <w:trHeight w:val="161"/>
        </w:trPr>
        <w:tc>
          <w:tcPr>
            <w:tcW w:w="6040" w:type="dxa"/>
            <w:vAlign w:val="bottom"/>
            <w:gridSpan w:val="22"/>
          </w:tcPr>
          <w:p>
            <w:pPr>
              <w:spacing w:after="0" w:line="161" w:lineRule="exact"/>
              <w:rPr>
                <w:rFonts w:ascii="Arial" w:cs="Arial" w:eastAsia="Arial" w:hAnsi="Arial"/>
                <w:sz w:val="15"/>
                <w:szCs w:val="15"/>
                <w:u w:val="single" w:color="auto"/>
                <w:color w:val="0563C1"/>
              </w:rPr>
            </w:pPr>
            <w:hyperlink r:id="rId140">
              <w:r>
                <w:rPr>
                  <w:rFonts w:ascii="Arial" w:cs="Arial" w:eastAsia="Arial" w:hAnsi="Arial"/>
                  <w:sz w:val="15"/>
                  <w:szCs w:val="15"/>
                  <w:u w:val="single" w:color="auto"/>
                  <w:color w:val="0563C1"/>
                </w:rPr>
                <w:t>Form of Director Option Agreement, not issued under the 2015 Stock Incentive Plan</w:t>
              </w:r>
            </w:hyperlink>
          </w:p>
        </w:tc>
        <w:tc>
          <w:tcPr>
            <w:tcW w:w="960" w:type="dxa"/>
            <w:vAlign w:val="bottom"/>
            <w:gridSpan w:val="2"/>
          </w:tcPr>
          <w:p>
            <w:pPr>
              <w:jc w:val="center"/>
              <w:ind w:right="160"/>
              <w:spacing w:after="0" w:line="161" w:lineRule="exact"/>
              <w:rPr>
                <w:sz w:val="20"/>
                <w:szCs w:val="20"/>
                <w:color w:val="auto"/>
              </w:rPr>
            </w:pPr>
            <w:r>
              <w:rPr>
                <w:rFonts w:ascii="Arial" w:cs="Arial" w:eastAsia="Arial" w:hAnsi="Arial"/>
                <w:sz w:val="15"/>
                <w:szCs w:val="15"/>
                <w:color w:val="auto"/>
                <w:w w:val="85"/>
              </w:rPr>
              <w:t>S-1</w:t>
            </w:r>
          </w:p>
        </w:tc>
        <w:tc>
          <w:tcPr>
            <w:tcW w:w="1080" w:type="dxa"/>
            <w:vAlign w:val="bottom"/>
          </w:tcPr>
          <w:p>
            <w:pPr>
              <w:jc w:val="center"/>
              <w:spacing w:after="0" w:line="161" w:lineRule="exact"/>
              <w:rPr>
                <w:sz w:val="20"/>
                <w:szCs w:val="20"/>
                <w:color w:val="auto"/>
              </w:rPr>
            </w:pPr>
            <w:r>
              <w:rPr>
                <w:rFonts w:ascii="Arial" w:cs="Arial" w:eastAsia="Arial" w:hAnsi="Arial"/>
                <w:sz w:val="15"/>
                <w:szCs w:val="15"/>
                <w:color w:val="auto"/>
                <w:w w:val="92"/>
              </w:rPr>
              <w:t>333-208694</w:t>
            </w:r>
          </w:p>
        </w:tc>
        <w:tc>
          <w:tcPr>
            <w:tcW w:w="20" w:type="dxa"/>
            <w:vAlign w:val="bottom"/>
          </w:tcPr>
          <w:p>
            <w:pPr>
              <w:spacing w:after="0"/>
              <w:rPr>
                <w:sz w:val="14"/>
                <w:szCs w:val="14"/>
                <w:color w:val="auto"/>
              </w:rPr>
            </w:pPr>
          </w:p>
        </w:tc>
        <w:tc>
          <w:tcPr>
            <w:tcW w:w="680" w:type="dxa"/>
            <w:vAlign w:val="bottom"/>
          </w:tcPr>
          <w:p>
            <w:pPr>
              <w:jc w:val="center"/>
              <w:spacing w:after="0" w:line="161" w:lineRule="exact"/>
              <w:rPr>
                <w:sz w:val="20"/>
                <w:szCs w:val="20"/>
                <w:color w:val="auto"/>
              </w:rPr>
            </w:pPr>
            <w:r>
              <w:rPr>
                <w:rFonts w:ascii="Arial" w:cs="Arial" w:eastAsia="Arial" w:hAnsi="Arial"/>
                <w:sz w:val="15"/>
                <w:szCs w:val="15"/>
                <w:color w:val="auto"/>
                <w:w w:val="95"/>
              </w:rPr>
              <w:t>10.3</w:t>
            </w:r>
          </w:p>
        </w:tc>
        <w:tc>
          <w:tcPr>
            <w:tcW w:w="100" w:type="dxa"/>
            <w:vAlign w:val="bottom"/>
          </w:tcPr>
          <w:p>
            <w:pPr>
              <w:spacing w:after="0"/>
              <w:rPr>
                <w:sz w:val="14"/>
                <w:szCs w:val="14"/>
                <w:color w:val="auto"/>
              </w:rPr>
            </w:pPr>
          </w:p>
        </w:tc>
        <w:tc>
          <w:tcPr>
            <w:tcW w:w="1480" w:type="dxa"/>
            <w:vAlign w:val="bottom"/>
          </w:tcPr>
          <w:p>
            <w:pPr>
              <w:jc w:val="center"/>
              <w:spacing w:after="0" w:line="161" w:lineRule="exact"/>
              <w:rPr>
                <w:sz w:val="20"/>
                <w:szCs w:val="20"/>
                <w:color w:val="auto"/>
              </w:rPr>
            </w:pPr>
            <w:r>
              <w:rPr>
                <w:rFonts w:ascii="Arial" w:cs="Arial" w:eastAsia="Arial" w:hAnsi="Arial"/>
                <w:sz w:val="15"/>
                <w:szCs w:val="15"/>
                <w:color w:val="auto"/>
                <w:w w:val="91"/>
              </w:rPr>
              <w:t>December 22, 2015</w:t>
            </w:r>
          </w:p>
        </w:tc>
        <w:tc>
          <w:tcPr>
            <w:tcW w:w="0" w:type="dxa"/>
            <w:vAlign w:val="bottom"/>
          </w:tcPr>
          <w:p>
            <w:pPr>
              <w:spacing w:after="0"/>
              <w:rPr>
                <w:sz w:val="1"/>
                <w:szCs w:val="1"/>
                <w:color w:val="auto"/>
              </w:rPr>
            </w:pPr>
          </w:p>
        </w:tc>
      </w:tr>
      <w:tr>
        <w:trPr>
          <w:trHeight w:val="161"/>
        </w:trPr>
        <w:tc>
          <w:tcPr>
            <w:tcW w:w="6040" w:type="dxa"/>
            <w:vAlign w:val="bottom"/>
            <w:gridSpan w:val="22"/>
          </w:tcPr>
          <w:p>
            <w:pPr>
              <w:spacing w:after="0" w:line="161" w:lineRule="exact"/>
              <w:rPr>
                <w:rFonts w:ascii="Arial" w:cs="Arial" w:eastAsia="Arial" w:hAnsi="Arial"/>
                <w:sz w:val="15"/>
                <w:szCs w:val="15"/>
                <w:u w:val="single" w:color="auto"/>
                <w:color w:val="0563C1"/>
              </w:rPr>
            </w:pPr>
            <w:hyperlink r:id="rId141">
              <w:r>
                <w:rPr>
                  <w:rFonts w:ascii="Arial" w:cs="Arial" w:eastAsia="Arial" w:hAnsi="Arial"/>
                  <w:sz w:val="15"/>
                  <w:szCs w:val="15"/>
                  <w:u w:val="single" w:color="auto"/>
                  <w:color w:val="0563C1"/>
                </w:rPr>
                <w:t>Executive Employment Agreement between Darrin R. Uecker and the Registrant</w:t>
              </w:r>
            </w:hyperlink>
          </w:p>
        </w:tc>
        <w:tc>
          <w:tcPr>
            <w:tcW w:w="960" w:type="dxa"/>
            <w:vAlign w:val="bottom"/>
            <w:gridSpan w:val="2"/>
          </w:tcPr>
          <w:p>
            <w:pPr>
              <w:jc w:val="center"/>
              <w:ind w:right="160"/>
              <w:spacing w:after="0" w:line="161" w:lineRule="exact"/>
              <w:rPr>
                <w:sz w:val="20"/>
                <w:szCs w:val="20"/>
                <w:color w:val="auto"/>
              </w:rPr>
            </w:pPr>
            <w:r>
              <w:rPr>
                <w:rFonts w:ascii="Arial" w:cs="Arial" w:eastAsia="Arial" w:hAnsi="Arial"/>
                <w:sz w:val="15"/>
                <w:szCs w:val="15"/>
                <w:color w:val="auto"/>
                <w:w w:val="85"/>
              </w:rPr>
              <w:t>S-1</w:t>
            </w:r>
          </w:p>
        </w:tc>
        <w:tc>
          <w:tcPr>
            <w:tcW w:w="1080" w:type="dxa"/>
            <w:vAlign w:val="bottom"/>
          </w:tcPr>
          <w:p>
            <w:pPr>
              <w:jc w:val="center"/>
              <w:spacing w:after="0" w:line="161" w:lineRule="exact"/>
              <w:rPr>
                <w:sz w:val="20"/>
                <w:szCs w:val="20"/>
                <w:color w:val="auto"/>
              </w:rPr>
            </w:pPr>
            <w:r>
              <w:rPr>
                <w:rFonts w:ascii="Arial" w:cs="Arial" w:eastAsia="Arial" w:hAnsi="Arial"/>
                <w:sz w:val="15"/>
                <w:szCs w:val="15"/>
                <w:color w:val="auto"/>
                <w:w w:val="92"/>
              </w:rPr>
              <w:t>333-208694</w:t>
            </w:r>
          </w:p>
        </w:tc>
        <w:tc>
          <w:tcPr>
            <w:tcW w:w="20" w:type="dxa"/>
            <w:vAlign w:val="bottom"/>
          </w:tcPr>
          <w:p>
            <w:pPr>
              <w:spacing w:after="0"/>
              <w:rPr>
                <w:sz w:val="14"/>
                <w:szCs w:val="14"/>
                <w:color w:val="auto"/>
              </w:rPr>
            </w:pPr>
          </w:p>
        </w:tc>
        <w:tc>
          <w:tcPr>
            <w:tcW w:w="680" w:type="dxa"/>
            <w:vAlign w:val="bottom"/>
          </w:tcPr>
          <w:p>
            <w:pPr>
              <w:jc w:val="center"/>
              <w:spacing w:after="0" w:line="161" w:lineRule="exact"/>
              <w:rPr>
                <w:sz w:val="20"/>
                <w:szCs w:val="20"/>
                <w:color w:val="auto"/>
              </w:rPr>
            </w:pPr>
            <w:r>
              <w:rPr>
                <w:rFonts w:ascii="Arial" w:cs="Arial" w:eastAsia="Arial" w:hAnsi="Arial"/>
                <w:sz w:val="15"/>
                <w:szCs w:val="15"/>
                <w:color w:val="auto"/>
                <w:w w:val="95"/>
              </w:rPr>
              <w:t>10.9</w:t>
            </w:r>
          </w:p>
        </w:tc>
        <w:tc>
          <w:tcPr>
            <w:tcW w:w="100" w:type="dxa"/>
            <w:vAlign w:val="bottom"/>
          </w:tcPr>
          <w:p>
            <w:pPr>
              <w:spacing w:after="0"/>
              <w:rPr>
                <w:sz w:val="14"/>
                <w:szCs w:val="14"/>
                <w:color w:val="auto"/>
              </w:rPr>
            </w:pPr>
          </w:p>
        </w:tc>
        <w:tc>
          <w:tcPr>
            <w:tcW w:w="1480" w:type="dxa"/>
            <w:vAlign w:val="bottom"/>
          </w:tcPr>
          <w:p>
            <w:pPr>
              <w:jc w:val="center"/>
              <w:spacing w:after="0" w:line="161" w:lineRule="exact"/>
              <w:rPr>
                <w:sz w:val="20"/>
                <w:szCs w:val="20"/>
                <w:color w:val="auto"/>
              </w:rPr>
            </w:pPr>
            <w:r>
              <w:rPr>
                <w:rFonts w:ascii="Arial" w:cs="Arial" w:eastAsia="Arial" w:hAnsi="Arial"/>
                <w:sz w:val="15"/>
                <w:szCs w:val="15"/>
                <w:color w:val="auto"/>
                <w:w w:val="91"/>
              </w:rPr>
              <w:t>December 22, 2015</w:t>
            </w:r>
          </w:p>
        </w:tc>
        <w:tc>
          <w:tcPr>
            <w:tcW w:w="0" w:type="dxa"/>
            <w:vAlign w:val="bottom"/>
          </w:tcPr>
          <w:p>
            <w:pPr>
              <w:spacing w:after="0"/>
              <w:rPr>
                <w:sz w:val="1"/>
                <w:szCs w:val="1"/>
                <w:color w:val="auto"/>
              </w:rPr>
            </w:pPr>
          </w:p>
        </w:tc>
      </w:tr>
      <w:tr>
        <w:trPr>
          <w:trHeight w:val="160"/>
        </w:trPr>
        <w:tc>
          <w:tcPr>
            <w:tcW w:w="6040" w:type="dxa"/>
            <w:vAlign w:val="bottom"/>
            <w:gridSpan w:val="22"/>
          </w:tcPr>
          <w:p>
            <w:pPr>
              <w:spacing w:after="0" w:line="161" w:lineRule="exact"/>
              <w:rPr>
                <w:rFonts w:ascii="Arial" w:cs="Arial" w:eastAsia="Arial" w:hAnsi="Arial"/>
                <w:sz w:val="15"/>
                <w:szCs w:val="15"/>
                <w:color w:val="0563C1"/>
                <w:w w:val="96"/>
              </w:rPr>
            </w:pPr>
            <w:hyperlink r:id="rId142">
              <w:r>
                <w:rPr>
                  <w:rFonts w:ascii="Arial" w:cs="Arial" w:eastAsia="Arial" w:hAnsi="Arial"/>
                  <w:sz w:val="15"/>
                  <w:szCs w:val="15"/>
                  <w:color w:val="0563C1"/>
                  <w:w w:val="96"/>
                </w:rPr>
                <w:t>Amendment to Employment Agreement between Darrin R. Uecker and Pulse Biosciences, Inc.</w:t>
              </w:r>
            </w:hyperlink>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5"/>
                <w:szCs w:val="15"/>
                <w:color w:val="auto"/>
              </w:rPr>
              <w:t>8-K</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w w:val="94"/>
              </w:rPr>
              <w:t>001-37744</w:t>
            </w:r>
          </w:p>
        </w:tc>
        <w:tc>
          <w:tcPr>
            <w:tcW w:w="2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5"/>
                <w:szCs w:val="15"/>
                <w:color w:val="auto"/>
                <w:w w:val="95"/>
              </w:rPr>
              <w:t>10.1</w:t>
            </w:r>
          </w:p>
        </w:tc>
        <w:tc>
          <w:tcPr>
            <w:tcW w:w="10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5"/>
                <w:szCs w:val="15"/>
                <w:color w:val="auto"/>
                <w:w w:val="93"/>
              </w:rPr>
              <w:t>October 11, 2016</w:t>
            </w:r>
          </w:p>
        </w:tc>
        <w:tc>
          <w:tcPr>
            <w:tcW w:w="0" w:type="dxa"/>
            <w:vAlign w:val="bottom"/>
          </w:tcPr>
          <w:p>
            <w:pPr>
              <w:spacing w:after="0"/>
              <w:rPr>
                <w:sz w:val="1"/>
                <w:szCs w:val="1"/>
                <w:color w:val="auto"/>
              </w:rPr>
            </w:pPr>
          </w:p>
        </w:tc>
      </w:tr>
      <w:tr>
        <w:trPr>
          <w:trHeight w:val="141"/>
        </w:trPr>
        <w:tc>
          <w:tcPr>
            <w:tcW w:w="5920" w:type="dxa"/>
            <w:vAlign w:val="bottom"/>
            <w:tcBorders>
              <w:top w:val="single" w:sz="8" w:color="0563C1"/>
            </w:tcBorders>
            <w:gridSpan w:val="16"/>
          </w:tcPr>
          <w:p>
            <w:pPr>
              <w:spacing w:after="0" w:line="141" w:lineRule="exact"/>
              <w:rPr>
                <w:rFonts w:ascii="Arial" w:cs="Arial" w:eastAsia="Arial" w:hAnsi="Arial"/>
                <w:sz w:val="15"/>
                <w:szCs w:val="15"/>
                <w:color w:val="0563C1"/>
              </w:rPr>
            </w:pPr>
            <w:hyperlink r:id="rId142">
              <w:r>
                <w:rPr>
                  <w:rFonts w:ascii="Arial" w:cs="Arial" w:eastAsia="Arial" w:hAnsi="Arial"/>
                  <w:sz w:val="15"/>
                  <w:szCs w:val="15"/>
                  <w:color w:val="0563C1"/>
                </w:rPr>
                <w:t>dated October 5, 2016</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360" w:type="dxa"/>
            <w:vAlign w:val="bottom"/>
            <w:tcBorders>
              <w:top w:val="single" w:sz="8" w:color="0563C1"/>
            </w:tcBorders>
            <w:gridSpan w:val="4"/>
          </w:tcPr>
          <w:p>
            <w:pPr>
              <w:spacing w:after="0" w:line="141" w:lineRule="exact"/>
              <w:rPr>
                <w:rFonts w:ascii="Arial" w:cs="Arial" w:eastAsia="Arial" w:hAnsi="Arial"/>
                <w:sz w:val="15"/>
                <w:szCs w:val="15"/>
                <w:color w:val="0563C1"/>
              </w:rPr>
            </w:pPr>
            <w:hyperlink r:id="rId143">
              <w:r>
                <w:rPr>
                  <w:rFonts w:ascii="Arial" w:cs="Arial" w:eastAsia="Arial" w:hAnsi="Arial"/>
                  <w:sz w:val="15"/>
                  <w:szCs w:val="15"/>
                  <w:color w:val="0563C1"/>
                </w:rPr>
                <w:t>Form  of  At-Will</w:t>
              </w:r>
            </w:hyperlink>
          </w:p>
        </w:tc>
        <w:tc>
          <w:tcPr>
            <w:tcW w:w="4680" w:type="dxa"/>
            <w:vAlign w:val="bottom"/>
            <w:gridSpan w:val="18"/>
          </w:tcPr>
          <w:p>
            <w:pPr>
              <w:jc w:val="right"/>
              <w:ind w:right="160"/>
              <w:spacing w:after="0" w:line="141" w:lineRule="exact"/>
              <w:rPr>
                <w:rFonts w:ascii="Arial" w:cs="Arial" w:eastAsia="Arial" w:hAnsi="Arial"/>
                <w:sz w:val="15"/>
                <w:szCs w:val="15"/>
                <w:color w:val="0563C1"/>
                <w:w w:val="98"/>
              </w:rPr>
            </w:pPr>
            <w:hyperlink r:id="rId143">
              <w:r>
                <w:rPr>
                  <w:rFonts w:ascii="Arial" w:cs="Arial" w:eastAsia="Arial" w:hAnsi="Arial"/>
                  <w:sz w:val="15"/>
                  <w:szCs w:val="15"/>
                  <w:color w:val="0563C1"/>
                  <w:w w:val="98"/>
                </w:rPr>
                <w:t>Employment,  Confidential  Information,  Invention  Assignment,  and</w:t>
              </w:r>
            </w:hyperlink>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5"/>
                <w:szCs w:val="15"/>
                <w:color w:val="auto"/>
                <w:w w:val="85"/>
              </w:rPr>
              <w:t>S-1</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w w:val="92"/>
              </w:rPr>
              <w:t>333-208694</w:t>
            </w:r>
          </w:p>
        </w:tc>
        <w:tc>
          <w:tcPr>
            <w:tcW w:w="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5"/>
                <w:szCs w:val="15"/>
                <w:color w:val="auto"/>
                <w:w w:val="95"/>
              </w:rPr>
              <w:t>10.10</w:t>
            </w: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5"/>
                <w:szCs w:val="15"/>
                <w:color w:val="auto"/>
                <w:w w:val="91"/>
              </w:rPr>
              <w:t>December 22, 2015</w:t>
            </w:r>
          </w:p>
        </w:tc>
        <w:tc>
          <w:tcPr>
            <w:tcW w:w="0" w:type="dxa"/>
            <w:vAlign w:val="bottom"/>
          </w:tcPr>
          <w:p>
            <w:pPr>
              <w:spacing w:after="0"/>
              <w:rPr>
                <w:sz w:val="1"/>
                <w:szCs w:val="1"/>
                <w:color w:val="auto"/>
              </w:rPr>
            </w:pPr>
          </w:p>
        </w:tc>
      </w:tr>
      <w:tr>
        <w:trPr>
          <w:trHeight w:val="141"/>
        </w:trPr>
        <w:tc>
          <w:tcPr>
            <w:tcW w:w="5980" w:type="dxa"/>
            <w:vAlign w:val="bottom"/>
            <w:tcBorders>
              <w:top w:val="single" w:sz="8" w:color="0563C1"/>
            </w:tcBorders>
            <w:gridSpan w:val="19"/>
          </w:tcPr>
          <w:p>
            <w:pPr>
              <w:spacing w:after="0" w:line="141" w:lineRule="exact"/>
              <w:rPr>
                <w:rFonts w:ascii="Arial" w:cs="Arial" w:eastAsia="Arial" w:hAnsi="Arial"/>
                <w:sz w:val="15"/>
                <w:szCs w:val="15"/>
                <w:color w:val="0563C1"/>
              </w:rPr>
            </w:pPr>
            <w:hyperlink r:id="rId143">
              <w:r>
                <w:rPr>
                  <w:rFonts w:ascii="Arial" w:cs="Arial" w:eastAsia="Arial" w:hAnsi="Arial"/>
                  <w:sz w:val="15"/>
                  <w:szCs w:val="15"/>
                  <w:color w:val="0563C1"/>
                </w:rPr>
                <w:t>Arbitration Agreement for Employees</w:t>
              </w:r>
            </w:hyperlink>
          </w:p>
        </w:tc>
        <w:tc>
          <w:tcPr>
            <w:tcW w:w="60" w:type="dxa"/>
            <w:vAlign w:val="bottom"/>
            <w:gridSpan w:val="3"/>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top w:val="single" w:sz="8" w:color="0563C1"/>
            </w:tcBorders>
            <w:gridSpan w:val="8"/>
          </w:tcPr>
          <w:p>
            <w:pPr>
              <w:spacing w:after="0" w:line="143" w:lineRule="exact"/>
              <w:rPr>
                <w:rFonts w:ascii="Arial" w:cs="Arial" w:eastAsia="Arial" w:hAnsi="Arial"/>
                <w:sz w:val="15"/>
                <w:szCs w:val="15"/>
                <w:u w:val="single" w:color="auto"/>
                <w:color w:val="0563C1"/>
                <w:w w:val="99"/>
              </w:rPr>
            </w:pPr>
            <w:hyperlink r:id="rId144">
              <w:r>
                <w:rPr>
                  <w:rFonts w:ascii="Arial" w:cs="Arial" w:eastAsia="Arial" w:hAnsi="Arial"/>
                  <w:sz w:val="15"/>
                  <w:szCs w:val="15"/>
                  <w:u w:val="single" w:color="auto"/>
                  <w:color w:val="0563C1"/>
                  <w:w w:val="99"/>
                </w:rPr>
                <w:t>Form of Indemnification Agreement</w:t>
              </w:r>
            </w:hyperlink>
          </w:p>
        </w:tc>
        <w:tc>
          <w:tcPr>
            <w:tcW w:w="3700" w:type="dxa"/>
            <w:vAlign w:val="bottom"/>
            <w:gridSpan w:val="14"/>
          </w:tcPr>
          <w:p>
            <w:pPr>
              <w:spacing w:after="0"/>
              <w:rPr>
                <w:sz w:val="12"/>
                <w:szCs w:val="12"/>
                <w:color w:val="auto"/>
              </w:rPr>
            </w:pPr>
          </w:p>
        </w:tc>
        <w:tc>
          <w:tcPr>
            <w:tcW w:w="960" w:type="dxa"/>
            <w:vAlign w:val="bottom"/>
            <w:gridSpan w:val="2"/>
          </w:tcPr>
          <w:p>
            <w:pPr>
              <w:jc w:val="center"/>
              <w:ind w:right="160"/>
              <w:spacing w:after="0" w:line="143" w:lineRule="exact"/>
              <w:rPr>
                <w:sz w:val="20"/>
                <w:szCs w:val="20"/>
                <w:color w:val="auto"/>
              </w:rPr>
            </w:pPr>
            <w:r>
              <w:rPr>
                <w:rFonts w:ascii="Arial" w:cs="Arial" w:eastAsia="Arial" w:hAnsi="Arial"/>
                <w:sz w:val="15"/>
                <w:szCs w:val="15"/>
                <w:color w:val="auto"/>
                <w:w w:val="95"/>
              </w:rPr>
              <w:t>8-K12B</w:t>
            </w:r>
          </w:p>
        </w:tc>
        <w:tc>
          <w:tcPr>
            <w:tcW w:w="1080" w:type="dxa"/>
            <w:vAlign w:val="bottom"/>
          </w:tcPr>
          <w:p>
            <w:pPr>
              <w:jc w:val="center"/>
              <w:spacing w:after="0" w:line="143" w:lineRule="exact"/>
              <w:rPr>
                <w:sz w:val="20"/>
                <w:szCs w:val="20"/>
                <w:color w:val="auto"/>
              </w:rPr>
            </w:pPr>
            <w:r>
              <w:rPr>
                <w:rFonts w:ascii="Arial" w:cs="Arial" w:eastAsia="Arial" w:hAnsi="Arial"/>
                <w:sz w:val="15"/>
                <w:szCs w:val="15"/>
                <w:color w:val="auto"/>
                <w:w w:val="94"/>
              </w:rPr>
              <w:t>001-37744</w:t>
            </w:r>
          </w:p>
        </w:tc>
        <w:tc>
          <w:tcPr>
            <w:tcW w:w="2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5"/>
                <w:szCs w:val="15"/>
                <w:color w:val="auto"/>
                <w:w w:val="95"/>
              </w:rPr>
              <w:t>10.1</w:t>
            </w:r>
          </w:p>
        </w:tc>
        <w:tc>
          <w:tcPr>
            <w:tcW w:w="100" w:type="dxa"/>
            <w:vAlign w:val="bottom"/>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Arial" w:cs="Arial" w:eastAsia="Arial" w:hAnsi="Arial"/>
                <w:sz w:val="15"/>
                <w:szCs w:val="15"/>
                <w:color w:val="auto"/>
                <w:w w:val="90"/>
              </w:rPr>
              <w:t>June 18, 2018</w:t>
            </w:r>
          </w:p>
        </w:tc>
        <w:tc>
          <w:tcPr>
            <w:tcW w:w="0" w:type="dxa"/>
            <w:vAlign w:val="bottom"/>
          </w:tcPr>
          <w:p>
            <w:pPr>
              <w:spacing w:after="0"/>
              <w:rPr>
                <w:sz w:val="1"/>
                <w:szCs w:val="1"/>
                <w:color w:val="auto"/>
              </w:rPr>
            </w:pPr>
          </w:p>
        </w:tc>
      </w:tr>
      <w:tr>
        <w:trPr>
          <w:trHeight w:val="160"/>
        </w:trPr>
        <w:tc>
          <w:tcPr>
            <w:tcW w:w="6040" w:type="dxa"/>
            <w:vAlign w:val="bottom"/>
            <w:gridSpan w:val="22"/>
          </w:tcPr>
          <w:p>
            <w:pPr>
              <w:spacing w:after="0" w:line="161" w:lineRule="exact"/>
              <w:rPr>
                <w:rFonts w:ascii="Arial" w:cs="Arial" w:eastAsia="Arial" w:hAnsi="Arial"/>
                <w:sz w:val="15"/>
                <w:szCs w:val="15"/>
                <w:color w:val="0563C1"/>
              </w:rPr>
            </w:pPr>
            <w:hyperlink r:id="rId145">
              <w:r>
                <w:rPr>
                  <w:rFonts w:ascii="Arial" w:cs="Arial" w:eastAsia="Arial" w:hAnsi="Arial"/>
                  <w:sz w:val="15"/>
                  <w:szCs w:val="15"/>
                  <w:color w:val="0563C1"/>
                </w:rPr>
                <w:t>Letter Agreement between Pulse Biosciences, Inc. and Robert W. Duggan, dated May 12,</w:t>
              </w:r>
            </w:hyperlink>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5"/>
                <w:szCs w:val="15"/>
                <w:color w:val="auto"/>
                <w:w w:val="95"/>
              </w:rPr>
              <w:t>10-Q</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w w:val="94"/>
              </w:rPr>
              <w:t>001-37744</w:t>
            </w:r>
          </w:p>
        </w:tc>
        <w:tc>
          <w:tcPr>
            <w:tcW w:w="2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5"/>
                <w:szCs w:val="15"/>
                <w:color w:val="auto"/>
                <w:w w:val="95"/>
              </w:rPr>
              <w:t>10.1</w:t>
            </w:r>
          </w:p>
        </w:tc>
        <w:tc>
          <w:tcPr>
            <w:tcW w:w="10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5"/>
                <w:szCs w:val="15"/>
                <w:color w:val="auto"/>
                <w:w w:val="93"/>
              </w:rPr>
              <w:t>August 10, 2020</w:t>
            </w:r>
          </w:p>
        </w:tc>
        <w:tc>
          <w:tcPr>
            <w:tcW w:w="0" w:type="dxa"/>
            <w:vAlign w:val="bottom"/>
          </w:tcPr>
          <w:p>
            <w:pPr>
              <w:spacing w:after="0"/>
              <w:rPr>
                <w:sz w:val="1"/>
                <w:szCs w:val="1"/>
                <w:color w:val="auto"/>
              </w:rPr>
            </w:pPr>
          </w:p>
        </w:tc>
      </w:tr>
      <w:tr>
        <w:trPr>
          <w:trHeight w:val="141"/>
        </w:trPr>
        <w:tc>
          <w:tcPr>
            <w:tcW w:w="340" w:type="dxa"/>
            <w:vAlign w:val="bottom"/>
            <w:tcBorders>
              <w:top w:val="single" w:sz="8" w:color="0563C1"/>
              <w:bottom w:val="single" w:sz="8" w:color="0563C1"/>
            </w:tcBorders>
          </w:tcPr>
          <w:p>
            <w:pPr>
              <w:spacing w:after="0" w:line="141" w:lineRule="exact"/>
              <w:rPr>
                <w:rFonts w:ascii="Arial" w:cs="Arial" w:eastAsia="Arial" w:hAnsi="Arial"/>
                <w:sz w:val="15"/>
                <w:szCs w:val="15"/>
                <w:color w:val="0563C1"/>
                <w:w w:val="85"/>
              </w:rPr>
            </w:pPr>
            <w:hyperlink r:id="rId145">
              <w:r>
                <w:rPr>
                  <w:rFonts w:ascii="Arial" w:cs="Arial" w:eastAsia="Arial" w:hAnsi="Arial"/>
                  <w:sz w:val="15"/>
                  <w:szCs w:val="15"/>
                  <w:color w:val="0563C1"/>
                  <w:w w:val="85"/>
                </w:rPr>
                <w:t>2020.</w:t>
              </w:r>
            </w:hyperlink>
          </w:p>
        </w:tc>
        <w:tc>
          <w:tcPr>
            <w:tcW w:w="520" w:type="dxa"/>
            <w:vAlign w:val="bottom"/>
            <w:tcBorders>
              <w:top w:val="single" w:sz="8" w:color="0563C1"/>
            </w:tcBorders>
          </w:tcPr>
          <w:p>
            <w:pPr>
              <w:spacing w:after="0"/>
              <w:rPr>
                <w:sz w:val="12"/>
                <w:szCs w:val="12"/>
                <w:color w:val="auto"/>
              </w:rPr>
            </w:pPr>
          </w:p>
        </w:tc>
        <w:tc>
          <w:tcPr>
            <w:tcW w:w="20" w:type="dxa"/>
            <w:vAlign w:val="bottom"/>
            <w:tcBorders>
              <w:top w:val="single" w:sz="8" w:color="0563C1"/>
            </w:tcBorders>
          </w:tcPr>
          <w:p>
            <w:pPr>
              <w:spacing w:after="0"/>
              <w:rPr>
                <w:sz w:val="12"/>
                <w:szCs w:val="12"/>
                <w:color w:val="auto"/>
              </w:rPr>
            </w:pPr>
          </w:p>
        </w:tc>
        <w:tc>
          <w:tcPr>
            <w:tcW w:w="480" w:type="dxa"/>
            <w:vAlign w:val="bottom"/>
            <w:tcBorders>
              <w:top w:val="single" w:sz="8" w:color="0563C1"/>
            </w:tcBorders>
          </w:tcPr>
          <w:p>
            <w:pPr>
              <w:spacing w:after="0"/>
              <w:rPr>
                <w:sz w:val="12"/>
                <w:szCs w:val="12"/>
                <w:color w:val="auto"/>
              </w:rPr>
            </w:pPr>
          </w:p>
        </w:tc>
        <w:tc>
          <w:tcPr>
            <w:tcW w:w="20" w:type="dxa"/>
            <w:vAlign w:val="bottom"/>
            <w:tcBorders>
              <w:top w:val="single" w:sz="8" w:color="0563C1"/>
            </w:tcBorders>
          </w:tcPr>
          <w:p>
            <w:pPr>
              <w:spacing w:after="0"/>
              <w:rPr>
                <w:sz w:val="12"/>
                <w:szCs w:val="12"/>
                <w:color w:val="auto"/>
              </w:rPr>
            </w:pPr>
          </w:p>
        </w:tc>
        <w:tc>
          <w:tcPr>
            <w:tcW w:w="260" w:type="dxa"/>
            <w:vAlign w:val="bottom"/>
            <w:tcBorders>
              <w:top w:val="single" w:sz="8" w:color="0563C1"/>
            </w:tcBorders>
          </w:tcPr>
          <w:p>
            <w:pPr>
              <w:spacing w:after="0"/>
              <w:rPr>
                <w:sz w:val="12"/>
                <w:szCs w:val="12"/>
                <w:color w:val="auto"/>
              </w:rPr>
            </w:pPr>
          </w:p>
        </w:tc>
        <w:tc>
          <w:tcPr>
            <w:tcW w:w="480" w:type="dxa"/>
            <w:vAlign w:val="bottom"/>
            <w:tcBorders>
              <w:top w:val="single" w:sz="8" w:color="0563C1"/>
            </w:tcBorders>
          </w:tcPr>
          <w:p>
            <w:pPr>
              <w:spacing w:after="0"/>
              <w:rPr>
                <w:sz w:val="12"/>
                <w:szCs w:val="12"/>
                <w:color w:val="auto"/>
              </w:rPr>
            </w:pPr>
          </w:p>
        </w:tc>
        <w:tc>
          <w:tcPr>
            <w:tcW w:w="220" w:type="dxa"/>
            <w:vAlign w:val="bottom"/>
            <w:tcBorders>
              <w:top w:val="single" w:sz="8" w:color="0563C1"/>
            </w:tcBorders>
          </w:tcPr>
          <w:p>
            <w:pPr>
              <w:spacing w:after="0"/>
              <w:rPr>
                <w:sz w:val="12"/>
                <w:szCs w:val="12"/>
                <w:color w:val="auto"/>
              </w:rPr>
            </w:pPr>
          </w:p>
        </w:tc>
        <w:tc>
          <w:tcPr>
            <w:tcW w:w="20" w:type="dxa"/>
            <w:vAlign w:val="bottom"/>
            <w:tcBorders>
              <w:top w:val="single" w:sz="8" w:color="0563C1"/>
            </w:tcBorders>
          </w:tcPr>
          <w:p>
            <w:pPr>
              <w:spacing w:after="0"/>
              <w:rPr>
                <w:sz w:val="12"/>
                <w:szCs w:val="12"/>
                <w:color w:val="auto"/>
              </w:rPr>
            </w:pPr>
          </w:p>
        </w:tc>
        <w:tc>
          <w:tcPr>
            <w:tcW w:w="140" w:type="dxa"/>
            <w:vAlign w:val="bottom"/>
            <w:tcBorders>
              <w:top w:val="single" w:sz="8" w:color="0563C1"/>
            </w:tcBorders>
          </w:tcPr>
          <w:p>
            <w:pPr>
              <w:spacing w:after="0"/>
              <w:rPr>
                <w:sz w:val="12"/>
                <w:szCs w:val="12"/>
                <w:color w:val="auto"/>
              </w:rPr>
            </w:pPr>
          </w:p>
        </w:tc>
        <w:tc>
          <w:tcPr>
            <w:tcW w:w="1440" w:type="dxa"/>
            <w:vAlign w:val="bottom"/>
            <w:tcBorders>
              <w:top w:val="single" w:sz="8" w:color="0563C1"/>
            </w:tcBorders>
          </w:tcPr>
          <w:p>
            <w:pPr>
              <w:spacing w:after="0"/>
              <w:rPr>
                <w:sz w:val="12"/>
                <w:szCs w:val="12"/>
                <w:color w:val="auto"/>
              </w:rPr>
            </w:pPr>
          </w:p>
        </w:tc>
        <w:tc>
          <w:tcPr>
            <w:tcW w:w="1480" w:type="dxa"/>
            <w:vAlign w:val="bottom"/>
            <w:tcBorders>
              <w:top w:val="single" w:sz="8" w:color="0563C1"/>
            </w:tcBorders>
          </w:tcPr>
          <w:p>
            <w:pPr>
              <w:spacing w:after="0"/>
              <w:rPr>
                <w:sz w:val="12"/>
                <w:szCs w:val="12"/>
                <w:color w:val="auto"/>
              </w:rPr>
            </w:pPr>
          </w:p>
        </w:tc>
        <w:tc>
          <w:tcPr>
            <w:tcW w:w="300" w:type="dxa"/>
            <w:vAlign w:val="bottom"/>
            <w:tcBorders>
              <w:top w:val="single" w:sz="8" w:color="0563C1"/>
            </w:tcBorders>
          </w:tcPr>
          <w:p>
            <w:pPr>
              <w:spacing w:after="0"/>
              <w:rPr>
                <w:sz w:val="12"/>
                <w:szCs w:val="12"/>
                <w:color w:val="auto"/>
              </w:rPr>
            </w:pPr>
          </w:p>
        </w:tc>
        <w:tc>
          <w:tcPr>
            <w:tcW w:w="160" w:type="dxa"/>
            <w:vAlign w:val="bottom"/>
            <w:tcBorders>
              <w:top w:val="single" w:sz="8" w:color="0563C1"/>
            </w:tcBorders>
          </w:tcPr>
          <w:p>
            <w:pPr>
              <w:spacing w:after="0"/>
              <w:rPr>
                <w:sz w:val="12"/>
                <w:szCs w:val="12"/>
                <w:color w:val="auto"/>
              </w:rPr>
            </w:pPr>
          </w:p>
        </w:tc>
        <w:tc>
          <w:tcPr>
            <w:tcW w:w="20" w:type="dxa"/>
            <w:vAlign w:val="bottom"/>
            <w:tcBorders>
              <w:top w:val="single" w:sz="8" w:color="0563C1"/>
            </w:tcBorders>
          </w:tcPr>
          <w:p>
            <w:pPr>
              <w:spacing w:after="0"/>
              <w:rPr>
                <w:sz w:val="12"/>
                <w:szCs w:val="12"/>
                <w:color w:val="auto"/>
              </w:rPr>
            </w:pPr>
          </w:p>
        </w:tc>
        <w:tc>
          <w:tcPr>
            <w:tcW w:w="20" w:type="dxa"/>
            <w:vAlign w:val="bottom"/>
            <w:tcBorders>
              <w:top w:val="single" w:sz="8" w:color="0563C1"/>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0" w:type="dxa"/>
            <w:vAlign w:val="bottom"/>
          </w:tcPr>
          <w:p>
            <w:pPr>
              <w:spacing w:after="0" w:line="141" w:lineRule="exact"/>
              <w:rPr>
                <w:rFonts w:ascii="Arial" w:cs="Arial" w:eastAsia="Arial" w:hAnsi="Arial"/>
                <w:sz w:val="15"/>
                <w:szCs w:val="15"/>
                <w:color w:val="0563C1"/>
              </w:rPr>
            </w:pPr>
            <w:hyperlink r:id="rId147">
              <w:r>
                <w:rPr>
                  <w:rFonts w:ascii="Arial" w:cs="Arial" w:eastAsia="Arial" w:hAnsi="Arial"/>
                  <w:sz w:val="15"/>
                  <w:szCs w:val="15"/>
                  <w:color w:val="0563C1"/>
                </w:rPr>
                <w:t>First</w:t>
              </w:r>
            </w:hyperlink>
          </w:p>
        </w:tc>
        <w:tc>
          <w:tcPr>
            <w:tcW w:w="5700" w:type="dxa"/>
            <w:vAlign w:val="bottom"/>
            <w:gridSpan w:val="21"/>
          </w:tcPr>
          <w:p>
            <w:pPr>
              <w:jc w:val="right"/>
              <w:ind w:right="160"/>
              <w:spacing w:after="0" w:line="141" w:lineRule="exact"/>
              <w:rPr>
                <w:rFonts w:ascii="Arial" w:cs="Arial" w:eastAsia="Arial" w:hAnsi="Arial"/>
                <w:sz w:val="15"/>
                <w:szCs w:val="15"/>
                <w:color w:val="0563C1"/>
                <w:w w:val="93"/>
              </w:rPr>
            </w:pPr>
            <w:hyperlink r:id="rId147">
              <w:r>
                <w:rPr>
                  <w:rFonts w:ascii="Arial" w:cs="Arial" w:eastAsia="Arial" w:hAnsi="Arial"/>
                  <w:sz w:val="15"/>
                  <w:szCs w:val="15"/>
                  <w:color w:val="0563C1"/>
                  <w:w w:val="93"/>
                </w:rPr>
                <w:t>Amendment to the lease for facilities at 3955 Point Eden Way, Hayward, California, dated</w:t>
              </w:r>
            </w:hyperlink>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5"/>
                <w:szCs w:val="15"/>
                <w:color w:val="auto"/>
              </w:rPr>
              <w:t>8-K</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w w:val="94"/>
              </w:rPr>
              <w:t>001-37744</w:t>
            </w:r>
          </w:p>
        </w:tc>
        <w:tc>
          <w:tcPr>
            <w:tcW w:w="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5"/>
                <w:szCs w:val="15"/>
                <w:color w:val="auto"/>
                <w:w w:val="95"/>
              </w:rPr>
              <w:t>10.19</w:t>
            </w: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5"/>
                <w:szCs w:val="15"/>
                <w:color w:val="auto"/>
                <w:w w:val="94"/>
              </w:rPr>
              <w:t>May 31, 2019</w:t>
            </w:r>
          </w:p>
        </w:tc>
        <w:tc>
          <w:tcPr>
            <w:tcW w:w="0" w:type="dxa"/>
            <w:vAlign w:val="bottom"/>
          </w:tcPr>
          <w:p>
            <w:pPr>
              <w:spacing w:after="0"/>
              <w:rPr>
                <w:sz w:val="1"/>
                <w:szCs w:val="1"/>
                <w:color w:val="auto"/>
              </w:rPr>
            </w:pPr>
          </w:p>
        </w:tc>
      </w:tr>
      <w:tr>
        <w:trPr>
          <w:trHeight w:val="141"/>
        </w:trPr>
        <w:tc>
          <w:tcPr>
            <w:tcW w:w="880" w:type="dxa"/>
            <w:vAlign w:val="bottom"/>
            <w:tcBorders>
              <w:top w:val="single" w:sz="8" w:color="0563C1"/>
              <w:bottom w:val="single" w:sz="8" w:color="0563C1"/>
            </w:tcBorders>
            <w:gridSpan w:val="3"/>
          </w:tcPr>
          <w:p>
            <w:pPr>
              <w:spacing w:after="0" w:line="141" w:lineRule="exact"/>
              <w:rPr>
                <w:rFonts w:ascii="Arial" w:cs="Arial" w:eastAsia="Arial" w:hAnsi="Arial"/>
                <w:sz w:val="15"/>
                <w:szCs w:val="15"/>
                <w:color w:val="0563C1"/>
                <w:w w:val="94"/>
              </w:rPr>
            </w:pPr>
            <w:hyperlink r:id="rId147">
              <w:r>
                <w:rPr>
                  <w:rFonts w:ascii="Arial" w:cs="Arial" w:eastAsia="Arial" w:hAnsi="Arial"/>
                  <w:sz w:val="15"/>
                  <w:szCs w:val="15"/>
                  <w:color w:val="0563C1"/>
                  <w:w w:val="94"/>
                </w:rPr>
                <w:t>May 28, 2019</w:t>
              </w:r>
            </w:hyperlink>
          </w:p>
        </w:tc>
        <w:tc>
          <w:tcPr>
            <w:tcW w:w="5060" w:type="dxa"/>
            <w:vAlign w:val="bottom"/>
            <w:tcBorders>
              <w:top w:val="single" w:sz="8" w:color="0563C1"/>
            </w:tcBorders>
            <w:gridSpan w:val="14"/>
          </w:tcPr>
          <w:p>
            <w:pPr>
              <w:spacing w:after="0"/>
              <w:rPr>
                <w:sz w:val="12"/>
                <w:szCs w:val="12"/>
                <w:color w:val="auto"/>
              </w:rPr>
            </w:pPr>
          </w:p>
        </w:tc>
        <w:tc>
          <w:tcPr>
            <w:tcW w:w="100" w:type="dxa"/>
            <w:vAlign w:val="bottom"/>
            <w:gridSpan w:val="5"/>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gridSpan w:val="22"/>
          </w:tcPr>
          <w:p>
            <w:pPr>
              <w:spacing w:after="0" w:line="143" w:lineRule="exact"/>
              <w:rPr>
                <w:rFonts w:ascii="Arial" w:cs="Arial" w:eastAsia="Arial" w:hAnsi="Arial"/>
                <w:sz w:val="15"/>
                <w:szCs w:val="15"/>
                <w:u w:val="single" w:color="auto"/>
                <w:color w:val="0563C1"/>
              </w:rPr>
            </w:pPr>
            <w:hyperlink r:id="rId148">
              <w:r>
                <w:rPr>
                  <w:rFonts w:ascii="Arial" w:cs="Arial" w:eastAsia="Arial" w:hAnsi="Arial"/>
                  <w:sz w:val="15"/>
                  <w:szCs w:val="15"/>
                  <w:u w:val="single" w:color="auto"/>
                  <w:color w:val="0563C1"/>
                </w:rPr>
                <w:t>Executive Employment Agreement between Ed Ebbers and the Registrant</w:t>
              </w:r>
            </w:hyperlink>
          </w:p>
        </w:tc>
        <w:tc>
          <w:tcPr>
            <w:tcW w:w="960" w:type="dxa"/>
            <w:vAlign w:val="bottom"/>
            <w:gridSpan w:val="2"/>
          </w:tcPr>
          <w:p>
            <w:pPr>
              <w:jc w:val="center"/>
              <w:ind w:right="160"/>
              <w:spacing w:after="0" w:line="143" w:lineRule="exact"/>
              <w:rPr>
                <w:sz w:val="20"/>
                <w:szCs w:val="20"/>
                <w:color w:val="auto"/>
              </w:rPr>
            </w:pPr>
            <w:r>
              <w:rPr>
                <w:rFonts w:ascii="Arial" w:cs="Arial" w:eastAsia="Arial" w:hAnsi="Arial"/>
                <w:sz w:val="15"/>
                <w:szCs w:val="15"/>
                <w:color w:val="auto"/>
              </w:rPr>
              <w:t>10-K</w:t>
            </w:r>
          </w:p>
        </w:tc>
        <w:tc>
          <w:tcPr>
            <w:tcW w:w="1080" w:type="dxa"/>
            <w:vAlign w:val="bottom"/>
          </w:tcPr>
          <w:p>
            <w:pPr>
              <w:jc w:val="center"/>
              <w:spacing w:after="0" w:line="143" w:lineRule="exact"/>
              <w:rPr>
                <w:sz w:val="20"/>
                <w:szCs w:val="20"/>
                <w:color w:val="auto"/>
              </w:rPr>
            </w:pPr>
            <w:r>
              <w:rPr>
                <w:rFonts w:ascii="Arial" w:cs="Arial" w:eastAsia="Arial" w:hAnsi="Arial"/>
                <w:sz w:val="15"/>
                <w:szCs w:val="15"/>
                <w:color w:val="auto"/>
                <w:w w:val="92"/>
              </w:rPr>
              <w:t>0001-34899</w:t>
            </w:r>
          </w:p>
        </w:tc>
        <w:tc>
          <w:tcPr>
            <w:tcW w:w="2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5"/>
                <w:szCs w:val="15"/>
                <w:color w:val="auto"/>
                <w:w w:val="95"/>
              </w:rPr>
              <w:t>10.17</w:t>
            </w:r>
          </w:p>
        </w:tc>
        <w:tc>
          <w:tcPr>
            <w:tcW w:w="100" w:type="dxa"/>
            <w:vAlign w:val="bottom"/>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Arial" w:cs="Arial" w:eastAsia="Arial" w:hAnsi="Arial"/>
                <w:sz w:val="15"/>
                <w:szCs w:val="15"/>
                <w:color w:val="auto"/>
                <w:w w:val="93"/>
              </w:rPr>
              <w:t>March 14, 2019</w:t>
            </w:r>
          </w:p>
        </w:tc>
        <w:tc>
          <w:tcPr>
            <w:tcW w:w="0" w:type="dxa"/>
            <w:vAlign w:val="bottom"/>
          </w:tcPr>
          <w:p>
            <w:pPr>
              <w:spacing w:after="0"/>
              <w:rPr>
                <w:sz w:val="1"/>
                <w:szCs w:val="1"/>
                <w:color w:val="auto"/>
              </w:rPr>
            </w:pPr>
          </w:p>
        </w:tc>
      </w:tr>
      <w:tr>
        <w:trPr>
          <w:trHeight w:val="161"/>
        </w:trPr>
        <w:tc>
          <w:tcPr>
            <w:tcW w:w="6040" w:type="dxa"/>
            <w:vAlign w:val="bottom"/>
            <w:gridSpan w:val="22"/>
          </w:tcPr>
          <w:p>
            <w:pPr>
              <w:spacing w:after="0" w:line="161" w:lineRule="exact"/>
              <w:rPr>
                <w:rFonts w:ascii="Arial" w:cs="Arial" w:eastAsia="Arial" w:hAnsi="Arial"/>
                <w:sz w:val="15"/>
                <w:szCs w:val="15"/>
                <w:u w:val="single" w:color="auto"/>
                <w:color w:val="0563C1"/>
              </w:rPr>
            </w:pPr>
            <w:hyperlink r:id="rId149">
              <w:r>
                <w:rPr>
                  <w:rFonts w:ascii="Arial" w:cs="Arial" w:eastAsia="Arial" w:hAnsi="Arial"/>
                  <w:sz w:val="15"/>
                  <w:szCs w:val="15"/>
                  <w:u w:val="single" w:color="auto"/>
                  <w:color w:val="0563C1"/>
                </w:rPr>
                <w:t>Employment Agreement between Sandra Gardiner and the Registrant</w:t>
              </w:r>
            </w:hyperlink>
          </w:p>
        </w:tc>
        <w:tc>
          <w:tcPr>
            <w:tcW w:w="960" w:type="dxa"/>
            <w:vAlign w:val="bottom"/>
            <w:gridSpan w:val="2"/>
          </w:tcPr>
          <w:p>
            <w:pPr>
              <w:jc w:val="center"/>
              <w:ind w:right="160"/>
              <w:spacing w:after="0" w:line="161" w:lineRule="exact"/>
              <w:rPr>
                <w:sz w:val="20"/>
                <w:szCs w:val="20"/>
                <w:color w:val="auto"/>
              </w:rPr>
            </w:pPr>
            <w:r>
              <w:rPr>
                <w:rFonts w:ascii="Arial" w:cs="Arial" w:eastAsia="Arial" w:hAnsi="Arial"/>
                <w:sz w:val="15"/>
                <w:szCs w:val="15"/>
                <w:color w:val="auto"/>
              </w:rPr>
              <w:t>8-K</w:t>
            </w:r>
          </w:p>
        </w:tc>
        <w:tc>
          <w:tcPr>
            <w:tcW w:w="1080" w:type="dxa"/>
            <w:vAlign w:val="bottom"/>
          </w:tcPr>
          <w:p>
            <w:pPr>
              <w:jc w:val="center"/>
              <w:spacing w:after="0" w:line="161" w:lineRule="exact"/>
              <w:rPr>
                <w:sz w:val="20"/>
                <w:szCs w:val="20"/>
                <w:color w:val="auto"/>
              </w:rPr>
            </w:pPr>
            <w:r>
              <w:rPr>
                <w:rFonts w:ascii="Arial" w:cs="Arial" w:eastAsia="Arial" w:hAnsi="Arial"/>
                <w:sz w:val="15"/>
                <w:szCs w:val="15"/>
                <w:color w:val="auto"/>
                <w:w w:val="94"/>
              </w:rPr>
              <w:t>001-37744</w:t>
            </w:r>
          </w:p>
        </w:tc>
        <w:tc>
          <w:tcPr>
            <w:tcW w:w="20" w:type="dxa"/>
            <w:vAlign w:val="bottom"/>
          </w:tcPr>
          <w:p>
            <w:pPr>
              <w:spacing w:after="0"/>
              <w:rPr>
                <w:sz w:val="14"/>
                <w:szCs w:val="14"/>
                <w:color w:val="auto"/>
              </w:rPr>
            </w:pPr>
          </w:p>
        </w:tc>
        <w:tc>
          <w:tcPr>
            <w:tcW w:w="680" w:type="dxa"/>
            <w:vAlign w:val="bottom"/>
          </w:tcPr>
          <w:p>
            <w:pPr>
              <w:jc w:val="center"/>
              <w:spacing w:after="0" w:line="161" w:lineRule="exact"/>
              <w:rPr>
                <w:sz w:val="20"/>
                <w:szCs w:val="20"/>
                <w:color w:val="auto"/>
              </w:rPr>
            </w:pPr>
            <w:r>
              <w:rPr>
                <w:rFonts w:ascii="Arial" w:cs="Arial" w:eastAsia="Arial" w:hAnsi="Arial"/>
                <w:sz w:val="15"/>
                <w:szCs w:val="15"/>
                <w:color w:val="auto"/>
                <w:w w:val="95"/>
              </w:rPr>
              <w:t>10.1</w:t>
            </w:r>
          </w:p>
        </w:tc>
        <w:tc>
          <w:tcPr>
            <w:tcW w:w="100" w:type="dxa"/>
            <w:vAlign w:val="bottom"/>
          </w:tcPr>
          <w:p>
            <w:pPr>
              <w:spacing w:after="0"/>
              <w:rPr>
                <w:sz w:val="14"/>
                <w:szCs w:val="14"/>
                <w:color w:val="auto"/>
              </w:rPr>
            </w:pPr>
          </w:p>
        </w:tc>
        <w:tc>
          <w:tcPr>
            <w:tcW w:w="1480" w:type="dxa"/>
            <w:vAlign w:val="bottom"/>
          </w:tcPr>
          <w:p>
            <w:pPr>
              <w:jc w:val="center"/>
              <w:spacing w:after="0" w:line="161" w:lineRule="exact"/>
              <w:rPr>
                <w:sz w:val="20"/>
                <w:szCs w:val="20"/>
                <w:color w:val="auto"/>
              </w:rPr>
            </w:pPr>
            <w:r>
              <w:rPr>
                <w:rFonts w:ascii="Arial" w:cs="Arial" w:eastAsia="Arial" w:hAnsi="Arial"/>
                <w:sz w:val="15"/>
                <w:szCs w:val="15"/>
                <w:color w:val="auto"/>
                <w:w w:val="93"/>
              </w:rPr>
              <w:t>November 7, 2019</w:t>
            </w:r>
          </w:p>
        </w:tc>
        <w:tc>
          <w:tcPr>
            <w:tcW w:w="0" w:type="dxa"/>
            <w:vAlign w:val="bottom"/>
          </w:tcPr>
          <w:p>
            <w:pPr>
              <w:spacing w:after="0"/>
              <w:rPr>
                <w:sz w:val="1"/>
                <w:szCs w:val="1"/>
                <w:color w:val="auto"/>
              </w:rPr>
            </w:pPr>
          </w:p>
        </w:tc>
      </w:tr>
      <w:tr>
        <w:trPr>
          <w:trHeight w:val="195"/>
        </w:trPr>
        <w:tc>
          <w:tcPr>
            <w:tcW w:w="6040" w:type="dxa"/>
            <w:vAlign w:val="bottom"/>
            <w:gridSpan w:val="22"/>
          </w:tcPr>
          <w:p>
            <w:pPr>
              <w:spacing w:after="0"/>
              <w:rPr>
                <w:rFonts w:ascii="Arial" w:cs="Arial" w:eastAsia="Arial" w:hAnsi="Arial"/>
                <w:sz w:val="15"/>
                <w:szCs w:val="15"/>
                <w:u w:val="single" w:color="auto"/>
                <w:color w:val="0563C1"/>
              </w:rPr>
            </w:pPr>
            <w:hyperlink r:id="rId150">
              <w:r>
                <w:rPr>
                  <w:rFonts w:ascii="Arial" w:cs="Arial" w:eastAsia="Arial" w:hAnsi="Arial"/>
                  <w:sz w:val="15"/>
                  <w:szCs w:val="15"/>
                  <w:u w:val="single" w:color="auto"/>
                  <w:color w:val="0563C1"/>
                </w:rPr>
                <w:t>At-the-Market Equity Offering Sales Agreement</w:t>
              </w:r>
            </w:hyperlink>
          </w:p>
        </w:tc>
        <w:tc>
          <w:tcPr>
            <w:tcW w:w="960" w:type="dxa"/>
            <w:vAlign w:val="bottom"/>
            <w:gridSpan w:val="2"/>
          </w:tcPr>
          <w:p>
            <w:pPr>
              <w:jc w:val="center"/>
              <w:ind w:right="160"/>
              <w:spacing w:after="0"/>
              <w:rPr>
                <w:sz w:val="20"/>
                <w:szCs w:val="20"/>
                <w:color w:val="auto"/>
              </w:rPr>
            </w:pPr>
            <w:r>
              <w:rPr>
                <w:rFonts w:ascii="Arial" w:cs="Arial" w:eastAsia="Arial" w:hAnsi="Arial"/>
                <w:sz w:val="15"/>
                <w:szCs w:val="15"/>
                <w:color w:val="auto"/>
              </w:rPr>
              <w:t>8-K</w:t>
            </w:r>
          </w:p>
        </w:tc>
        <w:tc>
          <w:tcPr>
            <w:tcW w:w="1080" w:type="dxa"/>
            <w:vAlign w:val="bottom"/>
          </w:tcPr>
          <w:p>
            <w:pPr>
              <w:jc w:val="center"/>
              <w:spacing w:after="0"/>
              <w:rPr>
                <w:sz w:val="20"/>
                <w:szCs w:val="20"/>
                <w:color w:val="auto"/>
              </w:rPr>
            </w:pPr>
            <w:r>
              <w:rPr>
                <w:rFonts w:ascii="Arial" w:cs="Arial" w:eastAsia="Arial" w:hAnsi="Arial"/>
                <w:sz w:val="15"/>
                <w:szCs w:val="15"/>
                <w:color w:val="auto"/>
                <w:w w:val="94"/>
              </w:rPr>
              <w:t>001-37744</w:t>
            </w:r>
          </w:p>
        </w:tc>
        <w:tc>
          <w:tcPr>
            <w:tcW w:w="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5"/>
                <w:szCs w:val="15"/>
                <w:color w:val="auto"/>
                <w:w w:val="95"/>
              </w:rPr>
              <w:t>1.1</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91"/>
              </w:rPr>
              <w:t>February 4, 2021</w:t>
            </w:r>
          </w:p>
        </w:tc>
        <w:tc>
          <w:tcPr>
            <w:tcW w:w="0" w:type="dxa"/>
            <w:vAlign w:val="bottom"/>
          </w:tcPr>
          <w:p>
            <w:pPr>
              <w:spacing w:after="0"/>
              <w:rPr>
                <w:sz w:val="1"/>
                <w:szCs w:val="1"/>
                <w:color w:val="auto"/>
              </w:rPr>
            </w:pPr>
          </w:p>
        </w:tc>
      </w:tr>
      <w:tr>
        <w:trPr>
          <w:trHeight w:val="323"/>
        </w:trPr>
        <w:tc>
          <w:tcPr>
            <w:tcW w:w="5420" w:type="dxa"/>
            <w:vAlign w:val="bottom"/>
            <w:gridSpan w:val="12"/>
          </w:tcPr>
          <w:p>
            <w:pPr>
              <w:ind w:left="4640"/>
              <w:spacing w:after="0"/>
              <w:rPr>
                <w:sz w:val="20"/>
                <w:szCs w:val="20"/>
                <w:color w:val="auto"/>
              </w:rPr>
            </w:pPr>
            <w:r>
              <w:rPr>
                <w:rFonts w:ascii="Arial" w:cs="Arial" w:eastAsia="Arial" w:hAnsi="Arial"/>
                <w:sz w:val="15"/>
                <w:szCs w:val="15"/>
                <w:color w:val="auto"/>
              </w:rPr>
              <w:t>82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-4516120</wp:posOffset>
            </wp:positionV>
            <wp:extent cx="7152640" cy="1022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7152640" cy="10223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-4311015</wp:posOffset>
            </wp:positionV>
            <wp:extent cx="7152640" cy="1022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7152640" cy="10223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-4105910</wp:posOffset>
            </wp:positionV>
            <wp:extent cx="7152640" cy="1022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7152640" cy="10223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-3798570</wp:posOffset>
            </wp:positionV>
            <wp:extent cx="7152640" cy="2051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7152640" cy="20510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-3491230</wp:posOffset>
            </wp:positionV>
            <wp:extent cx="7152640" cy="1022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7152640" cy="10223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-3286125</wp:posOffset>
            </wp:positionV>
            <wp:extent cx="7152640" cy="2051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7152640" cy="20510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-2876550</wp:posOffset>
            </wp:positionV>
            <wp:extent cx="7152640" cy="2051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7152640" cy="20510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-2466340</wp:posOffset>
            </wp:positionV>
            <wp:extent cx="7152640" cy="2051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52640" cy="20510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-2056130</wp:posOffset>
            </wp:positionV>
            <wp:extent cx="7152640" cy="1022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152640" cy="10223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-1851660</wp:posOffset>
            </wp:positionV>
            <wp:extent cx="7152640" cy="1022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7152640" cy="10223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-1646555</wp:posOffset>
            </wp:positionV>
            <wp:extent cx="7152640" cy="1022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7152640" cy="10223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-1441450</wp:posOffset>
            </wp:positionV>
            <wp:extent cx="7152640" cy="2051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7152640" cy="20510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-723900</wp:posOffset>
            </wp:positionV>
            <wp:extent cx="7152640" cy="2051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7152640" cy="20510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-416560</wp:posOffset>
            </wp:positionV>
            <wp:extent cx="7152640" cy="1022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7152640" cy="10223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-4735830</wp:posOffset>
            </wp:positionV>
            <wp:extent cx="7152640" cy="1168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7152640" cy="116840"/>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168275</wp:posOffset>
            </wp:positionV>
            <wp:extent cx="7152640" cy="14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7152640" cy="1460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-1031240</wp:posOffset>
            </wp:positionV>
            <wp:extent cx="7152640" cy="1022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7152640" cy="102235"/>
                    </a:xfrm>
                    <a:prstGeom prst="rect">
                      <a:avLst/>
                    </a:prstGeom>
                    <a:noFill/>
                  </pic:spPr>
                </pic:pic>
              </a:graphicData>
            </a:graphic>
          </wp:anchor>
        </w:drawing>
      </w:r>
    </w:p>
    <w:p>
      <w:pPr>
        <w:sectPr>
          <w:pgSz w:w="11900" w:h="16838" w:orient="portrait"/>
          <w:cols w:equalWidth="0" w:num="2">
            <w:col w:w="660" w:space="240"/>
            <w:col w:w="10360"/>
          </w:cols>
          <w:pgMar w:left="320" w:top="111" w:right="319" w:bottom="1440" w:gutter="0" w:footer="0" w:header="0"/>
          <w:type w:val="continuous"/>
        </w:sectPr>
      </w:pPr>
    </w:p>
    <w:bookmarkStart w:id="82" w:name="page83"/>
    <w:bookmarkEnd w:id="82"/>
    <w:p>
      <w:pPr>
        <w:spacing w:after="0"/>
        <w:rPr>
          <w:rFonts w:ascii="Arial" w:cs="Arial" w:eastAsia="Arial" w:hAnsi="Arial"/>
          <w:sz w:val="13"/>
          <w:szCs w:val="13"/>
          <w:b w:val="1"/>
          <w:bCs w:val="1"/>
          <w:u w:val="single" w:color="auto"/>
          <w:color w:val="0563C1"/>
        </w:rPr>
      </w:pPr>
      <w:hyperlink w:anchor="page2">
        <w:r>
          <w:rPr>
            <w:rFonts w:ascii="Arial" w:cs="Arial" w:eastAsia="Arial" w:hAnsi="Arial"/>
            <w:sz w:val="13"/>
            <w:szCs w:val="13"/>
            <w:b w:val="1"/>
            <w:bCs w:val="1"/>
            <w:u w:val="single" w:color="auto"/>
            <w:color w:val="0563C1"/>
          </w:rPr>
          <w:t>Table of Contents</w:t>
        </w:r>
      </w:hyperlink>
    </w:p>
    <w:p>
      <w:pPr>
        <w:sectPr>
          <w:pgSz w:w="11900" w:h="16838" w:orient="portrait"/>
          <w:cols w:equalWidth="0" w:num="1">
            <w:col w:w="11000"/>
          </w:cols>
          <w:pgMar w:left="320" w:top="111" w:right="579" w:bottom="1440" w:gutter="0" w:footer="0" w:header="0"/>
        </w:sectPr>
      </w:pPr>
    </w:p>
    <w:p>
      <w:pPr>
        <w:spacing w:after="0" w:line="306" w:lineRule="exact"/>
        <w:rPr>
          <w:sz w:val="20"/>
          <w:szCs w:val="20"/>
          <w:color w:val="auto"/>
        </w:rPr>
      </w:pPr>
    </w:p>
    <w:p>
      <w:pPr>
        <w:ind w:left="200"/>
        <w:spacing w:after="0"/>
        <w:rPr>
          <w:rFonts w:ascii="Arial" w:cs="Arial" w:eastAsia="Arial" w:hAnsi="Arial"/>
          <w:sz w:val="15"/>
          <w:szCs w:val="15"/>
          <w:color w:val="0563C1"/>
        </w:rPr>
      </w:pPr>
      <w:hyperlink r:id="rId168">
        <w:r>
          <w:rPr>
            <w:rFonts w:ascii="Arial" w:cs="Arial" w:eastAsia="Arial" w:hAnsi="Arial"/>
            <w:sz w:val="15"/>
            <w:szCs w:val="15"/>
            <w:u w:val="single" w:color="auto"/>
            <w:color w:val="0563C1"/>
          </w:rPr>
          <w:t>10.22</w:t>
        </w:r>
      </w:hyperlink>
      <w:r>
        <w:rPr>
          <w:rFonts w:ascii="Arial" w:cs="Arial" w:eastAsia="Arial" w:hAnsi="Arial"/>
          <w:sz w:val="15"/>
          <w:szCs w:val="15"/>
          <w:color w:val="000000"/>
        </w:rPr>
        <w:t>+</w:t>
      </w:r>
    </w:p>
    <w:p>
      <w:pPr>
        <w:ind w:left="240"/>
        <w:spacing w:after="0" w:line="225" w:lineRule="auto"/>
        <w:rPr>
          <w:rFonts w:ascii="Arial" w:cs="Arial" w:eastAsia="Arial" w:hAnsi="Arial"/>
          <w:sz w:val="15"/>
          <w:szCs w:val="15"/>
          <w:color w:val="0563C1"/>
        </w:rPr>
      </w:pPr>
      <w:hyperlink w:anchor="page203">
        <w:r>
          <w:rPr>
            <w:rFonts w:ascii="Arial" w:cs="Arial" w:eastAsia="Arial" w:hAnsi="Arial"/>
            <w:sz w:val="15"/>
            <w:szCs w:val="15"/>
            <w:u w:val="single" w:color="auto"/>
            <w:color w:val="0563C1"/>
          </w:rPr>
          <w:t>21.1</w:t>
        </w:r>
      </w:hyperlink>
      <w:r>
        <w:rPr>
          <w:rFonts w:ascii="Arial" w:cs="Arial" w:eastAsia="Arial" w:hAnsi="Arial"/>
          <w:sz w:val="15"/>
          <w:szCs w:val="15"/>
          <w:color w:val="000000"/>
        </w:rPr>
        <w:t>*</w:t>
      </w:r>
    </w:p>
    <w:p>
      <w:pPr>
        <w:spacing w:after="0" w:line="1" w:lineRule="exact"/>
        <w:rPr>
          <w:sz w:val="20"/>
          <w:szCs w:val="20"/>
          <w:color w:val="auto"/>
        </w:rPr>
      </w:pPr>
    </w:p>
    <w:p>
      <w:pPr>
        <w:ind w:left="240"/>
        <w:spacing w:after="0"/>
        <w:rPr>
          <w:rFonts w:ascii="Arial" w:cs="Arial" w:eastAsia="Arial" w:hAnsi="Arial"/>
          <w:sz w:val="15"/>
          <w:szCs w:val="15"/>
          <w:color w:val="0563C1"/>
        </w:rPr>
      </w:pPr>
      <w:hyperlink w:anchor="page204">
        <w:r>
          <w:rPr>
            <w:rFonts w:ascii="Arial" w:cs="Arial" w:eastAsia="Arial" w:hAnsi="Arial"/>
            <w:sz w:val="15"/>
            <w:szCs w:val="15"/>
            <w:u w:val="single" w:color="auto"/>
            <w:color w:val="0563C1"/>
          </w:rPr>
          <w:t>23.1</w:t>
        </w:r>
      </w:hyperlink>
      <w:r>
        <w:rPr>
          <w:rFonts w:ascii="Arial" w:cs="Arial" w:eastAsia="Arial" w:hAnsi="Arial"/>
          <w:sz w:val="15"/>
          <w:szCs w:val="15"/>
          <w:color w:val="000000"/>
        </w:rPr>
        <w:t>*</w:t>
      </w:r>
    </w:p>
    <w:p>
      <w:pPr>
        <w:spacing w:after="0" w:line="58" w:lineRule="exact"/>
        <w:rPr>
          <w:sz w:val="20"/>
          <w:szCs w:val="20"/>
          <w:color w:val="auto"/>
        </w:rPr>
      </w:pPr>
    </w:p>
    <w:p>
      <w:pPr>
        <w:ind w:left="240"/>
        <w:spacing w:after="0"/>
        <w:rPr>
          <w:rFonts w:ascii="Arial" w:cs="Arial" w:eastAsia="Arial" w:hAnsi="Arial"/>
          <w:sz w:val="15"/>
          <w:szCs w:val="15"/>
          <w:color w:val="0563C1"/>
        </w:rPr>
      </w:pPr>
      <w:hyperlink w:anchor="page205">
        <w:r>
          <w:rPr>
            <w:rFonts w:ascii="Arial" w:cs="Arial" w:eastAsia="Arial" w:hAnsi="Arial"/>
            <w:sz w:val="15"/>
            <w:szCs w:val="15"/>
            <w:u w:val="single" w:color="auto"/>
            <w:color w:val="0563C1"/>
          </w:rPr>
          <w:t>31.1</w:t>
        </w:r>
      </w:hyperlink>
      <w:r>
        <w:rPr>
          <w:rFonts w:ascii="Arial" w:cs="Arial" w:eastAsia="Arial" w:hAnsi="Arial"/>
          <w:sz w:val="15"/>
          <w:szCs w:val="15"/>
          <w:color w:val="000000"/>
        </w:rPr>
        <w:t>*</w:t>
      </w:r>
    </w:p>
    <w:p>
      <w:pPr>
        <w:spacing w:after="0" w:line="150" w:lineRule="exact"/>
        <w:rPr>
          <w:sz w:val="20"/>
          <w:szCs w:val="20"/>
          <w:color w:val="auto"/>
        </w:rPr>
      </w:pPr>
    </w:p>
    <w:p>
      <w:pPr>
        <w:ind w:left="240"/>
        <w:spacing w:after="0"/>
        <w:rPr>
          <w:rFonts w:ascii="Arial" w:cs="Arial" w:eastAsia="Arial" w:hAnsi="Arial"/>
          <w:sz w:val="15"/>
          <w:szCs w:val="15"/>
          <w:color w:val="0563C1"/>
        </w:rPr>
      </w:pPr>
      <w:hyperlink w:anchor="page206">
        <w:r>
          <w:rPr>
            <w:rFonts w:ascii="Arial" w:cs="Arial" w:eastAsia="Arial" w:hAnsi="Arial"/>
            <w:sz w:val="15"/>
            <w:szCs w:val="15"/>
            <w:u w:val="single" w:color="auto"/>
            <w:color w:val="0563C1"/>
          </w:rPr>
          <w:t>31.2</w:t>
        </w:r>
      </w:hyperlink>
      <w:r>
        <w:rPr>
          <w:rFonts w:ascii="Arial" w:cs="Arial" w:eastAsia="Arial" w:hAnsi="Arial"/>
          <w:sz w:val="15"/>
          <w:szCs w:val="15"/>
          <w:color w:val="000000"/>
        </w:rPr>
        <w:t>*</w:t>
      </w:r>
    </w:p>
    <w:p>
      <w:pPr>
        <w:spacing w:after="0" w:line="150" w:lineRule="exact"/>
        <w:rPr>
          <w:sz w:val="20"/>
          <w:szCs w:val="20"/>
          <w:color w:val="auto"/>
        </w:rPr>
      </w:pPr>
    </w:p>
    <w:p>
      <w:pPr>
        <w:ind w:left="240"/>
        <w:spacing w:after="0"/>
        <w:rPr>
          <w:rFonts w:ascii="Arial" w:cs="Arial" w:eastAsia="Arial" w:hAnsi="Arial"/>
          <w:sz w:val="15"/>
          <w:szCs w:val="15"/>
          <w:color w:val="0563C1"/>
        </w:rPr>
      </w:pPr>
      <w:hyperlink w:anchor="page207">
        <w:r>
          <w:rPr>
            <w:rFonts w:ascii="Arial" w:cs="Arial" w:eastAsia="Arial" w:hAnsi="Arial"/>
            <w:sz w:val="15"/>
            <w:szCs w:val="15"/>
            <w:u w:val="single" w:color="auto"/>
            <w:color w:val="0563C1"/>
          </w:rPr>
          <w:t>32.1</w:t>
        </w:r>
      </w:hyperlink>
      <w:r>
        <w:rPr>
          <w:rFonts w:ascii="Arial" w:cs="Arial" w:eastAsia="Arial" w:hAnsi="Arial"/>
          <w:sz w:val="15"/>
          <w:szCs w:val="15"/>
          <w:color w:val="000000"/>
        </w:rPr>
        <w:t>*</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101.INS</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101.SCH</w:t>
      </w:r>
    </w:p>
    <w:p>
      <w:pPr>
        <w:ind w:left="120"/>
        <w:spacing w:after="0"/>
        <w:rPr>
          <w:sz w:val="20"/>
          <w:szCs w:val="20"/>
          <w:color w:val="auto"/>
        </w:rPr>
      </w:pPr>
      <w:r>
        <w:rPr>
          <w:rFonts w:ascii="Arial" w:cs="Arial" w:eastAsia="Arial" w:hAnsi="Arial"/>
          <w:sz w:val="14"/>
          <w:szCs w:val="14"/>
          <w:color w:val="auto"/>
        </w:rPr>
        <w:t>101.CAL</w:t>
      </w:r>
    </w:p>
    <w:p>
      <w:pPr>
        <w:ind w:left="140"/>
        <w:spacing w:after="0"/>
        <w:rPr>
          <w:sz w:val="20"/>
          <w:szCs w:val="20"/>
          <w:color w:val="auto"/>
        </w:rPr>
      </w:pPr>
      <w:r>
        <w:rPr>
          <w:rFonts w:ascii="Arial" w:cs="Arial" w:eastAsia="Arial" w:hAnsi="Arial"/>
          <w:sz w:val="14"/>
          <w:szCs w:val="14"/>
          <w:color w:val="auto"/>
        </w:rPr>
        <w:t>101.DEF</w:t>
      </w:r>
    </w:p>
    <w:p>
      <w:pPr>
        <w:ind w:left="120"/>
        <w:spacing w:after="0" w:line="225" w:lineRule="auto"/>
        <w:rPr>
          <w:sz w:val="20"/>
          <w:szCs w:val="20"/>
          <w:color w:val="auto"/>
        </w:rPr>
      </w:pPr>
      <w:r>
        <w:rPr>
          <w:rFonts w:ascii="Arial" w:cs="Arial" w:eastAsia="Arial" w:hAnsi="Arial"/>
          <w:sz w:val="15"/>
          <w:szCs w:val="15"/>
          <w:color w:val="auto"/>
        </w:rPr>
        <w:t>101.LAB</w:t>
      </w:r>
    </w:p>
    <w:p>
      <w:pPr>
        <w:ind w:left="140"/>
        <w:spacing w:after="0"/>
        <w:rPr>
          <w:sz w:val="20"/>
          <w:szCs w:val="20"/>
          <w:color w:val="auto"/>
        </w:rPr>
      </w:pPr>
      <w:r>
        <w:rPr>
          <w:rFonts w:ascii="Arial" w:cs="Arial" w:eastAsia="Arial" w:hAnsi="Arial"/>
          <w:sz w:val="13"/>
          <w:szCs w:val="13"/>
          <w:color w:val="auto"/>
        </w:rPr>
        <w:t>101.PRE</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100" w:type="dxa"/>
            <w:vAlign w:val="bottom"/>
          </w:tcPr>
          <w:p>
            <w:pPr>
              <w:spacing w:after="0"/>
              <w:rPr>
                <w:rFonts w:ascii="Arial" w:cs="Arial" w:eastAsia="Arial" w:hAnsi="Arial"/>
                <w:sz w:val="15"/>
                <w:szCs w:val="15"/>
                <w:u w:val="single" w:color="auto"/>
                <w:color w:val="0563C1"/>
              </w:rPr>
            </w:pPr>
            <w:hyperlink r:id="rId168">
              <w:r>
                <w:rPr>
                  <w:rFonts w:ascii="Arial" w:cs="Arial" w:eastAsia="Arial" w:hAnsi="Arial"/>
                  <w:sz w:val="15"/>
                  <w:szCs w:val="15"/>
                  <w:u w:val="single" w:color="auto"/>
                  <w:color w:val="0563C1"/>
                </w:rPr>
                <w:t>Loan Agreement between Pulse Biosciences, Inc. and Robert W. Duggan, dated March 11,</w:t>
              </w:r>
            </w:hyperlink>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3"/>
        </w:trPr>
        <w:tc>
          <w:tcPr>
            <w:tcW w:w="6100" w:type="dxa"/>
            <w:vAlign w:val="bottom"/>
          </w:tcPr>
          <w:p>
            <w:pPr>
              <w:spacing w:after="0"/>
              <w:rPr>
                <w:rFonts w:ascii="Arial" w:cs="Arial" w:eastAsia="Arial" w:hAnsi="Arial"/>
                <w:sz w:val="15"/>
                <w:szCs w:val="15"/>
                <w:u w:val="single" w:color="auto"/>
                <w:color w:val="0563C1"/>
              </w:rPr>
            </w:pPr>
            <w:hyperlink r:id="rId168">
              <w:r>
                <w:rPr>
                  <w:rFonts w:ascii="Arial" w:cs="Arial" w:eastAsia="Arial" w:hAnsi="Arial"/>
                  <w:sz w:val="15"/>
                  <w:szCs w:val="15"/>
                  <w:u w:val="single" w:color="auto"/>
                  <w:color w:val="0563C1"/>
                </w:rPr>
                <w:t>2021</w:t>
              </w:r>
            </w:hyperlink>
          </w:p>
        </w:tc>
        <w:tc>
          <w:tcPr>
            <w:tcW w:w="780" w:type="dxa"/>
            <w:vAlign w:val="bottom"/>
          </w:tcPr>
          <w:p>
            <w:pPr>
              <w:ind w:left="220"/>
              <w:spacing w:after="0"/>
              <w:rPr>
                <w:sz w:val="20"/>
                <w:szCs w:val="20"/>
                <w:color w:val="auto"/>
              </w:rPr>
            </w:pPr>
            <w:r>
              <w:rPr>
                <w:rFonts w:ascii="Arial" w:cs="Arial" w:eastAsia="Arial" w:hAnsi="Arial"/>
                <w:sz w:val="15"/>
                <w:szCs w:val="15"/>
                <w:color w:val="auto"/>
              </w:rPr>
              <w:t>8-K</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001-37744</w:t>
            </w:r>
          </w:p>
        </w:tc>
        <w:tc>
          <w:tcPr>
            <w:tcW w:w="780" w:type="dxa"/>
            <w:vAlign w:val="bottom"/>
          </w:tcPr>
          <w:p>
            <w:pPr>
              <w:jc w:val="right"/>
              <w:ind w:right="203"/>
              <w:spacing w:after="0"/>
              <w:rPr>
                <w:sz w:val="20"/>
                <w:szCs w:val="20"/>
                <w:color w:val="auto"/>
              </w:rPr>
            </w:pPr>
            <w:r>
              <w:rPr>
                <w:rFonts w:ascii="Arial" w:cs="Arial" w:eastAsia="Arial" w:hAnsi="Arial"/>
                <w:sz w:val="15"/>
                <w:szCs w:val="15"/>
                <w:color w:val="auto"/>
              </w:rPr>
              <w:t>10.1</w:t>
            </w:r>
          </w:p>
        </w:tc>
        <w:tc>
          <w:tcPr>
            <w:tcW w:w="1240" w:type="dxa"/>
            <w:vAlign w:val="bottom"/>
          </w:tcPr>
          <w:p>
            <w:pPr>
              <w:ind w:left="280"/>
              <w:spacing w:after="0"/>
              <w:rPr>
                <w:sz w:val="20"/>
                <w:szCs w:val="20"/>
                <w:color w:val="auto"/>
              </w:rPr>
            </w:pPr>
            <w:r>
              <w:rPr>
                <w:rFonts w:ascii="Arial" w:cs="Arial" w:eastAsia="Arial" w:hAnsi="Arial"/>
                <w:sz w:val="15"/>
                <w:szCs w:val="15"/>
                <w:color w:val="auto"/>
                <w:w w:val="90"/>
              </w:rPr>
              <w:t>March 11,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-198120</wp:posOffset>
            </wp:positionV>
            <wp:extent cx="7152640" cy="2051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7152640" cy="205105"/>
                    </a:xfrm>
                    <a:prstGeom prst="rect">
                      <a:avLst/>
                    </a:prstGeom>
                    <a:noFill/>
                  </pic:spPr>
                </pic:pic>
              </a:graphicData>
            </a:graphic>
          </wp:anchor>
        </w:drawing>
      </w:r>
    </w:p>
    <w:p>
      <w:pPr>
        <w:spacing w:after="0" w:line="224" w:lineRule="auto"/>
        <w:rPr>
          <w:rFonts w:ascii="Arial" w:cs="Arial" w:eastAsia="Arial" w:hAnsi="Arial"/>
          <w:sz w:val="15"/>
          <w:szCs w:val="15"/>
          <w:u w:val="single" w:color="auto"/>
          <w:color w:val="0563C1"/>
        </w:rPr>
      </w:pPr>
      <w:hyperlink w:anchor="page203">
        <w:r>
          <w:rPr>
            <w:rFonts w:ascii="Arial" w:cs="Arial" w:eastAsia="Arial" w:hAnsi="Arial"/>
            <w:sz w:val="15"/>
            <w:szCs w:val="15"/>
            <w:u w:val="single" w:color="auto"/>
            <w:color w:val="0563C1"/>
          </w:rPr>
          <w:t>List of Subsidiaries</w:t>
        </w:r>
      </w:hyperlink>
    </w:p>
    <w:p>
      <w:pPr>
        <w:spacing w:after="0" w:line="225" w:lineRule="auto"/>
        <w:rPr>
          <w:rFonts w:ascii="Arial" w:cs="Arial" w:eastAsia="Arial" w:hAnsi="Arial"/>
          <w:sz w:val="15"/>
          <w:szCs w:val="15"/>
          <w:u w:val="single" w:color="auto"/>
          <w:color w:val="0563C1"/>
        </w:rPr>
      </w:pPr>
      <w:hyperlink w:anchor="page204">
        <w:r>
          <w:rPr>
            <w:rFonts w:ascii="Arial" w:cs="Arial" w:eastAsia="Arial" w:hAnsi="Arial"/>
            <w:sz w:val="15"/>
            <w:szCs w:val="15"/>
            <w:u w:val="single" w:color="auto"/>
            <w:color w:val="0563C1"/>
          </w:rPr>
          <w:t>Consent of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-95250</wp:posOffset>
            </wp:positionV>
            <wp:extent cx="7152640" cy="1022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7152640" cy="102235"/>
                    </a:xfrm>
                    <a:prstGeom prst="rect">
                      <a:avLst/>
                    </a:prstGeom>
                    <a:noFill/>
                  </pic:spPr>
                </pic:pic>
              </a:graphicData>
            </a:graphic>
          </wp:anchor>
        </w:drawing>
      </w:r>
    </w:p>
    <w:p>
      <w:pPr>
        <w:ind w:right="4300"/>
        <w:spacing w:after="0" w:line="224" w:lineRule="auto"/>
        <w:rPr>
          <w:rFonts w:ascii="Arial" w:cs="Arial" w:eastAsia="Arial" w:hAnsi="Arial"/>
          <w:sz w:val="15"/>
          <w:szCs w:val="15"/>
          <w:u w:val="single" w:color="auto"/>
          <w:color w:val="0563C1"/>
        </w:rPr>
      </w:pPr>
      <w:hyperlink w:anchor="page205">
        <w:r>
          <w:rPr>
            <w:rFonts w:ascii="Arial" w:cs="Arial" w:eastAsia="Arial" w:hAnsi="Arial"/>
            <w:sz w:val="15"/>
            <w:szCs w:val="15"/>
            <w:u w:val="single" w:color="auto"/>
            <w:color w:val="0563C1"/>
          </w:rPr>
          <w:t>Certification of Chief Executive Officer pursuant to Section 302 of the Sarbanes-Oxley Act of</w:t>
        </w:r>
      </w:hyperlink>
      <w:r>
        <w:rPr>
          <w:rFonts w:ascii="Arial" w:cs="Arial" w:eastAsia="Arial" w:hAnsi="Arial"/>
          <w:sz w:val="15"/>
          <w:szCs w:val="15"/>
          <w:u w:val="single" w:color="auto"/>
          <w:color w:val="0563C1"/>
        </w:rPr>
        <w:t xml:space="preserve"> </w:t>
      </w:r>
      <w:hyperlink w:anchor="page205">
        <w:r>
          <w:rPr>
            <w:rFonts w:ascii="Arial" w:cs="Arial" w:eastAsia="Arial" w:hAnsi="Arial"/>
            <w:sz w:val="15"/>
            <w:szCs w:val="15"/>
            <w:u w:val="single" w:color="auto"/>
            <w:color w:val="0563C1"/>
          </w:rPr>
          <w:t>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-109855</wp:posOffset>
            </wp:positionV>
            <wp:extent cx="369951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369951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21971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219710" cy="7620"/>
                    </a:xfrm>
                    <a:prstGeom prst="rect">
                      <a:avLst/>
                    </a:prstGeom>
                    <a:noFill/>
                  </pic:spPr>
                </pic:pic>
              </a:graphicData>
            </a:graphic>
          </wp:anchor>
        </w:drawing>
      </w:r>
    </w:p>
    <w:p>
      <w:pPr>
        <w:ind w:right="4360"/>
        <w:spacing w:after="0" w:line="224" w:lineRule="auto"/>
        <w:rPr>
          <w:rFonts w:ascii="Arial" w:cs="Arial" w:eastAsia="Arial" w:hAnsi="Arial"/>
          <w:sz w:val="15"/>
          <w:szCs w:val="15"/>
          <w:u w:val="single" w:color="auto"/>
          <w:color w:val="0563C1"/>
        </w:rPr>
      </w:pPr>
      <w:hyperlink w:anchor="page206">
        <w:r>
          <w:rPr>
            <w:rFonts w:ascii="Arial" w:cs="Arial" w:eastAsia="Arial" w:hAnsi="Arial"/>
            <w:sz w:val="15"/>
            <w:szCs w:val="15"/>
            <w:u w:val="single" w:color="auto"/>
            <w:color w:val="0563C1"/>
          </w:rPr>
          <w:t>Certification of Chief Financial Officer pursuant to Section 302 of the Sarbanes-Oxley Act of</w:t>
        </w:r>
      </w:hyperlink>
      <w:r>
        <w:rPr>
          <w:rFonts w:ascii="Arial" w:cs="Arial" w:eastAsia="Arial" w:hAnsi="Arial"/>
          <w:sz w:val="15"/>
          <w:szCs w:val="15"/>
          <w:u w:val="single" w:color="auto"/>
          <w:color w:val="0563C1"/>
        </w:rPr>
        <w:t xml:space="preserve"> </w:t>
      </w:r>
      <w:hyperlink w:anchor="page206">
        <w:r>
          <w:rPr>
            <w:rFonts w:ascii="Arial" w:cs="Arial" w:eastAsia="Arial" w:hAnsi="Arial"/>
            <w:sz w:val="15"/>
            <w:szCs w:val="15"/>
            <w:u w:val="single" w:color="auto"/>
            <w:color w:val="0563C1"/>
          </w:rPr>
          <w:t>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-197485</wp:posOffset>
            </wp:positionV>
            <wp:extent cx="7152640" cy="2051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7152640" cy="205105"/>
                    </a:xfrm>
                    <a:prstGeom prst="rect">
                      <a:avLst/>
                    </a:prstGeom>
                    <a:noFill/>
                  </pic:spPr>
                </pic:pic>
              </a:graphicData>
            </a:graphic>
          </wp:anchor>
        </w:drawing>
      </w:r>
    </w:p>
    <w:p>
      <w:pPr>
        <w:ind w:right="4220"/>
        <w:spacing w:after="0" w:line="224" w:lineRule="auto"/>
        <w:rPr>
          <w:rFonts w:ascii="Arial" w:cs="Arial" w:eastAsia="Arial" w:hAnsi="Arial"/>
          <w:sz w:val="15"/>
          <w:szCs w:val="15"/>
          <w:u w:val="single" w:color="auto"/>
          <w:color w:val="0563C1"/>
        </w:rPr>
      </w:pPr>
      <w:hyperlink w:anchor="page207">
        <w:r>
          <w:rPr>
            <w:rFonts w:ascii="Arial" w:cs="Arial" w:eastAsia="Arial" w:hAnsi="Arial"/>
            <w:sz w:val="15"/>
            <w:szCs w:val="15"/>
            <w:u w:val="single" w:color="auto"/>
            <w:color w:val="0563C1"/>
          </w:rPr>
          <w:t>Certification of the Chief Executive and Chief Financial Officers pursuant to Section 906 of the</w:t>
        </w:r>
      </w:hyperlink>
      <w:r>
        <w:rPr>
          <w:rFonts w:ascii="Arial" w:cs="Arial" w:eastAsia="Arial" w:hAnsi="Arial"/>
          <w:sz w:val="15"/>
          <w:szCs w:val="15"/>
          <w:u w:val="single" w:color="auto"/>
          <w:color w:val="0563C1"/>
        </w:rPr>
        <w:t xml:space="preserve"> </w:t>
      </w:r>
      <w:hyperlink w:anchor="page207">
        <w:r>
          <w:rPr>
            <w:rFonts w:ascii="Arial" w:cs="Arial" w:eastAsia="Arial" w:hAnsi="Arial"/>
            <w:sz w:val="15"/>
            <w:szCs w:val="15"/>
            <w:u w:val="single" w:color="auto"/>
            <w:color w:val="0563C1"/>
          </w:rPr>
          <w:t>Sarbanes-Oxley Act of 2002 (18 U.S.C. Section 1350).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-109855</wp:posOffset>
            </wp:positionV>
            <wp:extent cx="373380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37338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214884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2148840" cy="762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5"/>
          <w:szCs w:val="15"/>
          <w:color w:val="auto"/>
        </w:rPr>
        <w:t>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-95250</wp:posOffset>
            </wp:positionV>
            <wp:extent cx="7152640" cy="1022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7152640" cy="102235"/>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5"/>
          <w:szCs w:val="15"/>
          <w:color w:val="auto"/>
        </w:rPr>
        <w:t>Inline XBRL Taxonomy Extension Schema Document</w:t>
      </w:r>
    </w:p>
    <w:p>
      <w:pPr>
        <w:spacing w:after="0" w:line="224" w:lineRule="auto"/>
        <w:rPr>
          <w:sz w:val="20"/>
          <w:szCs w:val="20"/>
          <w:color w:val="auto"/>
        </w:rPr>
      </w:pPr>
      <w:r>
        <w:rPr>
          <w:rFonts w:ascii="Arial" w:cs="Arial" w:eastAsia="Arial" w:hAnsi="Arial"/>
          <w:sz w:val="15"/>
          <w:szCs w:val="15"/>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-95250</wp:posOffset>
            </wp:positionV>
            <wp:extent cx="7152640" cy="1022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7152640" cy="102235"/>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5"/>
          <w:szCs w:val="15"/>
          <w:color w:val="auto"/>
        </w:rPr>
        <w:t>Inline XBRL Taxonomy Extension Definition Linkbase Document</w:t>
      </w:r>
    </w:p>
    <w:p>
      <w:pPr>
        <w:spacing w:after="0" w:line="225" w:lineRule="auto"/>
        <w:rPr>
          <w:sz w:val="20"/>
          <w:szCs w:val="20"/>
          <w:color w:val="auto"/>
        </w:rPr>
      </w:pPr>
      <w:r>
        <w:rPr>
          <w:rFonts w:ascii="Arial" w:cs="Arial" w:eastAsia="Arial" w:hAnsi="Arial"/>
          <w:sz w:val="15"/>
          <w:szCs w:val="15"/>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-95250</wp:posOffset>
            </wp:positionV>
            <wp:extent cx="7152640" cy="1022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7152640" cy="102235"/>
                    </a:xfrm>
                    <a:prstGeom prst="rect">
                      <a:avLst/>
                    </a:prstGeom>
                    <a:noFill/>
                  </pic:spPr>
                </pic:pic>
              </a:graphicData>
            </a:graphic>
          </wp:anchor>
        </w:drawing>
      </w:r>
    </w:p>
    <w:p>
      <w:pPr>
        <w:spacing w:after="0" w:line="224" w:lineRule="auto"/>
        <w:rPr>
          <w:sz w:val="20"/>
          <w:szCs w:val="20"/>
          <w:color w:val="auto"/>
        </w:rPr>
      </w:pPr>
      <w:r>
        <w:rPr>
          <w:rFonts w:ascii="Arial" w:cs="Arial" w:eastAsia="Arial" w:hAnsi="Arial"/>
          <w:sz w:val="15"/>
          <w:szCs w:val="15"/>
          <w:color w:val="auto"/>
        </w:rPr>
        <w:t>Inline XBRL Taxonomy Extension Presentation Linkbase Document</w:t>
      </w:r>
    </w:p>
    <w:p>
      <w:pPr>
        <w:spacing w:after="0"/>
        <w:rPr>
          <w:sz w:val="20"/>
          <w:szCs w:val="20"/>
          <w:color w:val="auto"/>
        </w:rPr>
      </w:pPr>
      <w:r>
        <w:rPr>
          <w:rFonts w:ascii="Arial" w:cs="Arial" w:eastAsia="Arial" w:hAnsi="Arial"/>
          <w:sz w:val="15"/>
          <w:szCs w:val="15"/>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-102235</wp:posOffset>
            </wp:positionV>
            <wp:extent cx="7152640" cy="1022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7152640" cy="10223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-94615</wp:posOffset>
            </wp:positionV>
            <wp:extent cx="7152640" cy="1022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7152640" cy="102235"/>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5"/>
          <w:szCs w:val="15"/>
          <w:color w:val="auto"/>
        </w:rPr>
        <w:t>+ Indicates a management contract or compensatory plan or arrangement.</w:t>
      </w:r>
    </w:p>
    <w:p>
      <w:pPr>
        <w:spacing w:after="0" w:line="1" w:lineRule="exact"/>
        <w:rPr>
          <w:sz w:val="20"/>
          <w:szCs w:val="20"/>
          <w:color w:val="auto"/>
        </w:rPr>
      </w:pPr>
    </w:p>
    <w:p>
      <w:pPr>
        <w:ind w:right="4600" w:firstLine="3"/>
        <w:spacing w:after="0" w:line="239" w:lineRule="auto"/>
        <w:tabs>
          <w:tab w:leader="none" w:pos="115" w:val="left"/>
        </w:tabs>
        <w:numPr>
          <w:ilvl w:val="0"/>
          <w:numId w:val="13"/>
        </w:numPr>
        <w:rPr>
          <w:rFonts w:ascii="Arial" w:cs="Arial" w:eastAsia="Arial" w:hAnsi="Arial"/>
          <w:sz w:val="15"/>
          <w:szCs w:val="15"/>
          <w:color w:val="auto"/>
        </w:rPr>
      </w:pPr>
      <w:r>
        <w:rPr>
          <w:rFonts w:ascii="Arial" w:cs="Arial" w:eastAsia="Arial" w:hAnsi="Arial"/>
          <w:sz w:val="15"/>
          <w:szCs w:val="15"/>
          <w:color w:val="auto"/>
        </w:rPr>
        <w:t>Portions of this exhibit (indicated by asterisks) have been omitted pursuant to a grant of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-210820</wp:posOffset>
            </wp:positionV>
            <wp:extent cx="7152640" cy="2051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7152640" cy="2051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 w:space="200"/>
            <w:col w:w="10100"/>
          </w:cols>
          <w:pgMar w:left="320" w:top="111" w:right="57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189865</wp:posOffset>
            </wp:positionV>
            <wp:extent cx="7152640" cy="146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000"/>
          </w:cols>
          <w:pgMar w:left="320" w:top="111" w:right="579" w:bottom="1440" w:gutter="0" w:footer="0" w:header="0"/>
          <w:type w:val="continuous"/>
        </w:sectPr>
      </w:pPr>
    </w:p>
    <w:bookmarkStart w:id="83" w:name="page84"/>
    <w:bookmarkEnd w:id="83"/>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 Form 10-K Summary</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400" w:lineRule="exact"/>
        <w:rPr>
          <w:sz w:val="20"/>
          <w:szCs w:val="20"/>
          <w:color w:val="auto"/>
        </w:rPr>
      </w:pPr>
    </w:p>
    <w:p>
      <w:pPr>
        <w:jc w:val="right"/>
        <w:ind w:right="443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84" w:name="page85"/>
    <w:bookmarkEnd w:id="84"/>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11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Signatures</w:t>
      </w:r>
    </w:p>
    <w:p>
      <w:pPr>
        <w:spacing w:after="0" w:line="154" w:lineRule="exact"/>
        <w:rPr>
          <w:sz w:val="20"/>
          <w:szCs w:val="20"/>
          <w:color w:val="auto"/>
        </w:rPr>
      </w:pPr>
    </w:p>
    <w:p>
      <w:pPr>
        <w:ind w:right="500" w:firstLine="376"/>
        <w:spacing w:after="0" w:line="255" w:lineRule="auto"/>
        <w:rPr>
          <w:sz w:val="20"/>
          <w:szCs w:val="20"/>
          <w:color w:val="auto"/>
        </w:rPr>
      </w:pPr>
      <w:r>
        <w:rPr>
          <w:rFonts w:ascii="Arial" w:cs="Arial" w:eastAsia="Arial" w:hAnsi="Arial"/>
          <w:sz w:val="15"/>
          <w:szCs w:val="15"/>
          <w:color w:val="auto"/>
        </w:rPr>
        <w:t>Pursuant to the requirements of the Section 13 or 15(d) of the Securities Exchange Act of 1934, the registrant has duly caused this report to be signed on its behalf by the undersigned, thereunto duly authorized.</w:t>
      </w:r>
    </w:p>
    <w:p>
      <w:pPr>
        <w:spacing w:after="0" w:line="287" w:lineRule="exact"/>
        <w:rPr>
          <w:sz w:val="20"/>
          <w:szCs w:val="20"/>
          <w:color w:val="auto"/>
        </w:rPr>
      </w:pPr>
    </w:p>
    <w:p>
      <w:pPr>
        <w:ind w:left="5760"/>
        <w:spacing w:after="0"/>
        <w:rPr>
          <w:sz w:val="20"/>
          <w:szCs w:val="20"/>
          <w:color w:val="auto"/>
        </w:rPr>
      </w:pPr>
      <w:r>
        <w:rPr>
          <w:rFonts w:ascii="Arial" w:cs="Arial" w:eastAsia="Arial" w:hAnsi="Arial"/>
          <w:sz w:val="15"/>
          <w:szCs w:val="15"/>
          <w:b w:val="1"/>
          <w:bCs w:val="1"/>
          <w:color w:val="auto"/>
        </w:rPr>
        <w:t>PULSE BIOSCIENCES, INC.</w:t>
      </w:r>
    </w:p>
    <w:p>
      <w:pPr>
        <w:spacing w:after="0" w:line="154" w:lineRule="exact"/>
        <w:rPr>
          <w:sz w:val="20"/>
          <w:szCs w:val="20"/>
          <w:color w:val="auto"/>
        </w:rPr>
      </w:pPr>
    </w:p>
    <w:p>
      <w:pPr>
        <w:spacing w:after="0"/>
        <w:tabs>
          <w:tab w:leader="none" w:pos="5740" w:val="left"/>
          <w:tab w:leader="none" w:pos="7740" w:val="left"/>
          <w:tab w:leader="none" w:pos="8040" w:val="left"/>
        </w:tabs>
        <w:rPr>
          <w:sz w:val="20"/>
          <w:szCs w:val="20"/>
          <w:color w:val="auto"/>
        </w:rPr>
      </w:pPr>
      <w:r>
        <w:rPr>
          <w:rFonts w:ascii="Arial" w:cs="Arial" w:eastAsia="Arial" w:hAnsi="Arial"/>
          <w:sz w:val="15"/>
          <w:szCs w:val="15"/>
          <w:color w:val="auto"/>
        </w:rPr>
        <w:t>Date: March 12,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w:t>
      </w:r>
      <w:r>
        <w:rPr>
          <w:sz w:val="20"/>
          <w:szCs w:val="20"/>
          <w:color w:val="auto"/>
        </w:rPr>
        <w:tab/>
      </w:r>
      <w:r>
        <w:rPr>
          <w:rFonts w:ascii="Arial" w:cs="Arial" w:eastAsia="Arial" w:hAnsi="Arial"/>
          <w:sz w:val="13"/>
          <w:szCs w:val="13"/>
          <w:color w:val="auto"/>
        </w:rPr>
        <w:t>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6985</wp:posOffset>
            </wp:positionV>
            <wp:extent cx="286956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2869565" cy="7620"/>
                    </a:xfrm>
                    <a:prstGeom prst="rect">
                      <a:avLst/>
                    </a:prstGeom>
                    <a:noFill/>
                  </pic:spPr>
                </pic:pic>
              </a:graphicData>
            </a:graphic>
          </wp:anchor>
        </w:drawing>
      </w:r>
    </w:p>
    <w:p>
      <w:pPr>
        <w:jc w:val="center"/>
        <w:ind w:left="5760"/>
        <w:spacing w:after="0"/>
        <w:rPr>
          <w:sz w:val="20"/>
          <w:szCs w:val="20"/>
          <w:color w:val="auto"/>
        </w:rPr>
      </w:pPr>
      <w:r>
        <w:rPr>
          <w:rFonts w:ascii="Arial" w:cs="Arial" w:eastAsia="Arial" w:hAnsi="Arial"/>
          <w:sz w:val="15"/>
          <w:szCs w:val="15"/>
          <w:b w:val="1"/>
          <w:bCs w:val="1"/>
          <w:color w:val="auto"/>
        </w:rPr>
        <w:t>Sandra A. Gardiner</w:t>
      </w:r>
    </w:p>
    <w:p>
      <w:pPr>
        <w:jc w:val="center"/>
        <w:ind w:left="5740"/>
        <w:spacing w:after="0" w:line="220" w:lineRule="auto"/>
        <w:rPr>
          <w:sz w:val="20"/>
          <w:szCs w:val="20"/>
          <w:color w:val="auto"/>
        </w:rPr>
      </w:pPr>
      <w:r>
        <w:rPr>
          <w:rFonts w:ascii="Arial" w:cs="Arial" w:eastAsia="Arial" w:hAnsi="Arial"/>
          <w:sz w:val="12"/>
          <w:szCs w:val="12"/>
          <w:b w:val="1"/>
          <w:bCs w:val="1"/>
          <w:color w:val="auto"/>
        </w:rPr>
        <w:t>Chief Financial Officer, Executive Vice President of Finance and Administration,</w:t>
      </w:r>
    </w:p>
    <w:p>
      <w:pPr>
        <w:jc w:val="center"/>
        <w:ind w:left="5740"/>
        <w:spacing w:after="0" w:line="221" w:lineRule="auto"/>
        <w:rPr>
          <w:sz w:val="20"/>
          <w:szCs w:val="20"/>
          <w:color w:val="auto"/>
        </w:rPr>
      </w:pPr>
      <w:r>
        <w:rPr>
          <w:rFonts w:ascii="Arial" w:cs="Arial" w:eastAsia="Arial" w:hAnsi="Arial"/>
          <w:sz w:val="12"/>
          <w:szCs w:val="12"/>
          <w:b w:val="1"/>
          <w:bCs w:val="1"/>
          <w:color w:val="auto"/>
        </w:rPr>
        <w:t>Secretary and Treasurer</w:t>
      </w:r>
    </w:p>
    <w:p>
      <w:pPr>
        <w:jc w:val="center"/>
        <w:ind w:left="5760"/>
        <w:spacing w:after="0"/>
        <w:rPr>
          <w:sz w:val="20"/>
          <w:szCs w:val="20"/>
          <w:color w:val="auto"/>
        </w:rPr>
      </w:pPr>
      <w:r>
        <w:rPr>
          <w:rFonts w:ascii="Arial" w:cs="Arial" w:eastAsia="Arial" w:hAnsi="Arial"/>
          <w:sz w:val="12"/>
          <w:szCs w:val="12"/>
          <w:b w:val="1"/>
          <w:bCs w:val="1"/>
          <w:i w:val="1"/>
          <w:iCs w:val="1"/>
          <w:color w:val="auto"/>
        </w:rPr>
        <w:t>(Principal Financial and Accounting Officer)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154" w:lineRule="exact"/>
        <w:rPr>
          <w:sz w:val="20"/>
          <w:szCs w:val="20"/>
          <w:color w:val="auto"/>
        </w:rPr>
      </w:pPr>
    </w:p>
    <w:p>
      <w:pPr>
        <w:jc w:val="both"/>
        <w:ind w:firstLine="376"/>
        <w:spacing w:after="0" w:line="232" w:lineRule="auto"/>
        <w:rPr>
          <w:sz w:val="20"/>
          <w:szCs w:val="20"/>
          <w:color w:val="auto"/>
        </w:rPr>
      </w:pPr>
      <w:r>
        <w:rPr>
          <w:rFonts w:ascii="Arial" w:cs="Arial" w:eastAsia="Arial" w:hAnsi="Arial"/>
          <w:sz w:val="15"/>
          <w:szCs w:val="15"/>
          <w:color w:val="auto"/>
        </w:rPr>
        <w:t>KNOW ALL PERSONS BY THESE PRESENTS, that each person whose signature appears below hereby constitutes and appoints Darrin R. Uecker and Sandra A. Gardiner, jointly and severally, as his true and lawful attorney-in-fact and agent, with full power of substitution, each with power to act alone, to sign and execute on behalf of the undersigned any and all amendments to this Annual Report on Form 10-K, and to perform any acts necessary in order to file the same, with all exhibits thereto and other documents in connection therewith with the Securities and Exchange Commission, granting unto said attorney-in-fact and agent full power and authority to do and perform each and every act and thing requested and necessary to be done in connection therewith, as fully to all intents and purposes as he might or could do in person, hereby ratifying and confirming all that said attorney-in-fact and agent, or their or his or her substitutes, shall do or cause to be done by virtue hereof.</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52640" cy="14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5" w:name="page86"/>
    <w:bookmarkEnd w:id="85"/>
    <w:p>
      <w:pPr>
        <w:spacing w:after="0"/>
        <w:rPr>
          <w:rFonts w:ascii="Arial" w:cs="Arial" w:eastAsia="Arial" w:hAnsi="Arial"/>
          <w:sz w:val="15"/>
          <w:szCs w:val="15"/>
          <w:b w:val="1"/>
          <w:bCs w:val="1"/>
          <w:u w:val="single" w:color="auto"/>
          <w:color w:val="0563C1"/>
        </w:rPr>
      </w:pPr>
      <w:hyperlink w:anchor="page2">
        <w:r>
          <w:rPr>
            <w:rFonts w:ascii="Arial" w:cs="Arial" w:eastAsia="Arial" w:hAnsi="Arial"/>
            <w:sz w:val="15"/>
            <w:szCs w:val="15"/>
            <w:b w:val="1"/>
            <w:bCs w:val="1"/>
            <w:u w:val="single" w:color="auto"/>
            <w:color w:val="0563C1"/>
          </w:rPr>
          <w:t>Table of Contents</w:t>
        </w:r>
      </w:hyperlink>
    </w:p>
    <w:p>
      <w:pPr>
        <w:spacing w:after="0" w:line="283" w:lineRule="exact"/>
        <w:rPr>
          <w:sz w:val="20"/>
          <w:szCs w:val="20"/>
          <w:color w:val="auto"/>
        </w:rPr>
      </w:pPr>
    </w:p>
    <w:p>
      <w:pPr>
        <w:ind w:right="20" w:firstLine="376"/>
        <w:spacing w:after="0" w:line="255" w:lineRule="auto"/>
        <w:rPr>
          <w:sz w:val="20"/>
          <w:szCs w:val="20"/>
          <w:color w:val="auto"/>
        </w:rPr>
      </w:pPr>
      <w:r>
        <w:rPr>
          <w:rFonts w:ascii="Arial" w:cs="Arial" w:eastAsia="Arial" w:hAnsi="Arial"/>
          <w:sz w:val="15"/>
          <w:szCs w:val="15"/>
          <w:color w:val="auto"/>
        </w:rPr>
        <w:t>Pursuant to the requirements of the Securities Exchange Act of 1934, this report has been signed by the following persons on behalf of the Registrant in the capacities and on the dates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jc w:val="center"/>
              <w:ind w:right="1523"/>
              <w:spacing w:after="0"/>
              <w:rPr>
                <w:sz w:val="20"/>
                <w:szCs w:val="20"/>
                <w:color w:val="auto"/>
              </w:rPr>
            </w:pPr>
            <w:r>
              <w:rPr>
                <w:rFonts w:ascii="Arial" w:cs="Arial" w:eastAsia="Arial" w:hAnsi="Arial"/>
                <w:sz w:val="15"/>
                <w:szCs w:val="15"/>
                <w:b w:val="1"/>
                <w:bCs w:val="1"/>
                <w:color w:val="auto"/>
                <w:w w:val="92"/>
              </w:rPr>
              <w:t>Signature</w:t>
            </w:r>
          </w:p>
        </w:tc>
        <w:tc>
          <w:tcPr>
            <w:tcW w:w="20" w:type="dxa"/>
            <w:vAlign w:val="bottom"/>
          </w:tcPr>
          <w:p>
            <w:pPr>
              <w:spacing w:after="0"/>
              <w:rPr>
                <w:sz w:val="16"/>
                <w:szCs w:val="16"/>
                <w:color w:val="auto"/>
              </w:rPr>
            </w:pPr>
          </w:p>
        </w:tc>
        <w:tc>
          <w:tcPr>
            <w:tcW w:w="4900" w:type="dxa"/>
            <w:vAlign w:val="bottom"/>
            <w:tcBorders>
              <w:bottom w:val="single" w:sz="8" w:color="auto"/>
            </w:tcBorders>
          </w:tcPr>
          <w:p>
            <w:pPr>
              <w:jc w:val="right"/>
              <w:ind w:right="2223"/>
              <w:spacing w:after="0"/>
              <w:rPr>
                <w:sz w:val="20"/>
                <w:szCs w:val="20"/>
                <w:color w:val="auto"/>
              </w:rPr>
            </w:pPr>
            <w:r>
              <w:rPr>
                <w:rFonts w:ascii="Arial" w:cs="Arial" w:eastAsia="Arial" w:hAnsi="Arial"/>
                <w:sz w:val="15"/>
                <w:szCs w:val="15"/>
                <w:b w:val="1"/>
                <w:bCs w:val="1"/>
                <w:color w:val="auto"/>
              </w:rPr>
              <w:t>Title</w:t>
            </w:r>
          </w:p>
        </w:tc>
        <w:tc>
          <w:tcPr>
            <w:tcW w:w="20" w:type="dxa"/>
            <w:vAlign w:val="bottom"/>
          </w:tcPr>
          <w:p>
            <w:pPr>
              <w:spacing w:after="0"/>
              <w:rPr>
                <w:sz w:val="16"/>
                <w:szCs w:val="16"/>
                <w:color w:val="auto"/>
              </w:rPr>
            </w:pPr>
          </w:p>
        </w:tc>
        <w:tc>
          <w:tcPr>
            <w:tcW w:w="2080" w:type="dxa"/>
            <w:vAlign w:val="bottom"/>
            <w:tcBorders>
              <w:bottom w:val="single" w:sz="8" w:color="auto"/>
            </w:tcBorders>
          </w:tcPr>
          <w:p>
            <w:pPr>
              <w:ind w:left="880"/>
              <w:spacing w:after="0"/>
              <w:rPr>
                <w:sz w:val="20"/>
                <w:szCs w:val="20"/>
                <w:color w:val="auto"/>
              </w:rPr>
            </w:pPr>
            <w:r>
              <w:rPr>
                <w:rFonts w:ascii="Arial" w:cs="Arial" w:eastAsia="Arial" w:hAnsi="Arial"/>
                <w:sz w:val="15"/>
                <w:szCs w:val="15"/>
                <w:b w:val="1"/>
                <w:bCs w:val="1"/>
                <w:color w:val="auto"/>
              </w:rPr>
              <w:t>Date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580" w:type="dxa"/>
            <w:vAlign w:val="bottom"/>
            <w:tcBorders>
              <w:bottom w:val="single" w:sz="8" w:color="auto"/>
            </w:tcBorders>
            <w:shd w:val="clear" w:color="auto" w:fill="CCEEFF"/>
          </w:tcPr>
          <w:p>
            <w:pPr>
              <w:ind w:left="1420"/>
              <w:spacing w:after="0" w:line="161" w:lineRule="exact"/>
              <w:rPr>
                <w:sz w:val="20"/>
                <w:szCs w:val="20"/>
                <w:color w:val="auto"/>
              </w:rPr>
            </w:pPr>
            <w:r>
              <w:rPr>
                <w:rFonts w:ascii="Arial" w:cs="Arial" w:eastAsia="Arial" w:hAnsi="Arial"/>
                <w:sz w:val="15"/>
                <w:szCs w:val="15"/>
                <w:color w:val="auto"/>
                <w:w w:val="88"/>
              </w:rPr>
              <w:t>/s/</w:t>
            </w:r>
          </w:p>
        </w:tc>
        <w:tc>
          <w:tcPr>
            <w:tcW w:w="2640" w:type="dxa"/>
            <w:vAlign w:val="bottom"/>
            <w:tcBorders>
              <w:bottom w:val="single" w:sz="8" w:color="auto"/>
            </w:tcBorders>
            <w:shd w:val="clear" w:color="auto" w:fill="CCEEFF"/>
          </w:tcPr>
          <w:p>
            <w:pPr>
              <w:jc w:val="center"/>
              <w:ind w:right="1223"/>
              <w:spacing w:after="0" w:line="161" w:lineRule="exact"/>
              <w:rPr>
                <w:sz w:val="20"/>
                <w:szCs w:val="20"/>
                <w:color w:val="auto"/>
              </w:rPr>
            </w:pPr>
            <w:r>
              <w:rPr>
                <w:rFonts w:ascii="Arial" w:cs="Arial" w:eastAsia="Arial" w:hAnsi="Arial"/>
                <w:sz w:val="15"/>
                <w:szCs w:val="15"/>
                <w:color w:val="auto"/>
                <w:w w:val="94"/>
              </w:rPr>
              <w:t>Darrin R. Uecker</w:t>
            </w:r>
          </w:p>
        </w:tc>
        <w:tc>
          <w:tcPr>
            <w:tcW w:w="20" w:type="dxa"/>
            <w:vAlign w:val="bottom"/>
            <w:tcBorders>
              <w:bottom w:val="single" w:sz="8" w:color="CCEEFF"/>
            </w:tcBorders>
            <w:shd w:val="clear" w:color="auto" w:fill="CCEEFF"/>
          </w:tcPr>
          <w:p>
            <w:pPr>
              <w:spacing w:after="0"/>
              <w:rPr>
                <w:sz w:val="14"/>
                <w:szCs w:val="14"/>
                <w:color w:val="auto"/>
              </w:rPr>
            </w:pPr>
          </w:p>
        </w:tc>
        <w:tc>
          <w:tcPr>
            <w:tcW w:w="4900" w:type="dxa"/>
            <w:vAlign w:val="bottom"/>
            <w:tcBorders>
              <w:bottom w:val="single" w:sz="8" w:color="CCEEFF"/>
            </w:tcBorders>
            <w:shd w:val="clear" w:color="auto" w:fill="CCEEFF"/>
          </w:tcPr>
          <w:p>
            <w:pPr>
              <w:jc w:val="center"/>
              <w:ind w:left="23"/>
              <w:spacing w:after="0" w:line="161" w:lineRule="exact"/>
              <w:rPr>
                <w:sz w:val="20"/>
                <w:szCs w:val="20"/>
                <w:color w:val="auto"/>
              </w:rPr>
            </w:pPr>
            <w:r>
              <w:rPr>
                <w:rFonts w:ascii="Arial" w:cs="Arial" w:eastAsia="Arial" w:hAnsi="Arial"/>
                <w:sz w:val="15"/>
                <w:szCs w:val="15"/>
                <w:color w:val="auto"/>
                <w:w w:val="95"/>
              </w:rPr>
              <w:t>President, Chief Executive Officer and Director (</w:t>
            </w:r>
            <w:r>
              <w:rPr>
                <w:rFonts w:ascii="Arial" w:cs="Arial" w:eastAsia="Arial" w:hAnsi="Arial"/>
                <w:sz w:val="15"/>
                <w:szCs w:val="15"/>
                <w:i w:val="1"/>
                <w:iCs w:val="1"/>
                <w:color w:val="auto"/>
                <w:w w:val="95"/>
              </w:rPr>
              <w:t>Principal Executive Officer)</w:t>
            </w:r>
          </w:p>
        </w:tc>
        <w:tc>
          <w:tcPr>
            <w:tcW w:w="2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CCEEFF"/>
            </w:tcBorders>
            <w:shd w:val="clear" w:color="auto" w:fill="CCEEFF"/>
          </w:tcPr>
          <w:p>
            <w:pPr>
              <w:ind w:left="580"/>
              <w:spacing w:after="0" w:line="161" w:lineRule="exact"/>
              <w:rPr>
                <w:sz w:val="20"/>
                <w:szCs w:val="20"/>
                <w:color w:val="auto"/>
              </w:rPr>
            </w:pPr>
            <w:r>
              <w:rPr>
                <w:rFonts w:ascii="Arial" w:cs="Arial" w:eastAsia="Arial" w:hAnsi="Arial"/>
                <w:sz w:val="15"/>
                <w:szCs w:val="15"/>
                <w:color w:val="auto"/>
              </w:rPr>
              <w:t>March 12, 2021</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580" w:type="dxa"/>
            <w:vAlign w:val="bottom"/>
            <w:shd w:val="clear" w:color="auto" w:fill="CCEEFF"/>
          </w:tcPr>
          <w:p>
            <w:pPr>
              <w:spacing w:after="0"/>
              <w:rPr>
                <w:sz w:val="24"/>
                <w:szCs w:val="24"/>
                <w:color w:val="auto"/>
              </w:rPr>
            </w:pPr>
          </w:p>
        </w:tc>
        <w:tc>
          <w:tcPr>
            <w:tcW w:w="2640" w:type="dxa"/>
            <w:vAlign w:val="bottom"/>
            <w:shd w:val="clear" w:color="auto" w:fill="CCEEFF"/>
          </w:tcPr>
          <w:p>
            <w:pPr>
              <w:jc w:val="center"/>
              <w:ind w:right="1503"/>
              <w:spacing w:after="0"/>
              <w:rPr>
                <w:sz w:val="20"/>
                <w:szCs w:val="20"/>
                <w:color w:val="auto"/>
              </w:rPr>
            </w:pPr>
            <w:r>
              <w:rPr>
                <w:rFonts w:ascii="Arial" w:cs="Arial" w:eastAsia="Arial" w:hAnsi="Arial"/>
                <w:sz w:val="15"/>
                <w:szCs w:val="15"/>
                <w:color w:val="auto"/>
                <w:w w:val="94"/>
              </w:rPr>
              <w:t>Darrin R. Uecker</w:t>
            </w:r>
          </w:p>
        </w:tc>
        <w:tc>
          <w:tcPr>
            <w:tcW w:w="20" w:type="dxa"/>
            <w:vAlign w:val="bottom"/>
            <w:shd w:val="clear" w:color="auto" w:fill="CCEEFF"/>
          </w:tcPr>
          <w:p>
            <w:pPr>
              <w:spacing w:after="0"/>
              <w:rPr>
                <w:sz w:val="24"/>
                <w:szCs w:val="24"/>
                <w:color w:val="auto"/>
              </w:rPr>
            </w:pPr>
          </w:p>
        </w:tc>
        <w:tc>
          <w:tcPr>
            <w:tcW w:w="4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58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80" w:type="dxa"/>
            <w:vAlign w:val="bottom"/>
            <w:tcBorders>
              <w:bottom w:val="single" w:sz="8" w:color="auto"/>
            </w:tcBorders>
          </w:tcPr>
          <w:p>
            <w:pPr>
              <w:ind w:left="1380"/>
              <w:spacing w:after="0" w:line="161" w:lineRule="exact"/>
              <w:rPr>
                <w:sz w:val="20"/>
                <w:szCs w:val="20"/>
                <w:color w:val="auto"/>
              </w:rPr>
            </w:pPr>
            <w:r>
              <w:rPr>
                <w:rFonts w:ascii="Arial" w:cs="Arial" w:eastAsia="Arial" w:hAnsi="Arial"/>
                <w:sz w:val="15"/>
                <w:szCs w:val="15"/>
                <w:color w:val="auto"/>
              </w:rPr>
              <w:t>/s/</w:t>
            </w:r>
          </w:p>
        </w:tc>
        <w:tc>
          <w:tcPr>
            <w:tcW w:w="2640" w:type="dxa"/>
            <w:vAlign w:val="bottom"/>
            <w:tcBorders>
              <w:bottom w:val="single" w:sz="8" w:color="auto"/>
            </w:tcBorders>
          </w:tcPr>
          <w:p>
            <w:pPr>
              <w:jc w:val="center"/>
              <w:ind w:right="1203"/>
              <w:spacing w:after="0" w:line="161" w:lineRule="exact"/>
              <w:rPr>
                <w:sz w:val="20"/>
                <w:szCs w:val="20"/>
                <w:color w:val="auto"/>
              </w:rPr>
            </w:pPr>
            <w:r>
              <w:rPr>
                <w:rFonts w:ascii="Arial" w:cs="Arial" w:eastAsia="Arial" w:hAnsi="Arial"/>
                <w:sz w:val="15"/>
                <w:szCs w:val="15"/>
                <w:color w:val="auto"/>
                <w:w w:val="93"/>
              </w:rPr>
              <w:t>Robert W. Duggan</w:t>
            </w:r>
          </w:p>
        </w:tc>
        <w:tc>
          <w:tcPr>
            <w:tcW w:w="20" w:type="dxa"/>
            <w:vAlign w:val="bottom"/>
          </w:tcPr>
          <w:p>
            <w:pPr>
              <w:spacing w:after="0"/>
              <w:rPr>
                <w:sz w:val="14"/>
                <w:szCs w:val="14"/>
                <w:color w:val="auto"/>
              </w:rPr>
            </w:pPr>
          </w:p>
        </w:tc>
        <w:tc>
          <w:tcPr>
            <w:tcW w:w="4900" w:type="dxa"/>
            <w:vAlign w:val="bottom"/>
          </w:tcPr>
          <w:p>
            <w:pPr>
              <w:jc w:val="center"/>
              <w:ind w:left="3"/>
              <w:spacing w:after="0" w:line="161" w:lineRule="exact"/>
              <w:rPr>
                <w:sz w:val="20"/>
                <w:szCs w:val="20"/>
                <w:color w:val="auto"/>
              </w:rPr>
            </w:pPr>
            <w:r>
              <w:rPr>
                <w:rFonts w:ascii="Arial" w:cs="Arial" w:eastAsia="Arial" w:hAnsi="Arial"/>
                <w:sz w:val="15"/>
                <w:szCs w:val="15"/>
                <w:color w:val="auto"/>
                <w:w w:val="94"/>
              </w:rPr>
              <w:t>Chairman of the Board of Directors</w:t>
            </w:r>
          </w:p>
        </w:tc>
        <w:tc>
          <w:tcPr>
            <w:tcW w:w="20" w:type="dxa"/>
            <w:vAlign w:val="bottom"/>
          </w:tcPr>
          <w:p>
            <w:pPr>
              <w:spacing w:after="0"/>
              <w:rPr>
                <w:sz w:val="14"/>
                <w:szCs w:val="14"/>
                <w:color w:val="auto"/>
              </w:rPr>
            </w:pPr>
          </w:p>
        </w:tc>
        <w:tc>
          <w:tcPr>
            <w:tcW w:w="2080" w:type="dxa"/>
            <w:vAlign w:val="bottom"/>
          </w:tcPr>
          <w:p>
            <w:pPr>
              <w:ind w:left="580"/>
              <w:spacing w:after="0" w:line="161" w:lineRule="exact"/>
              <w:rPr>
                <w:sz w:val="20"/>
                <w:szCs w:val="20"/>
                <w:color w:val="auto"/>
              </w:rPr>
            </w:pPr>
            <w:r>
              <w:rPr>
                <w:rFonts w:ascii="Arial" w:cs="Arial" w:eastAsia="Arial" w:hAnsi="Arial"/>
                <w:sz w:val="15"/>
                <w:szCs w:val="15"/>
                <w:color w:val="auto"/>
              </w:rPr>
              <w:t>March 12,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4220" w:type="dxa"/>
            <w:vAlign w:val="bottom"/>
            <w:gridSpan w:val="2"/>
          </w:tcPr>
          <w:p>
            <w:pPr>
              <w:ind w:left="1520"/>
              <w:spacing w:after="0"/>
              <w:rPr>
                <w:sz w:val="20"/>
                <w:szCs w:val="20"/>
                <w:color w:val="auto"/>
              </w:rPr>
            </w:pPr>
            <w:r>
              <w:rPr>
                <w:rFonts w:ascii="Arial" w:cs="Arial" w:eastAsia="Arial" w:hAnsi="Arial"/>
                <w:sz w:val="15"/>
                <w:szCs w:val="15"/>
                <w:color w:val="auto"/>
              </w:rPr>
              <w:t>Robert W. Duggan</w:t>
            </w:r>
          </w:p>
        </w:tc>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5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580" w:type="dxa"/>
            <w:vAlign w:val="bottom"/>
            <w:tcBorders>
              <w:bottom w:val="single" w:sz="8" w:color="CCEEFF"/>
            </w:tcBorders>
            <w:shd w:val="clear" w:color="auto" w:fill="CCEEFF"/>
          </w:tcPr>
          <w:p>
            <w:pPr>
              <w:ind w:left="1360"/>
              <w:spacing w:after="0" w:line="139" w:lineRule="exact"/>
              <w:rPr>
                <w:sz w:val="20"/>
                <w:szCs w:val="20"/>
                <w:color w:val="auto"/>
              </w:rPr>
            </w:pPr>
            <w:r>
              <w:rPr>
                <w:rFonts w:ascii="Arial" w:cs="Arial" w:eastAsia="Arial" w:hAnsi="Arial"/>
                <w:sz w:val="15"/>
                <w:szCs w:val="15"/>
                <w:color w:val="auto"/>
              </w:rPr>
              <w:t>/s/</w:t>
            </w:r>
          </w:p>
        </w:tc>
        <w:tc>
          <w:tcPr>
            <w:tcW w:w="2640" w:type="dxa"/>
            <w:vAlign w:val="bottom"/>
            <w:tcBorders>
              <w:bottom w:val="single" w:sz="8" w:color="CCEEFF"/>
            </w:tcBorders>
            <w:shd w:val="clear" w:color="auto" w:fill="CCEEFF"/>
          </w:tcPr>
          <w:p>
            <w:pPr>
              <w:jc w:val="center"/>
              <w:ind w:right="1203"/>
              <w:spacing w:after="0" w:line="139" w:lineRule="exact"/>
              <w:rPr>
                <w:sz w:val="20"/>
                <w:szCs w:val="20"/>
                <w:color w:val="auto"/>
              </w:rPr>
            </w:pPr>
            <w:r>
              <w:rPr>
                <w:rFonts w:ascii="Arial" w:cs="Arial" w:eastAsia="Arial" w:hAnsi="Arial"/>
                <w:sz w:val="15"/>
                <w:szCs w:val="15"/>
                <w:color w:val="auto"/>
                <w:w w:val="92"/>
              </w:rPr>
              <w:t>Sandra A. Gardiner</w:t>
            </w:r>
          </w:p>
        </w:tc>
        <w:tc>
          <w:tcPr>
            <w:tcW w:w="20" w:type="dxa"/>
            <w:vAlign w:val="bottom"/>
            <w:tcBorders>
              <w:bottom w:val="single" w:sz="8" w:color="CCEEFF"/>
            </w:tcBorders>
            <w:shd w:val="clear" w:color="auto" w:fill="CCEEFF"/>
          </w:tcPr>
          <w:p>
            <w:pPr>
              <w:spacing w:after="0"/>
              <w:rPr>
                <w:sz w:val="14"/>
                <w:szCs w:val="14"/>
                <w:color w:val="auto"/>
              </w:rPr>
            </w:pPr>
          </w:p>
        </w:tc>
        <w:tc>
          <w:tcPr>
            <w:tcW w:w="4900" w:type="dxa"/>
            <w:vAlign w:val="bottom"/>
            <w:tcBorders>
              <w:bottom w:val="single" w:sz="8" w:color="CCEEFF"/>
            </w:tcBorders>
            <w:shd w:val="clear" w:color="auto" w:fill="CCEEFF"/>
          </w:tcPr>
          <w:p>
            <w:pPr>
              <w:jc w:val="center"/>
              <w:ind w:left="3"/>
              <w:spacing w:after="0" w:line="139" w:lineRule="exact"/>
              <w:rPr>
                <w:sz w:val="20"/>
                <w:szCs w:val="20"/>
                <w:color w:val="auto"/>
              </w:rPr>
            </w:pPr>
            <w:r>
              <w:rPr>
                <w:rFonts w:ascii="Arial" w:cs="Arial" w:eastAsia="Arial" w:hAnsi="Arial"/>
                <w:sz w:val="15"/>
                <w:szCs w:val="15"/>
                <w:color w:val="auto"/>
                <w:w w:val="92"/>
              </w:rPr>
              <w:t>Chief Financial Officer, Executive Vice President, Secretary and Treasurer</w:t>
            </w:r>
          </w:p>
        </w:tc>
        <w:tc>
          <w:tcPr>
            <w:tcW w:w="2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CCEEFF"/>
            </w:tcBorders>
            <w:shd w:val="clear" w:color="auto" w:fill="CCEEFF"/>
          </w:tcPr>
          <w:p>
            <w:pPr>
              <w:ind w:left="580"/>
              <w:spacing w:after="0" w:line="139" w:lineRule="exact"/>
              <w:rPr>
                <w:sz w:val="20"/>
                <w:szCs w:val="20"/>
                <w:color w:val="auto"/>
              </w:rPr>
            </w:pPr>
            <w:r>
              <w:rPr>
                <w:rFonts w:ascii="Arial" w:cs="Arial" w:eastAsia="Arial" w:hAnsi="Arial"/>
                <w:sz w:val="15"/>
                <w:szCs w:val="15"/>
                <w:color w:val="auto"/>
              </w:rPr>
              <w:t>March 12, 2021</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20" w:type="dxa"/>
            <w:vAlign w:val="bottom"/>
            <w:tcBorders>
              <w:top w:val="single" w:sz="8" w:color="auto"/>
            </w:tcBorders>
            <w:gridSpan w:val="2"/>
            <w:vMerge w:val="restart"/>
            <w:shd w:val="clear" w:color="auto" w:fill="CCEEFF"/>
          </w:tcPr>
          <w:p>
            <w:pPr>
              <w:jc w:val="center"/>
              <w:spacing w:after="0"/>
              <w:rPr>
                <w:sz w:val="20"/>
                <w:szCs w:val="20"/>
                <w:color w:val="auto"/>
              </w:rPr>
            </w:pPr>
            <w:r>
              <w:rPr>
                <w:rFonts w:ascii="Arial" w:cs="Arial" w:eastAsia="Arial" w:hAnsi="Arial"/>
                <w:sz w:val="15"/>
                <w:szCs w:val="15"/>
                <w:color w:val="auto"/>
                <w:w w:val="92"/>
              </w:rPr>
              <w:t>Sandra A. Gardiner</w:t>
            </w:r>
          </w:p>
        </w:tc>
        <w:tc>
          <w:tcPr>
            <w:tcW w:w="20" w:type="dxa"/>
            <w:vAlign w:val="bottom"/>
            <w:tcBorders>
              <w:top w:val="single" w:sz="8" w:color="CCEEFF"/>
            </w:tcBorders>
            <w:shd w:val="clear" w:color="auto" w:fill="CCEEFF"/>
          </w:tcPr>
          <w:p>
            <w:pPr>
              <w:spacing w:after="0"/>
              <w:rPr>
                <w:sz w:val="13"/>
                <w:szCs w:val="13"/>
                <w:color w:val="auto"/>
              </w:rPr>
            </w:pPr>
          </w:p>
        </w:tc>
        <w:tc>
          <w:tcPr>
            <w:tcW w:w="4900" w:type="dxa"/>
            <w:vAlign w:val="bottom"/>
            <w:tcBorders>
              <w:top w:val="single" w:sz="8" w:color="CCEEFF"/>
            </w:tcBorders>
            <w:shd w:val="clear" w:color="auto" w:fill="CCEEFF"/>
          </w:tcPr>
          <w:p>
            <w:pPr>
              <w:jc w:val="center"/>
              <w:ind w:left="63"/>
              <w:spacing w:after="0" w:line="153" w:lineRule="exact"/>
              <w:rPr>
                <w:sz w:val="20"/>
                <w:szCs w:val="20"/>
                <w:color w:val="auto"/>
              </w:rPr>
            </w:pPr>
            <w:r>
              <w:rPr>
                <w:rFonts w:ascii="Arial" w:cs="Arial" w:eastAsia="Arial" w:hAnsi="Arial"/>
                <w:sz w:val="15"/>
                <w:szCs w:val="15"/>
                <w:color w:val="auto"/>
                <w:w w:val="97"/>
              </w:rPr>
              <w:t>(</w:t>
            </w:r>
            <w:r>
              <w:rPr>
                <w:rFonts w:ascii="Arial" w:cs="Arial" w:eastAsia="Arial" w:hAnsi="Arial"/>
                <w:sz w:val="15"/>
                <w:szCs w:val="15"/>
                <w:i w:val="1"/>
                <w:iCs w:val="1"/>
                <w:color w:val="auto"/>
                <w:w w:val="97"/>
              </w:rPr>
              <w:t>Principal Financial and Accounting Officer)</w:t>
            </w:r>
          </w:p>
        </w:tc>
        <w:tc>
          <w:tcPr>
            <w:tcW w:w="2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8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80" w:type="dxa"/>
            <w:vAlign w:val="bottom"/>
            <w:tcBorders>
              <w:bottom w:val="single" w:sz="8" w:color="auto"/>
            </w:tcBorders>
          </w:tcPr>
          <w:p>
            <w:pPr>
              <w:ind w:left="1280"/>
              <w:spacing w:after="0" w:line="161" w:lineRule="exact"/>
              <w:rPr>
                <w:sz w:val="20"/>
                <w:szCs w:val="20"/>
                <w:color w:val="auto"/>
              </w:rPr>
            </w:pPr>
            <w:r>
              <w:rPr>
                <w:rFonts w:ascii="Arial" w:cs="Arial" w:eastAsia="Arial" w:hAnsi="Arial"/>
                <w:sz w:val="15"/>
                <w:szCs w:val="15"/>
                <w:color w:val="auto"/>
              </w:rPr>
              <w:t>/s/</w:t>
            </w:r>
          </w:p>
        </w:tc>
        <w:tc>
          <w:tcPr>
            <w:tcW w:w="2640" w:type="dxa"/>
            <w:vAlign w:val="bottom"/>
            <w:tcBorders>
              <w:bottom w:val="single" w:sz="8" w:color="auto"/>
            </w:tcBorders>
          </w:tcPr>
          <w:p>
            <w:pPr>
              <w:jc w:val="center"/>
              <w:ind w:right="1263"/>
              <w:spacing w:after="0" w:line="161" w:lineRule="exact"/>
              <w:rPr>
                <w:sz w:val="20"/>
                <w:szCs w:val="20"/>
                <w:color w:val="auto"/>
              </w:rPr>
            </w:pPr>
            <w:r>
              <w:rPr>
                <w:rFonts w:ascii="Arial" w:cs="Arial" w:eastAsia="Arial" w:hAnsi="Arial"/>
                <w:sz w:val="15"/>
                <w:szCs w:val="15"/>
                <w:color w:val="auto"/>
                <w:w w:val="97"/>
              </w:rPr>
              <w:t>Mitchell E. Levinson</w:t>
            </w:r>
          </w:p>
        </w:tc>
        <w:tc>
          <w:tcPr>
            <w:tcW w:w="20" w:type="dxa"/>
            <w:vAlign w:val="bottom"/>
          </w:tcPr>
          <w:p>
            <w:pPr>
              <w:spacing w:after="0"/>
              <w:rPr>
                <w:sz w:val="14"/>
                <w:szCs w:val="14"/>
                <w:color w:val="auto"/>
              </w:rPr>
            </w:pPr>
          </w:p>
        </w:tc>
        <w:tc>
          <w:tcPr>
            <w:tcW w:w="4900" w:type="dxa"/>
            <w:vAlign w:val="bottom"/>
          </w:tcPr>
          <w:p>
            <w:pPr>
              <w:jc w:val="center"/>
              <w:ind w:left="23"/>
              <w:spacing w:after="0" w:line="161" w:lineRule="exact"/>
              <w:rPr>
                <w:sz w:val="20"/>
                <w:szCs w:val="20"/>
                <w:color w:val="auto"/>
              </w:rPr>
            </w:pPr>
            <w:r>
              <w:rPr>
                <w:rFonts w:ascii="Arial" w:cs="Arial" w:eastAsia="Arial" w:hAnsi="Arial"/>
                <w:sz w:val="15"/>
                <w:szCs w:val="15"/>
                <w:color w:val="auto"/>
                <w:w w:val="98"/>
              </w:rPr>
              <w:t>Director</w:t>
            </w:r>
          </w:p>
        </w:tc>
        <w:tc>
          <w:tcPr>
            <w:tcW w:w="20" w:type="dxa"/>
            <w:vAlign w:val="bottom"/>
          </w:tcPr>
          <w:p>
            <w:pPr>
              <w:spacing w:after="0"/>
              <w:rPr>
                <w:sz w:val="14"/>
                <w:szCs w:val="14"/>
                <w:color w:val="auto"/>
              </w:rPr>
            </w:pPr>
          </w:p>
        </w:tc>
        <w:tc>
          <w:tcPr>
            <w:tcW w:w="2080" w:type="dxa"/>
            <w:vAlign w:val="bottom"/>
          </w:tcPr>
          <w:p>
            <w:pPr>
              <w:ind w:left="580"/>
              <w:spacing w:after="0" w:line="161" w:lineRule="exact"/>
              <w:rPr>
                <w:sz w:val="20"/>
                <w:szCs w:val="20"/>
                <w:color w:val="auto"/>
              </w:rPr>
            </w:pPr>
            <w:r>
              <w:rPr>
                <w:rFonts w:ascii="Arial" w:cs="Arial" w:eastAsia="Arial" w:hAnsi="Arial"/>
                <w:sz w:val="15"/>
                <w:szCs w:val="15"/>
                <w:color w:val="auto"/>
              </w:rPr>
              <w:t>March 12,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4220" w:type="dxa"/>
            <w:vAlign w:val="bottom"/>
            <w:gridSpan w:val="2"/>
          </w:tcPr>
          <w:p>
            <w:pPr>
              <w:jc w:val="center"/>
              <w:spacing w:after="0"/>
              <w:rPr>
                <w:sz w:val="20"/>
                <w:szCs w:val="20"/>
                <w:color w:val="auto"/>
              </w:rPr>
            </w:pPr>
            <w:r>
              <w:rPr>
                <w:rFonts w:ascii="Arial" w:cs="Arial" w:eastAsia="Arial" w:hAnsi="Arial"/>
                <w:sz w:val="15"/>
                <w:szCs w:val="15"/>
                <w:color w:val="auto"/>
                <w:w w:val="97"/>
              </w:rPr>
              <w:t>Mitchell E. Levinson</w:t>
            </w:r>
          </w:p>
        </w:tc>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5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580" w:type="dxa"/>
            <w:vAlign w:val="bottom"/>
            <w:tcBorders>
              <w:bottom w:val="single" w:sz="8" w:color="auto"/>
            </w:tcBorders>
            <w:shd w:val="clear" w:color="auto" w:fill="CCEEFF"/>
          </w:tcPr>
          <w:p>
            <w:pPr>
              <w:ind w:left="1420"/>
              <w:spacing w:after="0" w:line="161" w:lineRule="exact"/>
              <w:rPr>
                <w:sz w:val="20"/>
                <w:szCs w:val="20"/>
                <w:color w:val="auto"/>
              </w:rPr>
            </w:pPr>
            <w:r>
              <w:rPr>
                <w:rFonts w:ascii="Arial" w:cs="Arial" w:eastAsia="Arial" w:hAnsi="Arial"/>
                <w:sz w:val="15"/>
                <w:szCs w:val="15"/>
                <w:color w:val="auto"/>
                <w:w w:val="88"/>
              </w:rPr>
              <w:t>/s/</w:t>
            </w:r>
          </w:p>
        </w:tc>
        <w:tc>
          <w:tcPr>
            <w:tcW w:w="2640" w:type="dxa"/>
            <w:vAlign w:val="bottom"/>
            <w:tcBorders>
              <w:bottom w:val="single" w:sz="8" w:color="auto"/>
            </w:tcBorders>
            <w:shd w:val="clear" w:color="auto" w:fill="CCEEFF"/>
          </w:tcPr>
          <w:p>
            <w:pPr>
              <w:jc w:val="center"/>
              <w:ind w:right="1203"/>
              <w:spacing w:after="0" w:line="161" w:lineRule="exact"/>
              <w:rPr>
                <w:sz w:val="20"/>
                <w:szCs w:val="20"/>
                <w:color w:val="auto"/>
              </w:rPr>
            </w:pPr>
            <w:r>
              <w:rPr>
                <w:rFonts w:ascii="Arial" w:cs="Arial" w:eastAsia="Arial" w:hAnsi="Arial"/>
                <w:sz w:val="15"/>
                <w:szCs w:val="15"/>
                <w:color w:val="auto"/>
                <w:w w:val="95"/>
              </w:rPr>
              <w:t>Kenneth A. Clark</w:t>
            </w:r>
          </w:p>
        </w:tc>
        <w:tc>
          <w:tcPr>
            <w:tcW w:w="20" w:type="dxa"/>
            <w:vAlign w:val="bottom"/>
            <w:tcBorders>
              <w:bottom w:val="single" w:sz="8" w:color="CCEEFF"/>
            </w:tcBorders>
            <w:shd w:val="clear" w:color="auto" w:fill="CCEEFF"/>
          </w:tcPr>
          <w:p>
            <w:pPr>
              <w:spacing w:after="0"/>
              <w:rPr>
                <w:sz w:val="14"/>
                <w:szCs w:val="14"/>
                <w:color w:val="auto"/>
              </w:rPr>
            </w:pPr>
          </w:p>
        </w:tc>
        <w:tc>
          <w:tcPr>
            <w:tcW w:w="4900" w:type="dxa"/>
            <w:vAlign w:val="bottom"/>
            <w:tcBorders>
              <w:bottom w:val="single" w:sz="8" w:color="CCEEFF"/>
            </w:tcBorders>
            <w:shd w:val="clear" w:color="auto" w:fill="CCEEFF"/>
          </w:tcPr>
          <w:p>
            <w:pPr>
              <w:jc w:val="center"/>
              <w:ind w:left="23"/>
              <w:spacing w:after="0" w:line="161" w:lineRule="exact"/>
              <w:rPr>
                <w:sz w:val="20"/>
                <w:szCs w:val="20"/>
                <w:color w:val="auto"/>
              </w:rPr>
            </w:pPr>
            <w:r>
              <w:rPr>
                <w:rFonts w:ascii="Arial" w:cs="Arial" w:eastAsia="Arial" w:hAnsi="Arial"/>
                <w:sz w:val="15"/>
                <w:szCs w:val="15"/>
                <w:color w:val="auto"/>
                <w:w w:val="98"/>
              </w:rPr>
              <w:t>Director</w:t>
            </w:r>
          </w:p>
        </w:tc>
        <w:tc>
          <w:tcPr>
            <w:tcW w:w="2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CCEEFF"/>
            </w:tcBorders>
            <w:shd w:val="clear" w:color="auto" w:fill="CCEEFF"/>
          </w:tcPr>
          <w:p>
            <w:pPr>
              <w:ind w:left="580"/>
              <w:spacing w:after="0" w:line="161" w:lineRule="exact"/>
              <w:rPr>
                <w:sz w:val="20"/>
                <w:szCs w:val="20"/>
                <w:color w:val="auto"/>
              </w:rPr>
            </w:pPr>
            <w:r>
              <w:rPr>
                <w:rFonts w:ascii="Arial" w:cs="Arial" w:eastAsia="Arial" w:hAnsi="Arial"/>
                <w:sz w:val="15"/>
                <w:szCs w:val="15"/>
                <w:color w:val="auto"/>
              </w:rPr>
              <w:t>March 12, 2021</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422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96"/>
              </w:rPr>
              <w:t>Kenneth A. Clark</w:t>
            </w:r>
          </w:p>
        </w:tc>
        <w:tc>
          <w:tcPr>
            <w:tcW w:w="20" w:type="dxa"/>
            <w:vAlign w:val="bottom"/>
            <w:shd w:val="clear" w:color="auto" w:fill="CCEEFF"/>
          </w:tcPr>
          <w:p>
            <w:pPr>
              <w:spacing w:after="0"/>
              <w:rPr>
                <w:sz w:val="24"/>
                <w:szCs w:val="24"/>
                <w:color w:val="auto"/>
              </w:rPr>
            </w:pPr>
          </w:p>
        </w:tc>
        <w:tc>
          <w:tcPr>
            <w:tcW w:w="4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58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80" w:type="dxa"/>
            <w:vAlign w:val="bottom"/>
            <w:tcBorders>
              <w:bottom w:val="single" w:sz="8" w:color="auto"/>
            </w:tcBorders>
          </w:tcPr>
          <w:p>
            <w:pPr>
              <w:ind w:left="1400"/>
              <w:spacing w:after="0" w:line="161" w:lineRule="exact"/>
              <w:rPr>
                <w:sz w:val="20"/>
                <w:szCs w:val="20"/>
                <w:color w:val="auto"/>
              </w:rPr>
            </w:pPr>
            <w:r>
              <w:rPr>
                <w:rFonts w:ascii="Arial" w:cs="Arial" w:eastAsia="Arial" w:hAnsi="Arial"/>
                <w:sz w:val="15"/>
                <w:szCs w:val="15"/>
                <w:color w:val="auto"/>
              </w:rPr>
              <w:t>/s/</w:t>
            </w:r>
          </w:p>
        </w:tc>
        <w:tc>
          <w:tcPr>
            <w:tcW w:w="2640" w:type="dxa"/>
            <w:vAlign w:val="bottom"/>
            <w:tcBorders>
              <w:bottom w:val="single" w:sz="8" w:color="auto"/>
            </w:tcBorders>
          </w:tcPr>
          <w:p>
            <w:pPr>
              <w:jc w:val="center"/>
              <w:ind w:right="1263"/>
              <w:spacing w:after="0" w:line="161" w:lineRule="exact"/>
              <w:rPr>
                <w:sz w:val="20"/>
                <w:szCs w:val="20"/>
                <w:color w:val="auto"/>
              </w:rPr>
            </w:pPr>
            <w:r>
              <w:rPr>
                <w:rFonts w:ascii="Arial" w:cs="Arial" w:eastAsia="Arial" w:hAnsi="Arial"/>
                <w:sz w:val="15"/>
                <w:szCs w:val="15"/>
                <w:color w:val="auto"/>
                <w:w w:val="92"/>
              </w:rPr>
              <w:t>Manmeet S. Soni</w:t>
            </w:r>
          </w:p>
        </w:tc>
        <w:tc>
          <w:tcPr>
            <w:tcW w:w="20" w:type="dxa"/>
            <w:vAlign w:val="bottom"/>
          </w:tcPr>
          <w:p>
            <w:pPr>
              <w:spacing w:after="0"/>
              <w:rPr>
                <w:sz w:val="14"/>
                <w:szCs w:val="14"/>
                <w:color w:val="auto"/>
              </w:rPr>
            </w:pPr>
          </w:p>
        </w:tc>
        <w:tc>
          <w:tcPr>
            <w:tcW w:w="4900" w:type="dxa"/>
            <w:vAlign w:val="bottom"/>
          </w:tcPr>
          <w:p>
            <w:pPr>
              <w:jc w:val="center"/>
              <w:ind w:left="23"/>
              <w:spacing w:after="0" w:line="161" w:lineRule="exact"/>
              <w:rPr>
                <w:sz w:val="20"/>
                <w:szCs w:val="20"/>
                <w:color w:val="auto"/>
              </w:rPr>
            </w:pPr>
            <w:r>
              <w:rPr>
                <w:rFonts w:ascii="Arial" w:cs="Arial" w:eastAsia="Arial" w:hAnsi="Arial"/>
                <w:sz w:val="15"/>
                <w:szCs w:val="15"/>
                <w:color w:val="auto"/>
                <w:w w:val="98"/>
              </w:rPr>
              <w:t>Director</w:t>
            </w:r>
          </w:p>
        </w:tc>
        <w:tc>
          <w:tcPr>
            <w:tcW w:w="20" w:type="dxa"/>
            <w:vAlign w:val="bottom"/>
          </w:tcPr>
          <w:p>
            <w:pPr>
              <w:spacing w:after="0"/>
              <w:rPr>
                <w:sz w:val="14"/>
                <w:szCs w:val="14"/>
                <w:color w:val="auto"/>
              </w:rPr>
            </w:pPr>
          </w:p>
        </w:tc>
        <w:tc>
          <w:tcPr>
            <w:tcW w:w="2080" w:type="dxa"/>
            <w:vAlign w:val="bottom"/>
          </w:tcPr>
          <w:p>
            <w:pPr>
              <w:ind w:left="580"/>
              <w:spacing w:after="0" w:line="161" w:lineRule="exact"/>
              <w:rPr>
                <w:sz w:val="20"/>
                <w:szCs w:val="20"/>
                <w:color w:val="auto"/>
              </w:rPr>
            </w:pPr>
            <w:r>
              <w:rPr>
                <w:rFonts w:ascii="Arial" w:cs="Arial" w:eastAsia="Arial" w:hAnsi="Arial"/>
                <w:sz w:val="15"/>
                <w:szCs w:val="15"/>
                <w:color w:val="auto"/>
              </w:rPr>
              <w:t>March 12,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1580" w:type="dxa"/>
            <w:vAlign w:val="bottom"/>
          </w:tcPr>
          <w:p>
            <w:pPr>
              <w:spacing w:after="0"/>
              <w:rPr>
                <w:sz w:val="24"/>
                <w:szCs w:val="24"/>
                <w:color w:val="auto"/>
              </w:rPr>
            </w:pPr>
          </w:p>
        </w:tc>
        <w:tc>
          <w:tcPr>
            <w:tcW w:w="2640" w:type="dxa"/>
            <w:vAlign w:val="bottom"/>
          </w:tcPr>
          <w:p>
            <w:pPr>
              <w:jc w:val="center"/>
              <w:ind w:right="1503"/>
              <w:spacing w:after="0"/>
              <w:rPr>
                <w:sz w:val="20"/>
                <w:szCs w:val="20"/>
                <w:color w:val="auto"/>
              </w:rPr>
            </w:pPr>
            <w:r>
              <w:rPr>
                <w:rFonts w:ascii="Arial" w:cs="Arial" w:eastAsia="Arial" w:hAnsi="Arial"/>
                <w:sz w:val="15"/>
                <w:szCs w:val="15"/>
                <w:color w:val="auto"/>
                <w:w w:val="92"/>
              </w:rPr>
              <w:t>Manmeet S. Soni</w:t>
            </w:r>
          </w:p>
        </w:tc>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5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580" w:type="dxa"/>
            <w:vAlign w:val="bottom"/>
            <w:tcBorders>
              <w:bottom w:val="single" w:sz="8" w:color="auto"/>
            </w:tcBorders>
            <w:shd w:val="clear" w:color="auto" w:fill="CCEEFF"/>
          </w:tcPr>
          <w:p>
            <w:pPr>
              <w:ind w:left="1360"/>
              <w:spacing w:after="0" w:line="161" w:lineRule="exact"/>
              <w:rPr>
                <w:sz w:val="20"/>
                <w:szCs w:val="20"/>
                <w:color w:val="auto"/>
              </w:rPr>
            </w:pPr>
            <w:r>
              <w:rPr>
                <w:rFonts w:ascii="Arial" w:cs="Arial" w:eastAsia="Arial" w:hAnsi="Arial"/>
                <w:sz w:val="15"/>
                <w:szCs w:val="15"/>
                <w:color w:val="auto"/>
              </w:rPr>
              <w:t>/s/</w:t>
            </w:r>
          </w:p>
        </w:tc>
        <w:tc>
          <w:tcPr>
            <w:tcW w:w="2640" w:type="dxa"/>
            <w:vAlign w:val="bottom"/>
            <w:tcBorders>
              <w:bottom w:val="single" w:sz="8" w:color="auto"/>
            </w:tcBorders>
            <w:shd w:val="clear" w:color="auto" w:fill="CCEEFF"/>
          </w:tcPr>
          <w:p>
            <w:pPr>
              <w:ind w:left="40"/>
              <w:spacing w:after="0" w:line="161" w:lineRule="exact"/>
              <w:rPr>
                <w:sz w:val="20"/>
                <w:szCs w:val="20"/>
                <w:color w:val="auto"/>
              </w:rPr>
            </w:pPr>
            <w:r>
              <w:rPr>
                <w:rFonts w:ascii="Arial" w:cs="Arial" w:eastAsia="Arial" w:hAnsi="Arial"/>
                <w:sz w:val="15"/>
                <w:szCs w:val="15"/>
                <w:color w:val="auto"/>
              </w:rPr>
              <w:t>Mahkam Zanganeh</w:t>
            </w:r>
          </w:p>
        </w:tc>
        <w:tc>
          <w:tcPr>
            <w:tcW w:w="20" w:type="dxa"/>
            <w:vAlign w:val="bottom"/>
            <w:tcBorders>
              <w:bottom w:val="single" w:sz="8" w:color="CCEEFF"/>
            </w:tcBorders>
            <w:shd w:val="clear" w:color="auto" w:fill="CCEEFF"/>
          </w:tcPr>
          <w:p>
            <w:pPr>
              <w:spacing w:after="0"/>
              <w:rPr>
                <w:sz w:val="14"/>
                <w:szCs w:val="14"/>
                <w:color w:val="auto"/>
              </w:rPr>
            </w:pPr>
          </w:p>
        </w:tc>
        <w:tc>
          <w:tcPr>
            <w:tcW w:w="4900" w:type="dxa"/>
            <w:vAlign w:val="bottom"/>
            <w:tcBorders>
              <w:bottom w:val="single" w:sz="8" w:color="CCEEFF"/>
            </w:tcBorders>
            <w:shd w:val="clear" w:color="auto" w:fill="CCEEFF"/>
          </w:tcPr>
          <w:p>
            <w:pPr>
              <w:jc w:val="center"/>
              <w:ind w:left="23"/>
              <w:spacing w:after="0" w:line="161" w:lineRule="exact"/>
              <w:rPr>
                <w:sz w:val="20"/>
                <w:szCs w:val="20"/>
                <w:color w:val="auto"/>
              </w:rPr>
            </w:pPr>
            <w:r>
              <w:rPr>
                <w:rFonts w:ascii="Arial" w:cs="Arial" w:eastAsia="Arial" w:hAnsi="Arial"/>
                <w:sz w:val="15"/>
                <w:szCs w:val="15"/>
                <w:color w:val="auto"/>
                <w:w w:val="98"/>
              </w:rPr>
              <w:t>Director</w:t>
            </w:r>
          </w:p>
        </w:tc>
        <w:tc>
          <w:tcPr>
            <w:tcW w:w="2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CCEEFF"/>
            </w:tcBorders>
            <w:shd w:val="clear" w:color="auto" w:fill="CCEEFF"/>
          </w:tcPr>
          <w:p>
            <w:pPr>
              <w:ind w:left="580"/>
              <w:spacing w:after="0" w:line="161" w:lineRule="exact"/>
              <w:rPr>
                <w:sz w:val="20"/>
                <w:szCs w:val="20"/>
                <w:color w:val="auto"/>
              </w:rPr>
            </w:pPr>
            <w:r>
              <w:rPr>
                <w:rFonts w:ascii="Arial" w:cs="Arial" w:eastAsia="Arial" w:hAnsi="Arial"/>
                <w:sz w:val="15"/>
                <w:szCs w:val="15"/>
                <w:color w:val="auto"/>
              </w:rPr>
              <w:t>March 12, 2021</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422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91"/>
              </w:rPr>
              <w:t>Mahkam Zanganeh</w:t>
            </w:r>
          </w:p>
        </w:tc>
        <w:tc>
          <w:tcPr>
            <w:tcW w:w="20" w:type="dxa"/>
            <w:vAlign w:val="bottom"/>
            <w:shd w:val="clear" w:color="auto" w:fill="CCEEFF"/>
          </w:tcPr>
          <w:p>
            <w:pPr>
              <w:spacing w:after="0"/>
              <w:rPr>
                <w:sz w:val="24"/>
                <w:szCs w:val="24"/>
                <w:color w:val="auto"/>
              </w:rPr>
            </w:pPr>
          </w:p>
        </w:tc>
        <w:tc>
          <w:tcPr>
            <w:tcW w:w="4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22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20" w:type="dxa"/>
            <w:vAlign w:val="bottom"/>
            <w:tcBorders>
              <w:bottom w:val="single" w:sz="8" w:color="auto"/>
            </w:tcBorders>
            <w:gridSpan w:val="2"/>
          </w:tcPr>
          <w:p>
            <w:pPr>
              <w:jc w:val="center"/>
              <w:spacing w:after="0" w:line="161" w:lineRule="exact"/>
              <w:rPr>
                <w:sz w:val="20"/>
                <w:szCs w:val="20"/>
                <w:color w:val="auto"/>
              </w:rPr>
            </w:pPr>
            <w:r>
              <w:rPr>
                <w:rFonts w:ascii="Arial" w:cs="Arial" w:eastAsia="Arial" w:hAnsi="Arial"/>
                <w:sz w:val="15"/>
                <w:szCs w:val="15"/>
                <w:color w:val="auto"/>
                <w:w w:val="97"/>
              </w:rPr>
              <w:t>/s/  Richard A. van den Broek</w:t>
            </w:r>
          </w:p>
        </w:tc>
        <w:tc>
          <w:tcPr>
            <w:tcW w:w="20" w:type="dxa"/>
            <w:vAlign w:val="bottom"/>
          </w:tcPr>
          <w:p>
            <w:pPr>
              <w:spacing w:after="0"/>
              <w:rPr>
                <w:sz w:val="14"/>
                <w:szCs w:val="14"/>
                <w:color w:val="auto"/>
              </w:rPr>
            </w:pPr>
          </w:p>
        </w:tc>
        <w:tc>
          <w:tcPr>
            <w:tcW w:w="4900" w:type="dxa"/>
            <w:vAlign w:val="bottom"/>
          </w:tcPr>
          <w:p>
            <w:pPr>
              <w:jc w:val="center"/>
              <w:ind w:left="23"/>
              <w:spacing w:after="0" w:line="161" w:lineRule="exact"/>
              <w:rPr>
                <w:sz w:val="20"/>
                <w:szCs w:val="20"/>
                <w:color w:val="auto"/>
              </w:rPr>
            </w:pPr>
            <w:r>
              <w:rPr>
                <w:rFonts w:ascii="Arial" w:cs="Arial" w:eastAsia="Arial" w:hAnsi="Arial"/>
                <w:sz w:val="15"/>
                <w:szCs w:val="15"/>
                <w:color w:val="auto"/>
                <w:w w:val="98"/>
              </w:rPr>
              <w:t>Director</w:t>
            </w:r>
          </w:p>
        </w:tc>
        <w:tc>
          <w:tcPr>
            <w:tcW w:w="20" w:type="dxa"/>
            <w:vAlign w:val="bottom"/>
          </w:tcPr>
          <w:p>
            <w:pPr>
              <w:spacing w:after="0"/>
              <w:rPr>
                <w:sz w:val="14"/>
                <w:szCs w:val="14"/>
                <w:color w:val="auto"/>
              </w:rPr>
            </w:pPr>
          </w:p>
        </w:tc>
        <w:tc>
          <w:tcPr>
            <w:tcW w:w="2080" w:type="dxa"/>
            <w:vAlign w:val="bottom"/>
          </w:tcPr>
          <w:p>
            <w:pPr>
              <w:ind w:left="580"/>
              <w:spacing w:after="0" w:line="161" w:lineRule="exact"/>
              <w:rPr>
                <w:sz w:val="20"/>
                <w:szCs w:val="20"/>
                <w:color w:val="auto"/>
              </w:rPr>
            </w:pPr>
            <w:r>
              <w:rPr>
                <w:rFonts w:ascii="Arial" w:cs="Arial" w:eastAsia="Arial" w:hAnsi="Arial"/>
                <w:sz w:val="15"/>
                <w:szCs w:val="15"/>
                <w:color w:val="auto"/>
              </w:rPr>
              <w:t>March 12,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4220" w:type="dxa"/>
            <w:vAlign w:val="bottom"/>
            <w:gridSpan w:val="2"/>
          </w:tcPr>
          <w:p>
            <w:pPr>
              <w:jc w:val="center"/>
              <w:spacing w:after="0"/>
              <w:rPr>
                <w:sz w:val="20"/>
                <w:szCs w:val="20"/>
                <w:color w:val="auto"/>
              </w:rPr>
            </w:pPr>
            <w:r>
              <w:rPr>
                <w:rFonts w:ascii="Arial" w:cs="Arial" w:eastAsia="Arial" w:hAnsi="Arial"/>
                <w:sz w:val="15"/>
                <w:szCs w:val="15"/>
                <w:color w:val="auto"/>
                <w:w w:val="94"/>
              </w:rPr>
              <w:t>Richard A. van den Broek</w:t>
            </w:r>
          </w:p>
        </w:tc>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7"/>
        </w:trPr>
        <w:tc>
          <w:tcPr>
            <w:tcW w:w="1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920" w:type="dxa"/>
            <w:vAlign w:val="bottom"/>
            <w:gridSpan w:val="2"/>
          </w:tcPr>
          <w:p>
            <w:pPr>
              <w:jc w:val="right"/>
              <w:ind w:right="3363"/>
              <w:spacing w:after="0"/>
              <w:rPr>
                <w:sz w:val="20"/>
                <w:szCs w:val="20"/>
                <w:color w:val="auto"/>
              </w:rPr>
            </w:pPr>
            <w:r>
              <w:rPr>
                <w:rFonts w:ascii="Arial" w:cs="Arial" w:eastAsia="Arial" w:hAnsi="Arial"/>
                <w:sz w:val="15"/>
                <w:szCs w:val="15"/>
                <w:color w:val="auto"/>
              </w:rPr>
              <w:t>86</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1" w:right="319" w:bottom="1440" w:gutter="0" w:footer="0" w:header="0"/>
        </w:sectPr>
      </w:pPr>
    </w:p>
    <w:bookmarkStart w:id="86" w:name="page87"/>
    <w:bookmarkEnd w:id="86"/>
    <w:p>
      <w:pPr>
        <w:jc w:val="right"/>
        <w:spacing w:after="0"/>
        <w:rPr>
          <w:sz w:val="20"/>
          <w:szCs w:val="20"/>
          <w:color w:val="auto"/>
        </w:rPr>
      </w:pPr>
      <w:r>
        <w:rPr>
          <w:rFonts w:ascii="Arial" w:cs="Arial" w:eastAsia="Arial" w:hAnsi="Arial"/>
          <w:sz w:val="17"/>
          <w:szCs w:val="17"/>
          <w:b w:val="1"/>
          <w:bCs w:val="1"/>
          <w:color w:val="auto"/>
        </w:rPr>
        <w:t>Exhibit 10.10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EQUITY INCENTIVE PLAN</w:t>
      </w:r>
    </w:p>
    <w:p>
      <w:pPr>
        <w:spacing w:after="0" w:line="189" w:lineRule="exact"/>
        <w:rPr>
          <w:sz w:val="20"/>
          <w:szCs w:val="20"/>
          <w:color w:val="auto"/>
        </w:rPr>
      </w:pPr>
    </w:p>
    <w:p>
      <w:pPr>
        <w:ind w:left="1100" w:hanging="548"/>
        <w:spacing w:after="0"/>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Purposes of the Plan</w:t>
      </w:r>
      <w:r>
        <w:rPr>
          <w:rFonts w:ascii="Arial" w:cs="Arial" w:eastAsia="Arial" w:hAnsi="Arial"/>
          <w:sz w:val="17"/>
          <w:szCs w:val="17"/>
          <w:color w:val="auto"/>
        </w:rPr>
        <w:t>.  The purposes of this Plan are:</w:t>
      </w:r>
    </w:p>
    <w:p>
      <w:pPr>
        <w:spacing w:after="0" w:line="197"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to attract and retain the best available personnel for positions of substantial responsibility,</w:t>
      </w:r>
    </w:p>
    <w:p>
      <w:pPr>
        <w:spacing w:after="0" w:line="197"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to provide additional incentive to Employees, Directors and Consultants, and</w:t>
      </w:r>
    </w:p>
    <w:p>
      <w:pPr>
        <w:spacing w:after="0" w:line="197"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to promote the success of the Company’s business.</w:t>
      </w:r>
    </w:p>
    <w:p>
      <w:pPr>
        <w:spacing w:after="0" w:line="185" w:lineRule="exact"/>
        <w:rPr>
          <w:sz w:val="20"/>
          <w:szCs w:val="20"/>
          <w:color w:val="auto"/>
        </w:rPr>
      </w:pPr>
    </w:p>
    <w:p>
      <w:pPr>
        <w:ind w:firstLine="1107"/>
        <w:spacing w:after="0" w:line="264" w:lineRule="auto"/>
        <w:rPr>
          <w:sz w:val="20"/>
          <w:szCs w:val="20"/>
          <w:color w:val="auto"/>
        </w:rPr>
      </w:pPr>
      <w:r>
        <w:rPr>
          <w:rFonts w:ascii="Arial" w:cs="Arial" w:eastAsia="Arial" w:hAnsi="Arial"/>
          <w:sz w:val="17"/>
          <w:szCs w:val="17"/>
          <w:color w:val="auto"/>
        </w:rPr>
        <w:t>The Plan permits the grant of Incentive Stock Options, Nonstatutory Stock Options, Restricted Stock, Restricted Stock Units, Stock Appreciation Rights, Performance Units and Performance Shares.</w:t>
      </w:r>
    </w:p>
    <w:p>
      <w:pPr>
        <w:spacing w:after="0" w:line="146" w:lineRule="exact"/>
        <w:rPr>
          <w:sz w:val="20"/>
          <w:szCs w:val="20"/>
          <w:color w:val="auto"/>
        </w:rPr>
      </w:pPr>
    </w:p>
    <w:p>
      <w:pPr>
        <w:ind w:left="1100" w:hanging="548"/>
        <w:spacing w:after="0"/>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As used herein, the following definitions will apply:</w:t>
      </w:r>
    </w:p>
    <w:p>
      <w:pPr>
        <w:spacing w:after="0" w:line="184" w:lineRule="exact"/>
        <w:rPr>
          <w:rFonts w:ascii="Arial" w:cs="Arial" w:eastAsia="Arial" w:hAnsi="Arial"/>
          <w:sz w:val="17"/>
          <w:szCs w:val="17"/>
          <w:color w:val="auto"/>
        </w:rPr>
      </w:pPr>
    </w:p>
    <w:p>
      <w:pPr>
        <w:ind w:left="1660" w:hanging="554"/>
        <w:spacing w:after="0"/>
        <w:tabs>
          <w:tab w:leader="none" w:pos="1660" w:val="left"/>
        </w:tabs>
        <w:numPr>
          <w:ilvl w:val="1"/>
          <w:numId w:val="1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Administrator</w:t>
      </w:r>
      <w:r>
        <w:rPr>
          <w:rFonts w:ascii="Arial" w:cs="Arial" w:eastAsia="Arial" w:hAnsi="Arial"/>
          <w:sz w:val="15"/>
          <w:szCs w:val="15"/>
          <w:color w:val="auto"/>
        </w:rPr>
        <w:t>” means the Board or any of its Committees as will be administering the Plan, in accordance with</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Section 4 of the Plan.</w:t>
      </w:r>
    </w:p>
    <w:p>
      <w:pPr>
        <w:spacing w:after="0" w:line="170" w:lineRule="exact"/>
        <w:rPr>
          <w:rFonts w:ascii="Arial" w:cs="Arial" w:eastAsia="Arial" w:hAnsi="Arial"/>
          <w:sz w:val="15"/>
          <w:szCs w:val="15"/>
          <w:color w:val="auto"/>
        </w:rPr>
      </w:pPr>
    </w:p>
    <w:p>
      <w:pPr>
        <w:jc w:val="both"/>
        <w:ind w:firstLine="1106"/>
        <w:spacing w:after="0" w:line="268" w:lineRule="auto"/>
        <w:tabs>
          <w:tab w:leader="none" w:pos="1673" w:val="left"/>
        </w:tabs>
        <w:numPr>
          <w:ilvl w:val="1"/>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Laws</w:t>
      </w:r>
      <w:r>
        <w:rPr>
          <w:rFonts w:ascii="Arial" w:cs="Arial" w:eastAsia="Arial" w:hAnsi="Arial"/>
          <w:sz w:val="16"/>
          <w:szCs w:val="16"/>
          <w:color w:val="auto"/>
        </w:rPr>
        <w:t>” means the legal and regulatory requirements relating to the administration of equity-based awards and the related issuance of Shares thereunder, including but not limited to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46" w:lineRule="exact"/>
        <w:rPr>
          <w:rFonts w:ascii="Arial" w:cs="Arial" w:eastAsia="Arial" w:hAnsi="Arial"/>
          <w:sz w:val="16"/>
          <w:szCs w:val="16"/>
          <w:color w:val="auto"/>
        </w:rPr>
      </w:pPr>
    </w:p>
    <w:p>
      <w:pPr>
        <w:ind w:firstLine="1106"/>
        <w:spacing w:after="0" w:line="264" w:lineRule="auto"/>
        <w:tabs>
          <w:tab w:leader="none" w:pos="1663" w:val="left"/>
        </w:tabs>
        <w:numPr>
          <w:ilvl w:val="1"/>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means, individually or collectively, a grant under the Plan of Options, Stock Appreciation Rights, Restricted Stock, Restricted Stock Units, Performance Units or Performance Shares.</w:t>
      </w:r>
    </w:p>
    <w:p>
      <w:pPr>
        <w:spacing w:after="0" w:line="146" w:lineRule="exact"/>
        <w:rPr>
          <w:rFonts w:ascii="Arial" w:cs="Arial" w:eastAsia="Arial" w:hAnsi="Arial"/>
          <w:sz w:val="17"/>
          <w:szCs w:val="17"/>
          <w:color w:val="auto"/>
        </w:rPr>
      </w:pPr>
    </w:p>
    <w:p>
      <w:pPr>
        <w:ind w:firstLine="1106"/>
        <w:spacing w:after="0" w:line="264" w:lineRule="auto"/>
        <w:tabs>
          <w:tab w:leader="none" w:pos="1673" w:val="left"/>
        </w:tabs>
        <w:numPr>
          <w:ilvl w:val="1"/>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 Agreement</w:t>
      </w:r>
      <w:r>
        <w:rPr>
          <w:rFonts w:ascii="Arial" w:cs="Arial" w:eastAsia="Arial" w:hAnsi="Arial"/>
          <w:sz w:val="17"/>
          <w:szCs w:val="17"/>
          <w:color w:val="auto"/>
        </w:rPr>
        <w:t>” means the written or electronic agreement setting forth the terms and provisions applicable to each Award granted under the Plan. The Award Agreement is subject to the terms and conditions of the Plan.</w:t>
      </w:r>
    </w:p>
    <w:p>
      <w:pPr>
        <w:spacing w:after="0" w:line="146" w:lineRule="exact"/>
        <w:rPr>
          <w:rFonts w:ascii="Arial" w:cs="Arial" w:eastAsia="Arial" w:hAnsi="Arial"/>
          <w:sz w:val="17"/>
          <w:szCs w:val="17"/>
          <w:color w:val="auto"/>
        </w:rPr>
      </w:pPr>
    </w:p>
    <w:p>
      <w:pPr>
        <w:ind w:left="1660" w:hanging="554"/>
        <w:spacing w:after="0"/>
        <w:tabs>
          <w:tab w:leader="none" w:pos="1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184" w:lineRule="exact"/>
        <w:rPr>
          <w:rFonts w:ascii="Arial" w:cs="Arial" w:eastAsia="Arial" w:hAnsi="Arial"/>
          <w:sz w:val="17"/>
          <w:szCs w:val="17"/>
          <w:color w:val="auto"/>
        </w:rPr>
      </w:pPr>
    </w:p>
    <w:p>
      <w:pPr>
        <w:ind w:left="1660" w:hanging="554"/>
        <w:spacing w:after="0"/>
        <w:tabs>
          <w:tab w:leader="none" w:pos="1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the occurrence of any of the following events:</w:t>
      </w:r>
    </w:p>
    <w:p>
      <w:pPr>
        <w:spacing w:after="0" w:line="184" w:lineRule="exact"/>
        <w:rPr>
          <w:rFonts w:ascii="Arial" w:cs="Arial" w:eastAsia="Arial" w:hAnsi="Arial"/>
          <w:sz w:val="17"/>
          <w:szCs w:val="17"/>
          <w:color w:val="auto"/>
        </w:rPr>
      </w:pPr>
    </w:p>
    <w:p>
      <w:pPr>
        <w:jc w:val="both"/>
        <w:ind w:firstLine="1936"/>
        <w:spacing w:after="0" w:line="265" w:lineRule="auto"/>
        <w:tabs>
          <w:tab w:leader="none" w:pos="2212" w:val="left"/>
        </w:tabs>
        <w:numPr>
          <w:ilvl w:val="2"/>
          <w:numId w:val="15"/>
        </w:numPr>
        <w:rPr>
          <w:rFonts w:ascii="Arial" w:cs="Arial" w:eastAsia="Arial" w:hAnsi="Arial"/>
          <w:sz w:val="16"/>
          <w:szCs w:val="16"/>
          <w:color w:val="auto"/>
        </w:rPr>
      </w:pPr>
      <w:r>
        <w:rPr>
          <w:rFonts w:ascii="Arial" w:cs="Arial" w:eastAsia="Arial" w:hAnsi="Arial"/>
          <w:sz w:val="16"/>
          <w:szCs w:val="16"/>
          <w:color w:val="auto"/>
        </w:rPr>
        <w:t>A change in the ownership of the Company which occurs on the date that any one person, or more than one person acting as a group (“</w:t>
      </w:r>
      <w:r>
        <w:rPr>
          <w:rFonts w:ascii="Arial" w:cs="Arial" w:eastAsia="Arial" w:hAnsi="Arial"/>
          <w:sz w:val="16"/>
          <w:szCs w:val="16"/>
          <w:u w:val="single" w:color="auto"/>
          <w:color w:val="auto"/>
        </w:rPr>
        <w:t>Person</w:t>
      </w:r>
      <w:r>
        <w:rPr>
          <w:rFonts w:ascii="Arial" w:cs="Arial" w:eastAsia="Arial" w:hAnsi="Arial"/>
          <w:sz w:val="16"/>
          <w:szCs w:val="16"/>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w:t>
      </w:r>
    </w:p>
    <w:p>
      <w:pPr>
        <w:spacing w:after="0" w:line="148" w:lineRule="exact"/>
        <w:rPr>
          <w:rFonts w:ascii="Arial" w:cs="Arial" w:eastAsia="Arial" w:hAnsi="Arial"/>
          <w:sz w:val="16"/>
          <w:szCs w:val="16"/>
          <w:color w:val="auto"/>
        </w:rPr>
      </w:pPr>
    </w:p>
    <w:p>
      <w:pPr>
        <w:jc w:val="both"/>
        <w:ind w:firstLine="1936"/>
        <w:spacing w:after="0" w:line="252" w:lineRule="auto"/>
        <w:tabs>
          <w:tab w:leader="none" w:pos="2247" w:val="left"/>
        </w:tabs>
        <w:numPr>
          <w:ilvl w:val="2"/>
          <w:numId w:val="15"/>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5937250" cy="222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87" w:name="page88"/>
    <w:bookmarkEnd w:id="87"/>
    <w:p>
      <w:pPr>
        <w:ind w:firstLine="553"/>
        <w:spacing w:after="0" w:line="295" w:lineRule="auto"/>
        <w:rPr>
          <w:sz w:val="20"/>
          <w:szCs w:val="20"/>
          <w:color w:val="auto"/>
        </w:rPr>
      </w:pPr>
      <w:r>
        <w:rPr>
          <w:rFonts w:ascii="Arial" w:cs="Arial" w:eastAsia="Arial" w:hAnsi="Arial"/>
          <w:sz w:val="16"/>
          <w:szCs w:val="16"/>
          <w:color w:val="auto"/>
        </w:rPr>
        <w:t>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24" w:lineRule="exact"/>
        <w:rPr>
          <w:sz w:val="20"/>
          <w:szCs w:val="20"/>
          <w:color w:val="auto"/>
        </w:rPr>
      </w:pPr>
    </w:p>
    <w:p>
      <w:pPr>
        <w:jc w:val="both"/>
        <w:ind w:firstLine="1936"/>
        <w:spacing w:after="0" w:line="258" w:lineRule="auto"/>
        <w:tabs>
          <w:tab w:leader="none" w:pos="225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(iii)(B)(3).For purposes of this subsection (iii), gross fair market value means the value of the assets of the Company, or the value of the assets being disposed of, determined without regard to any liabilities associated with such assets.</w:t>
      </w:r>
    </w:p>
    <w:p>
      <w:pPr>
        <w:spacing w:after="0" w:line="161" w:lineRule="exact"/>
        <w:rPr>
          <w:sz w:val="20"/>
          <w:szCs w:val="20"/>
          <w:color w:val="auto"/>
        </w:rPr>
      </w:pPr>
    </w:p>
    <w:p>
      <w:pPr>
        <w:jc w:val="both"/>
        <w:ind w:firstLine="1660"/>
        <w:spacing w:after="0" w:line="331" w:lineRule="auto"/>
        <w:rPr>
          <w:sz w:val="20"/>
          <w:szCs w:val="20"/>
          <w:color w:val="auto"/>
        </w:rPr>
      </w:pPr>
      <w:r>
        <w:rPr>
          <w:rFonts w:ascii="Arial" w:cs="Arial" w:eastAsia="Arial" w:hAnsi="Arial"/>
          <w:sz w:val="15"/>
          <w:szCs w:val="15"/>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01" w:lineRule="exact"/>
        <w:rPr>
          <w:sz w:val="20"/>
          <w:szCs w:val="20"/>
          <w:color w:val="auto"/>
        </w:rPr>
      </w:pPr>
    </w:p>
    <w:p>
      <w:pPr>
        <w:jc w:val="both"/>
        <w:ind w:firstLine="1660"/>
        <w:spacing w:after="0" w:line="248" w:lineRule="auto"/>
        <w:rPr>
          <w:sz w:val="20"/>
          <w:szCs w:val="20"/>
          <w:color w:val="auto"/>
        </w:rPr>
      </w:pPr>
      <w:r>
        <w:rPr>
          <w:rFonts w:ascii="Arial" w:cs="Arial" w:eastAsia="Arial" w:hAnsi="Arial"/>
          <w:sz w:val="17"/>
          <w:szCs w:val="17"/>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60" w:lineRule="exact"/>
        <w:rPr>
          <w:sz w:val="20"/>
          <w:szCs w:val="20"/>
          <w:color w:val="auto"/>
        </w:rPr>
      </w:pPr>
    </w:p>
    <w:p>
      <w:pPr>
        <w:jc w:val="both"/>
        <w:ind w:firstLine="1660"/>
        <w:spacing w:after="0" w:line="301" w:lineRule="auto"/>
        <w:rPr>
          <w:sz w:val="20"/>
          <w:szCs w:val="20"/>
          <w:color w:val="auto"/>
        </w:rPr>
      </w:pPr>
      <w:r>
        <w:rPr>
          <w:rFonts w:ascii="Arial" w:cs="Arial" w:eastAsia="Arial" w:hAnsi="Arial"/>
          <w:sz w:val="15"/>
          <w:szCs w:val="15"/>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23" w:lineRule="exact"/>
        <w:rPr>
          <w:sz w:val="20"/>
          <w:szCs w:val="20"/>
          <w:color w:val="auto"/>
        </w:rPr>
      </w:pPr>
    </w:p>
    <w:p>
      <w:pPr>
        <w:jc w:val="both"/>
        <w:ind w:firstLine="1106"/>
        <w:spacing w:after="0" w:line="275" w:lineRule="auto"/>
        <w:tabs>
          <w:tab w:leader="none" w:pos="1673"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39" w:lineRule="exact"/>
        <w:rPr>
          <w:rFonts w:ascii="Arial" w:cs="Arial" w:eastAsia="Arial" w:hAnsi="Arial"/>
          <w:sz w:val="16"/>
          <w:szCs w:val="16"/>
          <w:color w:val="auto"/>
        </w:rPr>
      </w:pPr>
    </w:p>
    <w:p>
      <w:pPr>
        <w:ind w:firstLine="1106"/>
        <w:spacing w:after="0" w:line="264" w:lineRule="auto"/>
        <w:tabs>
          <w:tab w:leader="none" w:pos="1673" w:val="left"/>
        </w:tabs>
        <w:numPr>
          <w:ilvl w:val="0"/>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a committee of Directors or of other individuals satisfying Applicable Laws appointed by the Board, or a duly authorized committee of the Board, in accordance with Section 4 hereof.</w:t>
      </w:r>
    </w:p>
    <w:p>
      <w:pPr>
        <w:spacing w:after="0" w:line="146" w:lineRule="exact"/>
        <w:rPr>
          <w:rFonts w:ascii="Arial" w:cs="Arial" w:eastAsia="Arial" w:hAnsi="Arial"/>
          <w:sz w:val="17"/>
          <w:szCs w:val="17"/>
          <w:color w:val="auto"/>
        </w:rPr>
      </w:pPr>
    </w:p>
    <w:p>
      <w:pPr>
        <w:ind w:left="1660" w:hanging="554"/>
        <w:spacing w:after="0"/>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common stock of the Company.</w:t>
      </w:r>
    </w:p>
    <w:p>
      <w:pPr>
        <w:spacing w:after="0" w:line="184" w:lineRule="exact"/>
        <w:rPr>
          <w:rFonts w:ascii="Arial" w:cs="Arial" w:eastAsia="Arial" w:hAnsi="Arial"/>
          <w:sz w:val="17"/>
          <w:szCs w:val="17"/>
          <w:color w:val="auto"/>
        </w:rPr>
      </w:pPr>
    </w:p>
    <w:p>
      <w:pPr>
        <w:ind w:left="1660" w:hanging="554"/>
        <w:spacing w:after="0"/>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Pulse Biosciences, Inc., a Nevada corporation, or any successor thereto.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5937250" cy="222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88" w:name="page89"/>
    <w:bookmarkEnd w:id="88"/>
    <w:p>
      <w:pPr>
        <w:jc w:val="both"/>
        <w:ind w:firstLine="1106"/>
        <w:spacing w:after="0" w:line="248" w:lineRule="auto"/>
        <w:tabs>
          <w:tab w:leader="none" w:pos="1673"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Consultant</w:t>
      </w:r>
      <w:r>
        <w:rPr>
          <w:rFonts w:ascii="Arial" w:cs="Arial" w:eastAsia="Arial" w:hAnsi="Arial"/>
          <w:sz w:val="17"/>
          <w:szCs w:val="17"/>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w:t>
      </w:r>
    </w:p>
    <w:p>
      <w:pPr>
        <w:spacing w:after="0" w:line="160" w:lineRule="exact"/>
        <w:rPr>
          <w:rFonts w:ascii="Arial" w:cs="Arial" w:eastAsia="Arial" w:hAnsi="Arial"/>
          <w:sz w:val="17"/>
          <w:szCs w:val="17"/>
          <w:color w:val="auto"/>
        </w:rPr>
      </w:pPr>
    </w:p>
    <w:p>
      <w:pPr>
        <w:ind w:firstLine="1106"/>
        <w:spacing w:after="0" w:line="264" w:lineRule="auto"/>
        <w:tabs>
          <w:tab w:leader="none" w:pos="1658"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Determination Date</w:t>
      </w:r>
      <w:r>
        <w:rPr>
          <w:rFonts w:ascii="Arial" w:cs="Arial" w:eastAsia="Arial" w:hAnsi="Arial"/>
          <w:sz w:val="17"/>
          <w:szCs w:val="17"/>
          <w:color w:val="auto"/>
        </w:rPr>
        <w:t>” means the latest possible date that will not jeopardize the qualification of an Award granted under the Plan as “performance-based compensation” under Section 162(m) of the Code.</w:t>
      </w:r>
    </w:p>
    <w:p>
      <w:pPr>
        <w:spacing w:after="0" w:line="146" w:lineRule="exact"/>
        <w:rPr>
          <w:rFonts w:ascii="Arial" w:cs="Arial" w:eastAsia="Arial" w:hAnsi="Arial"/>
          <w:sz w:val="17"/>
          <w:szCs w:val="17"/>
          <w:color w:val="auto"/>
        </w:rPr>
      </w:pPr>
    </w:p>
    <w:p>
      <w:pPr>
        <w:ind w:left="1680" w:hanging="574"/>
        <w:spacing w:after="0"/>
        <w:tabs>
          <w:tab w:leader="none" w:pos="1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Director</w:t>
      </w:r>
      <w:r>
        <w:rPr>
          <w:rFonts w:ascii="Arial" w:cs="Arial" w:eastAsia="Arial" w:hAnsi="Arial"/>
          <w:sz w:val="17"/>
          <w:szCs w:val="17"/>
          <w:color w:val="auto"/>
        </w:rPr>
        <w:t>” means a member of the Board.</w:t>
      </w:r>
    </w:p>
    <w:p>
      <w:pPr>
        <w:spacing w:after="0" w:line="184" w:lineRule="exact"/>
        <w:rPr>
          <w:rFonts w:ascii="Arial" w:cs="Arial" w:eastAsia="Arial" w:hAnsi="Arial"/>
          <w:sz w:val="17"/>
          <w:szCs w:val="17"/>
          <w:color w:val="auto"/>
        </w:rPr>
      </w:pPr>
    </w:p>
    <w:p>
      <w:pPr>
        <w:jc w:val="both"/>
        <w:ind w:firstLine="1106"/>
        <w:spacing w:after="0" w:line="275" w:lineRule="auto"/>
        <w:tabs>
          <w:tab w:leader="none" w:pos="1673"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39" w:lineRule="exact"/>
        <w:rPr>
          <w:rFonts w:ascii="Arial" w:cs="Arial" w:eastAsia="Arial" w:hAnsi="Arial"/>
          <w:sz w:val="16"/>
          <w:szCs w:val="16"/>
          <w:color w:val="auto"/>
        </w:rPr>
      </w:pPr>
    </w:p>
    <w:p>
      <w:pPr>
        <w:jc w:val="both"/>
        <w:ind w:firstLine="1106"/>
        <w:spacing w:after="0" w:line="252" w:lineRule="auto"/>
        <w:tabs>
          <w:tab w:leader="none" w:pos="1673"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56" w:lineRule="exact"/>
        <w:rPr>
          <w:rFonts w:ascii="Arial" w:cs="Arial" w:eastAsia="Arial" w:hAnsi="Arial"/>
          <w:sz w:val="17"/>
          <w:szCs w:val="17"/>
          <w:color w:val="auto"/>
        </w:rPr>
      </w:pPr>
    </w:p>
    <w:p>
      <w:pPr>
        <w:ind w:left="1680" w:hanging="574"/>
        <w:spacing w:after="0"/>
        <w:tabs>
          <w:tab w:leader="none" w:pos="1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w:t>
      </w:r>
    </w:p>
    <w:p>
      <w:pPr>
        <w:spacing w:after="0" w:line="184" w:lineRule="exact"/>
        <w:rPr>
          <w:rFonts w:ascii="Arial" w:cs="Arial" w:eastAsia="Arial" w:hAnsi="Arial"/>
          <w:sz w:val="17"/>
          <w:szCs w:val="17"/>
          <w:color w:val="auto"/>
        </w:rPr>
      </w:pPr>
    </w:p>
    <w:p>
      <w:pPr>
        <w:jc w:val="both"/>
        <w:ind w:firstLine="1106"/>
        <w:spacing w:after="0" w:line="265" w:lineRule="auto"/>
        <w:tabs>
          <w:tab w:leader="none" w:pos="1673"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Program</w:t>
      </w:r>
      <w:r>
        <w:rPr>
          <w:rFonts w:ascii="Arial" w:cs="Arial" w:eastAsia="Arial" w:hAnsi="Arial"/>
          <w:sz w:val="16"/>
          <w:szCs w:val="16"/>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48" w:lineRule="exact"/>
        <w:rPr>
          <w:rFonts w:ascii="Arial" w:cs="Arial" w:eastAsia="Arial" w:hAnsi="Arial"/>
          <w:sz w:val="16"/>
          <w:szCs w:val="16"/>
          <w:color w:val="auto"/>
        </w:rPr>
      </w:pPr>
    </w:p>
    <w:p>
      <w:pPr>
        <w:ind w:left="1660" w:hanging="554"/>
        <w:spacing w:after="0"/>
        <w:tabs>
          <w:tab w:leader="none" w:pos="1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the value of Common Stock determined as follows:</w:t>
      </w:r>
    </w:p>
    <w:p>
      <w:pPr>
        <w:spacing w:after="0" w:line="184" w:lineRule="exact"/>
        <w:rPr>
          <w:rFonts w:ascii="Arial" w:cs="Arial" w:eastAsia="Arial" w:hAnsi="Arial"/>
          <w:sz w:val="17"/>
          <w:szCs w:val="17"/>
          <w:color w:val="auto"/>
        </w:rPr>
      </w:pPr>
    </w:p>
    <w:p>
      <w:pPr>
        <w:jc w:val="both"/>
        <w:ind w:firstLine="1936"/>
        <w:spacing w:after="0" w:line="246" w:lineRule="auto"/>
        <w:tabs>
          <w:tab w:leader="none" w:pos="2212" w:val="left"/>
        </w:tabs>
        <w:numPr>
          <w:ilvl w:val="1"/>
          <w:numId w:val="18"/>
        </w:numPr>
        <w:rPr>
          <w:rFonts w:ascii="Arial" w:cs="Arial" w:eastAsia="Arial" w:hAnsi="Arial"/>
          <w:sz w:val="17"/>
          <w:szCs w:val="17"/>
          <w:color w:val="auto"/>
        </w:rPr>
      </w:pPr>
      <w:r>
        <w:rPr>
          <w:rFonts w:ascii="Arial" w:cs="Arial" w:eastAsia="Arial" w:hAnsi="Arial"/>
          <w:sz w:val="17"/>
          <w:szCs w:val="17"/>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162" w:lineRule="exact"/>
        <w:rPr>
          <w:rFonts w:ascii="Arial" w:cs="Arial" w:eastAsia="Arial" w:hAnsi="Arial"/>
          <w:sz w:val="17"/>
          <w:szCs w:val="17"/>
          <w:color w:val="auto"/>
        </w:rPr>
      </w:pPr>
    </w:p>
    <w:p>
      <w:pPr>
        <w:jc w:val="both"/>
        <w:ind w:firstLine="1936"/>
        <w:spacing w:after="0" w:line="268" w:lineRule="auto"/>
        <w:tabs>
          <w:tab w:leader="none" w:pos="2247"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If the Common Stock is regularly quoted by a recognized securities dealer but selling prices are not reported, the Fair Market Value of a Share will be the mean between the high bid and low asked prices for the Common Stock on the date of determination (or, if no bids and asks were reported on that date, as applicable, on the last trading date such bids and asks were reported),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 or</w:t>
      </w:r>
    </w:p>
    <w:p>
      <w:pPr>
        <w:spacing w:after="0" w:line="146" w:lineRule="exact"/>
        <w:rPr>
          <w:rFonts w:ascii="Arial" w:cs="Arial" w:eastAsia="Arial" w:hAnsi="Arial"/>
          <w:sz w:val="16"/>
          <w:szCs w:val="16"/>
          <w:color w:val="auto"/>
        </w:rPr>
      </w:pPr>
    </w:p>
    <w:p>
      <w:pPr>
        <w:ind w:firstLine="1936"/>
        <w:spacing w:after="0" w:line="264" w:lineRule="auto"/>
        <w:tabs>
          <w:tab w:leader="none" w:pos="2259" w:val="left"/>
        </w:tabs>
        <w:numPr>
          <w:ilvl w:val="1"/>
          <w:numId w:val="18"/>
        </w:numPr>
        <w:rPr>
          <w:rFonts w:ascii="Arial" w:cs="Arial" w:eastAsia="Arial" w:hAnsi="Arial"/>
          <w:sz w:val="17"/>
          <w:szCs w:val="17"/>
          <w:color w:val="auto"/>
        </w:rPr>
      </w:pPr>
      <w:r>
        <w:rPr>
          <w:rFonts w:ascii="Arial" w:cs="Arial" w:eastAsia="Arial" w:hAnsi="Arial"/>
          <w:sz w:val="17"/>
          <w:szCs w:val="17"/>
          <w:color w:val="auto"/>
        </w:rPr>
        <w:t>In the absence of an established market for the Common Stock, the Fair Market Value will be determined in good faith by the Administrator.</w:t>
      </w:r>
    </w:p>
    <w:p>
      <w:pPr>
        <w:spacing w:after="0" w:line="146" w:lineRule="exact"/>
        <w:rPr>
          <w:rFonts w:ascii="Arial" w:cs="Arial" w:eastAsia="Arial" w:hAnsi="Arial"/>
          <w:sz w:val="17"/>
          <w:szCs w:val="17"/>
          <w:color w:val="auto"/>
        </w:rPr>
      </w:pPr>
    </w:p>
    <w:p>
      <w:pPr>
        <w:ind w:left="1660" w:hanging="554"/>
        <w:spacing w:after="0"/>
        <w:tabs>
          <w:tab w:leader="none" w:pos="1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Fiscal Year</w:t>
      </w:r>
      <w:r>
        <w:rPr>
          <w:rFonts w:ascii="Arial" w:cs="Arial" w:eastAsia="Arial" w:hAnsi="Arial"/>
          <w:sz w:val="17"/>
          <w:szCs w:val="17"/>
          <w:color w:val="auto"/>
        </w:rPr>
        <w:t>” means the fiscal year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5937250" cy="222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89" w:name="page90"/>
    <w:bookmarkEnd w:id="89"/>
    <w:p>
      <w:pPr>
        <w:ind w:firstLine="1106"/>
        <w:spacing w:after="0" w:line="264" w:lineRule="auto"/>
        <w:tabs>
          <w:tab w:leader="none" w:pos="16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Incentive Stock Option</w:t>
      </w:r>
      <w:r>
        <w:rPr>
          <w:rFonts w:ascii="Arial" w:cs="Arial" w:eastAsia="Arial" w:hAnsi="Arial"/>
          <w:sz w:val="17"/>
          <w:szCs w:val="17"/>
          <w:color w:val="auto"/>
        </w:rPr>
        <w:t>” means an Option that by its terms qualifies and is intended to qualify as an incentive stock option within the meaning of Section 422 of the Code and the regulations promulgated thereunder.</w:t>
      </w:r>
    </w:p>
    <w:p>
      <w:pPr>
        <w:spacing w:after="0" w:line="146" w:lineRule="exact"/>
        <w:rPr>
          <w:rFonts w:ascii="Arial" w:cs="Arial" w:eastAsia="Arial" w:hAnsi="Arial"/>
          <w:sz w:val="17"/>
          <w:szCs w:val="17"/>
          <w:color w:val="auto"/>
        </w:rPr>
      </w:pPr>
    </w:p>
    <w:p>
      <w:pPr>
        <w:ind w:left="1680" w:hanging="574"/>
        <w:spacing w:after="0"/>
        <w:tabs>
          <w:tab w:leader="none" w:pos="1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Inside Director</w:t>
      </w:r>
      <w:r>
        <w:rPr>
          <w:rFonts w:ascii="Arial" w:cs="Arial" w:eastAsia="Arial" w:hAnsi="Arial"/>
          <w:sz w:val="17"/>
          <w:szCs w:val="17"/>
          <w:color w:val="auto"/>
        </w:rPr>
        <w:t>” means a Director who is an Employee.</w:t>
      </w:r>
    </w:p>
    <w:p>
      <w:pPr>
        <w:spacing w:after="0" w:line="184" w:lineRule="exact"/>
        <w:rPr>
          <w:rFonts w:ascii="Arial" w:cs="Arial" w:eastAsia="Arial" w:hAnsi="Arial"/>
          <w:sz w:val="17"/>
          <w:szCs w:val="17"/>
          <w:color w:val="auto"/>
        </w:rPr>
      </w:pPr>
    </w:p>
    <w:p>
      <w:pPr>
        <w:ind w:firstLine="1106"/>
        <w:spacing w:after="0" w:line="264" w:lineRule="auto"/>
        <w:tabs>
          <w:tab w:leader="none" w:pos="1673"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Nonstatutory Stock Option</w:t>
      </w:r>
      <w:r>
        <w:rPr>
          <w:rFonts w:ascii="Arial" w:cs="Arial" w:eastAsia="Arial" w:hAnsi="Arial"/>
          <w:sz w:val="17"/>
          <w:szCs w:val="17"/>
          <w:color w:val="auto"/>
        </w:rPr>
        <w:t>” means an Option that by its terms does not qualify or is not intended to qualify as an Incentive Stock Option.</w:t>
      </w:r>
    </w:p>
    <w:p>
      <w:pPr>
        <w:spacing w:after="0" w:line="146" w:lineRule="exact"/>
        <w:rPr>
          <w:rFonts w:ascii="Arial" w:cs="Arial" w:eastAsia="Arial" w:hAnsi="Arial"/>
          <w:sz w:val="17"/>
          <w:szCs w:val="17"/>
          <w:color w:val="auto"/>
        </w:rPr>
      </w:pPr>
    </w:p>
    <w:p>
      <w:pPr>
        <w:ind w:firstLine="1106"/>
        <w:spacing w:after="0" w:line="264" w:lineRule="auto"/>
        <w:tabs>
          <w:tab w:leader="none" w:pos="16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means a person who is an officer of the Company within the meaning of Section 16 of the Exchange Act and the rules and regulations promulgated thereunder.</w:t>
      </w:r>
    </w:p>
    <w:p>
      <w:pPr>
        <w:spacing w:after="0" w:line="146" w:lineRule="exact"/>
        <w:rPr>
          <w:rFonts w:ascii="Arial" w:cs="Arial" w:eastAsia="Arial" w:hAnsi="Arial"/>
          <w:sz w:val="17"/>
          <w:szCs w:val="17"/>
          <w:color w:val="auto"/>
        </w:rPr>
      </w:pPr>
    </w:p>
    <w:p>
      <w:pPr>
        <w:ind w:left="1680" w:hanging="574"/>
        <w:spacing w:after="0"/>
        <w:tabs>
          <w:tab w:leader="none" w:pos="1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w:t>
      </w:r>
      <w:r>
        <w:rPr>
          <w:rFonts w:ascii="Arial" w:cs="Arial" w:eastAsia="Arial" w:hAnsi="Arial"/>
          <w:sz w:val="17"/>
          <w:szCs w:val="17"/>
          <w:color w:val="auto"/>
        </w:rPr>
        <w:t>” means a stock option granted pursuant to the Plan.</w:t>
      </w:r>
    </w:p>
    <w:p>
      <w:pPr>
        <w:spacing w:after="0" w:line="184" w:lineRule="exact"/>
        <w:rPr>
          <w:rFonts w:ascii="Arial" w:cs="Arial" w:eastAsia="Arial" w:hAnsi="Arial"/>
          <w:sz w:val="17"/>
          <w:szCs w:val="17"/>
          <w:color w:val="auto"/>
        </w:rPr>
      </w:pPr>
    </w:p>
    <w:p>
      <w:pPr>
        <w:ind w:left="1680" w:hanging="574"/>
        <w:spacing w:after="0"/>
        <w:tabs>
          <w:tab w:leader="none" w:pos="1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Outside Director</w:t>
      </w:r>
      <w:r>
        <w:rPr>
          <w:rFonts w:ascii="Arial" w:cs="Arial" w:eastAsia="Arial" w:hAnsi="Arial"/>
          <w:sz w:val="17"/>
          <w:szCs w:val="17"/>
          <w:color w:val="auto"/>
        </w:rPr>
        <w:t>” means a Director who is not an Employee.</w:t>
      </w:r>
    </w:p>
    <w:p>
      <w:pPr>
        <w:spacing w:after="0" w:line="184" w:lineRule="exact"/>
        <w:rPr>
          <w:rFonts w:ascii="Arial" w:cs="Arial" w:eastAsia="Arial" w:hAnsi="Arial"/>
          <w:sz w:val="17"/>
          <w:szCs w:val="17"/>
          <w:color w:val="auto"/>
        </w:rPr>
      </w:pPr>
    </w:p>
    <w:p>
      <w:pPr>
        <w:ind w:left="1680" w:hanging="574"/>
        <w:spacing w:after="0"/>
        <w:tabs>
          <w:tab w:leader="none" w:pos="16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w:t>
      </w:r>
      <w:r>
        <w:rPr>
          <w:rFonts w:ascii="Arial" w:cs="Arial" w:eastAsia="Arial" w:hAnsi="Arial"/>
          <w:sz w:val="15"/>
          <w:szCs w:val="15"/>
          <w:color w:val="auto"/>
        </w:rPr>
        <w:t>” means a “parent corporation,” whether now or hereafter existing, as defined in Section 424(e) of the</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Code.</w:t>
      </w:r>
    </w:p>
    <w:p>
      <w:pPr>
        <w:spacing w:after="0" w:line="171" w:lineRule="exact"/>
        <w:rPr>
          <w:sz w:val="20"/>
          <w:szCs w:val="20"/>
          <w:color w:val="auto"/>
        </w:rPr>
      </w:pPr>
    </w:p>
    <w:p>
      <w:pPr>
        <w:ind w:left="1660" w:hanging="554"/>
        <w:spacing w:after="0"/>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“Participant” means the holder of an outstanding Award.</w:t>
      </w:r>
    </w:p>
    <w:p>
      <w:pPr>
        <w:spacing w:after="0" w:line="184" w:lineRule="exact"/>
        <w:rPr>
          <w:rFonts w:ascii="Arial" w:cs="Arial" w:eastAsia="Arial" w:hAnsi="Arial"/>
          <w:sz w:val="17"/>
          <w:szCs w:val="17"/>
          <w:color w:val="auto"/>
        </w:rPr>
      </w:pPr>
    </w:p>
    <w:p>
      <w:pPr>
        <w:ind w:left="1680" w:hanging="574"/>
        <w:spacing w:after="0"/>
        <w:tabs>
          <w:tab w:leader="none" w:pos="1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Goals</w:t>
      </w:r>
      <w:r>
        <w:rPr>
          <w:rFonts w:ascii="Arial" w:cs="Arial" w:eastAsia="Arial" w:hAnsi="Arial"/>
          <w:sz w:val="17"/>
          <w:szCs w:val="17"/>
          <w:color w:val="auto"/>
        </w:rPr>
        <w:t>” will have the meaning set forth in Section 11 of the Plan.</w:t>
      </w:r>
    </w:p>
    <w:p>
      <w:pPr>
        <w:spacing w:after="0" w:line="184" w:lineRule="exact"/>
        <w:rPr>
          <w:rFonts w:ascii="Arial" w:cs="Arial" w:eastAsia="Arial" w:hAnsi="Arial"/>
          <w:sz w:val="17"/>
          <w:szCs w:val="17"/>
          <w:color w:val="auto"/>
        </w:rPr>
      </w:pPr>
    </w:p>
    <w:p>
      <w:pPr>
        <w:ind w:firstLine="1106"/>
        <w:spacing w:after="0" w:line="264" w:lineRule="auto"/>
        <w:tabs>
          <w:tab w:leader="none" w:pos="1669"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Period</w:t>
      </w:r>
      <w:r>
        <w:rPr>
          <w:rFonts w:ascii="Arial" w:cs="Arial" w:eastAsia="Arial" w:hAnsi="Arial"/>
          <w:sz w:val="17"/>
          <w:szCs w:val="17"/>
          <w:color w:val="auto"/>
        </w:rPr>
        <w:t>” means any Fiscal Year of the Company or such other period as determined by the Administrator in its sole discretion.</w:t>
      </w:r>
    </w:p>
    <w:p>
      <w:pPr>
        <w:spacing w:after="0" w:line="146" w:lineRule="exact"/>
        <w:rPr>
          <w:rFonts w:ascii="Arial" w:cs="Arial" w:eastAsia="Arial" w:hAnsi="Arial"/>
          <w:sz w:val="17"/>
          <w:szCs w:val="17"/>
          <w:color w:val="auto"/>
        </w:rPr>
      </w:pPr>
    </w:p>
    <w:p>
      <w:pPr>
        <w:ind w:firstLine="1106"/>
        <w:spacing w:after="0" w:line="295" w:lineRule="auto"/>
        <w:tabs>
          <w:tab w:leader="none" w:pos="1688"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Share</w:t>
      </w:r>
      <w:r>
        <w:rPr>
          <w:rFonts w:ascii="Arial" w:cs="Arial" w:eastAsia="Arial" w:hAnsi="Arial"/>
          <w:sz w:val="16"/>
          <w:szCs w:val="16"/>
          <w:color w:val="auto"/>
        </w:rPr>
        <w:t>” means an Award denominated in Shares which may be earned in whole or in part upon attainment of Performance Goals or other vesting criteria as the Administrator may determine pursuant to Section 10.</w:t>
      </w:r>
    </w:p>
    <w:p>
      <w:pPr>
        <w:spacing w:after="0" w:line="124" w:lineRule="exact"/>
        <w:rPr>
          <w:rFonts w:ascii="Arial" w:cs="Arial" w:eastAsia="Arial" w:hAnsi="Arial"/>
          <w:sz w:val="16"/>
          <w:szCs w:val="16"/>
          <w:color w:val="auto"/>
        </w:rPr>
      </w:pPr>
    </w:p>
    <w:p>
      <w:pPr>
        <w:jc w:val="both"/>
        <w:ind w:firstLine="1106"/>
        <w:spacing w:after="0" w:line="252" w:lineRule="auto"/>
        <w:tabs>
          <w:tab w:leader="none" w:pos="1669"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Unit</w:t>
      </w:r>
      <w:r>
        <w:rPr>
          <w:rFonts w:ascii="Arial" w:cs="Arial" w:eastAsia="Arial" w:hAnsi="Arial"/>
          <w:sz w:val="17"/>
          <w:szCs w:val="17"/>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56" w:lineRule="exact"/>
        <w:rPr>
          <w:rFonts w:ascii="Arial" w:cs="Arial" w:eastAsia="Arial" w:hAnsi="Arial"/>
          <w:sz w:val="17"/>
          <w:szCs w:val="17"/>
          <w:color w:val="auto"/>
        </w:rPr>
      </w:pPr>
    </w:p>
    <w:p>
      <w:pPr>
        <w:jc w:val="both"/>
        <w:ind w:firstLine="1106"/>
        <w:spacing w:after="0" w:line="301" w:lineRule="auto"/>
        <w:tabs>
          <w:tab w:leader="none" w:pos="1663" w:val="left"/>
        </w:tabs>
        <w:numPr>
          <w:ilvl w:val="0"/>
          <w:numId w:val="2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Period of Restriction</w:t>
      </w:r>
      <w:r>
        <w:rPr>
          <w:rFonts w:ascii="Arial" w:cs="Arial" w:eastAsia="Arial" w:hAnsi="Arial"/>
          <w:sz w:val="15"/>
          <w:szCs w:val="15"/>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23" w:lineRule="exact"/>
        <w:rPr>
          <w:rFonts w:ascii="Arial" w:cs="Arial" w:eastAsia="Arial" w:hAnsi="Arial"/>
          <w:sz w:val="15"/>
          <w:szCs w:val="15"/>
          <w:color w:val="auto"/>
        </w:rPr>
      </w:pPr>
    </w:p>
    <w:p>
      <w:pPr>
        <w:ind w:left="1680" w:hanging="574"/>
        <w:spacing w:after="0"/>
        <w:tabs>
          <w:tab w:leader="none" w:pos="1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this 2017 Equity Incentive Plan.</w:t>
      </w:r>
    </w:p>
    <w:p>
      <w:pPr>
        <w:spacing w:after="0" w:line="184" w:lineRule="exact"/>
        <w:rPr>
          <w:rFonts w:ascii="Arial" w:cs="Arial" w:eastAsia="Arial" w:hAnsi="Arial"/>
          <w:sz w:val="17"/>
          <w:szCs w:val="17"/>
          <w:color w:val="auto"/>
        </w:rPr>
      </w:pPr>
    </w:p>
    <w:p>
      <w:pPr>
        <w:ind w:firstLine="1106"/>
        <w:spacing w:after="0" w:line="264" w:lineRule="auto"/>
        <w:tabs>
          <w:tab w:leader="none" w:pos="1688"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w:t>
      </w:r>
      <w:r>
        <w:rPr>
          <w:rFonts w:ascii="Arial" w:cs="Arial" w:eastAsia="Arial" w:hAnsi="Arial"/>
          <w:sz w:val="17"/>
          <w:szCs w:val="17"/>
          <w:color w:val="auto"/>
        </w:rPr>
        <w:t>” means Shares issued pursuant to a Restricted Stock award under Section 7 of the Plan, or issued pursuant to the early exercise of an Option.</w:t>
      </w:r>
    </w:p>
    <w:p>
      <w:pPr>
        <w:spacing w:after="0" w:line="146" w:lineRule="exact"/>
        <w:rPr>
          <w:rFonts w:ascii="Arial" w:cs="Arial" w:eastAsia="Arial" w:hAnsi="Arial"/>
          <w:sz w:val="17"/>
          <w:szCs w:val="17"/>
          <w:color w:val="auto"/>
        </w:rPr>
      </w:pPr>
    </w:p>
    <w:p>
      <w:pPr>
        <w:ind w:firstLine="1106"/>
        <w:spacing w:after="0" w:line="331" w:lineRule="auto"/>
        <w:tabs>
          <w:tab w:leader="none" w:pos="1693" w:val="left"/>
        </w:tabs>
        <w:numPr>
          <w:ilvl w:val="0"/>
          <w:numId w:val="2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Stock Unit</w:t>
      </w:r>
      <w:r>
        <w:rPr>
          <w:rFonts w:ascii="Arial" w:cs="Arial" w:eastAsia="Arial" w:hAnsi="Arial"/>
          <w:sz w:val="15"/>
          <w:szCs w:val="15"/>
          <w:color w:val="auto"/>
        </w:rPr>
        <w:t>” means a bookkeeping entry representing an amount equal to the Fair Market Value of one Share, granted pursuant to Section 8. Each Restricted Stock Unit represents an unfunded and unsecured obligation of the Company.</w:t>
      </w:r>
    </w:p>
    <w:p>
      <w:pPr>
        <w:spacing w:after="0" w:line="100" w:lineRule="exact"/>
        <w:rPr>
          <w:rFonts w:ascii="Arial" w:cs="Arial" w:eastAsia="Arial" w:hAnsi="Arial"/>
          <w:sz w:val="15"/>
          <w:szCs w:val="15"/>
          <w:color w:val="auto"/>
        </w:rPr>
      </w:pPr>
    </w:p>
    <w:p>
      <w:pPr>
        <w:ind w:firstLine="1106"/>
        <w:spacing w:after="0" w:line="264" w:lineRule="auto"/>
        <w:tabs>
          <w:tab w:leader="none" w:pos="1693"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Rule 16b-3</w:t>
      </w:r>
      <w:r>
        <w:rPr>
          <w:rFonts w:ascii="Arial" w:cs="Arial" w:eastAsia="Arial" w:hAnsi="Arial"/>
          <w:sz w:val="17"/>
          <w:szCs w:val="17"/>
          <w:color w:val="auto"/>
        </w:rPr>
        <w:t>” means Rule 16b-3 of the Exchange Act or any successor to Rule 16b-3, as in effect when discretion is being exercised with respect to the Plan.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5937250" cy="222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90" w:name="page91"/>
    <w:bookmarkEnd w:id="90"/>
    <w:p>
      <w:pPr>
        <w:ind w:left="1680" w:hanging="574"/>
        <w:spacing w:after="0"/>
        <w:tabs>
          <w:tab w:leader="none" w:pos="16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16(b)</w:t>
      </w:r>
      <w:r>
        <w:rPr>
          <w:rFonts w:ascii="Arial" w:cs="Arial" w:eastAsia="Arial" w:hAnsi="Arial"/>
          <w:sz w:val="17"/>
          <w:szCs w:val="17"/>
          <w:color w:val="auto"/>
        </w:rPr>
        <w:t>” means Section 16(b) of the Exchange Act.</w:t>
      </w:r>
    </w:p>
    <w:p>
      <w:pPr>
        <w:spacing w:after="0" w:line="184" w:lineRule="exact"/>
        <w:rPr>
          <w:rFonts w:ascii="Arial" w:cs="Arial" w:eastAsia="Arial" w:hAnsi="Arial"/>
          <w:sz w:val="17"/>
          <w:szCs w:val="17"/>
          <w:color w:val="auto"/>
        </w:rPr>
      </w:pPr>
    </w:p>
    <w:p>
      <w:pPr>
        <w:ind w:left="1700" w:hanging="594"/>
        <w:spacing w:after="0"/>
        <w:tabs>
          <w:tab w:leader="none" w:pos="17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 Provider</w:t>
      </w:r>
      <w:r>
        <w:rPr>
          <w:rFonts w:ascii="Arial" w:cs="Arial" w:eastAsia="Arial" w:hAnsi="Arial"/>
          <w:sz w:val="17"/>
          <w:szCs w:val="17"/>
          <w:color w:val="auto"/>
        </w:rPr>
        <w:t>” means an Employee, Director or Consultant.</w:t>
      </w:r>
    </w:p>
    <w:p>
      <w:pPr>
        <w:spacing w:after="0" w:line="184" w:lineRule="exact"/>
        <w:rPr>
          <w:rFonts w:ascii="Arial" w:cs="Arial" w:eastAsia="Arial" w:hAnsi="Arial"/>
          <w:sz w:val="17"/>
          <w:szCs w:val="17"/>
          <w:color w:val="auto"/>
        </w:rPr>
      </w:pPr>
    </w:p>
    <w:p>
      <w:pPr>
        <w:ind w:left="1720" w:hanging="614"/>
        <w:spacing w:after="0"/>
        <w:tabs>
          <w:tab w:leader="none" w:pos="17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w:t>
      </w:r>
      <w:r>
        <w:rPr>
          <w:rFonts w:ascii="Arial" w:cs="Arial" w:eastAsia="Arial" w:hAnsi="Arial"/>
          <w:sz w:val="17"/>
          <w:szCs w:val="17"/>
          <w:color w:val="auto"/>
        </w:rPr>
        <w:t>” means a share of the Common Stock, as adjusted in accordance with Section 15 of the Plan.</w:t>
      </w:r>
    </w:p>
    <w:p>
      <w:pPr>
        <w:spacing w:after="0" w:line="184" w:lineRule="exact"/>
        <w:rPr>
          <w:rFonts w:ascii="Arial" w:cs="Arial" w:eastAsia="Arial" w:hAnsi="Arial"/>
          <w:sz w:val="17"/>
          <w:szCs w:val="17"/>
          <w:color w:val="auto"/>
        </w:rPr>
      </w:pPr>
    </w:p>
    <w:p>
      <w:pPr>
        <w:ind w:firstLine="1106"/>
        <w:spacing w:after="0" w:line="264" w:lineRule="auto"/>
        <w:tabs>
          <w:tab w:leader="none" w:pos="1688" w:val="left"/>
        </w:tabs>
        <w:numPr>
          <w:ilvl w:val="1"/>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Appreciation Right</w:t>
      </w:r>
      <w:r>
        <w:rPr>
          <w:rFonts w:ascii="Arial" w:cs="Arial" w:eastAsia="Arial" w:hAnsi="Arial"/>
          <w:sz w:val="17"/>
          <w:szCs w:val="17"/>
          <w:color w:val="auto"/>
        </w:rPr>
        <w:t>” means an Award, granted alone or in connection with an Option, that pursuant to Section 9 is designated as a Stock Appreciation Right.</w:t>
      </w:r>
    </w:p>
    <w:p>
      <w:pPr>
        <w:spacing w:after="0" w:line="146" w:lineRule="exact"/>
        <w:rPr>
          <w:rFonts w:ascii="Arial" w:cs="Arial" w:eastAsia="Arial" w:hAnsi="Arial"/>
          <w:sz w:val="17"/>
          <w:szCs w:val="17"/>
          <w:color w:val="auto"/>
        </w:rPr>
      </w:pPr>
    </w:p>
    <w:p>
      <w:pPr>
        <w:ind w:left="1680" w:hanging="574"/>
        <w:spacing w:after="0"/>
        <w:tabs>
          <w:tab w:leader="none" w:pos="1680" w:val="left"/>
        </w:tabs>
        <w:numPr>
          <w:ilvl w:val="1"/>
          <w:numId w:val="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a “subsidiary corporation,” whether now or hereafter existing, as defined in Section 424(f)</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of the Code.</w:t>
      </w:r>
    </w:p>
    <w:p>
      <w:pPr>
        <w:spacing w:after="0" w:line="170" w:lineRule="exact"/>
        <w:rPr>
          <w:rFonts w:ascii="Arial" w:cs="Arial" w:eastAsia="Arial" w:hAnsi="Arial"/>
          <w:sz w:val="15"/>
          <w:szCs w:val="15"/>
          <w:color w:val="auto"/>
        </w:rPr>
      </w:pPr>
    </w:p>
    <w:p>
      <w:pPr>
        <w:ind w:left="1100" w:hanging="548"/>
        <w:spacing w:after="0"/>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firstLine="1106"/>
        <w:spacing w:after="0" w:line="281" w:lineRule="auto"/>
        <w:tabs>
          <w:tab w:leader="none" w:pos="1663" w:val="left"/>
        </w:tabs>
        <w:numPr>
          <w:ilvl w:val="1"/>
          <w:numId w:val="22"/>
        </w:numPr>
        <w:rPr>
          <w:rFonts w:ascii="Arial" w:cs="Arial" w:eastAsia="Arial" w:hAnsi="Arial"/>
          <w:sz w:val="15"/>
          <w:szCs w:val="15"/>
          <w:color w:val="auto"/>
        </w:rPr>
      </w:pPr>
      <w:r>
        <w:rPr>
          <w:rFonts w:ascii="Arial" w:cs="Arial" w:eastAsia="Arial" w:hAnsi="Arial"/>
          <w:sz w:val="15"/>
          <w:szCs w:val="15"/>
          <w:u w:val="single" w:color="auto"/>
          <w:color w:val="auto"/>
        </w:rPr>
        <w:t>Stock Subject to the Plan</w:t>
      </w:r>
      <w:r>
        <w:rPr>
          <w:rFonts w:ascii="Arial" w:cs="Arial" w:eastAsia="Arial" w:hAnsi="Arial"/>
          <w:sz w:val="15"/>
          <w:szCs w:val="15"/>
          <w:color w:val="auto"/>
        </w:rPr>
        <w:t>. Subject to the provisions of Section 15 of the Plan, the maximum aggregate number of Shares that may be issued under the Plan is 1,500,000 Shares, plus (i) the number of Shares added to the Plan pursuant to Section 3(b), and (ii) the sum of (A) any Shares that, as of the date of stockholder approval of this Plan, have been reserved but not issued pursuant to any awards granted under the Company’s 2015 Stock Incentive Plan, as amended (the “2015 Plan”), and are not subject to any awards granted thereunder, and (B) any Shares subject to stock options or similar awards granted under the 2015 Plan that, after the date of stockholder approval of this Plan, expire or otherwise terminate without having been exercised in full and Shares issued pursuant to awards granted under the 2015 Plan that are forfeited to or repurchased by the Company, with the maximum number of Shares to be added to the Plan pursuant to clause (ii) equal to 5,000,000. The Shares may be authorized, but unissued, or reacquired Common Stock.</w:t>
      </w:r>
    </w:p>
    <w:p>
      <w:pPr>
        <w:spacing w:after="0" w:line="136" w:lineRule="exact"/>
        <w:rPr>
          <w:rFonts w:ascii="Arial" w:cs="Arial" w:eastAsia="Arial" w:hAnsi="Arial"/>
          <w:sz w:val="15"/>
          <w:szCs w:val="15"/>
          <w:color w:val="auto"/>
        </w:rPr>
      </w:pPr>
    </w:p>
    <w:p>
      <w:pPr>
        <w:jc w:val="both"/>
        <w:ind w:firstLine="1106"/>
        <w:spacing w:after="0" w:line="246" w:lineRule="auto"/>
        <w:tabs>
          <w:tab w:leader="none" w:pos="1673"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Automatic Share Reserve Increase</w:t>
      </w:r>
      <w:r>
        <w:rPr>
          <w:rFonts w:ascii="Arial" w:cs="Arial" w:eastAsia="Arial" w:hAnsi="Arial"/>
          <w:sz w:val="17"/>
          <w:szCs w:val="17"/>
          <w:color w:val="auto"/>
        </w:rPr>
        <w:t>. Subject to the provisions of Section 15 of the Plan, the number of Shares available for issuance under the Plan will be increased on the first day of each Fiscal Year beginning with the 2018 Fiscal Year, in an amount equal to the least of (i) 1,200,000 Shares, (ii) four percent (4%) of the outstanding Shares on the last day of the immediately preceding Fiscal Year or (iii) such number of Shares determined by the Board; provided, that such determination under clause (iii) will be made no later than the last day of the immediately preceding Fiscal Year.</w:t>
      </w:r>
    </w:p>
    <w:p>
      <w:pPr>
        <w:spacing w:after="0" w:line="162" w:lineRule="exact"/>
        <w:rPr>
          <w:rFonts w:ascii="Arial" w:cs="Arial" w:eastAsia="Arial" w:hAnsi="Arial"/>
          <w:sz w:val="17"/>
          <w:szCs w:val="17"/>
          <w:color w:val="auto"/>
        </w:rPr>
      </w:pPr>
    </w:p>
    <w:p>
      <w:pPr>
        <w:jc w:val="both"/>
        <w:ind w:firstLine="1106"/>
        <w:spacing w:after="0" w:line="277" w:lineRule="auto"/>
        <w:tabs>
          <w:tab w:leader="none" w:pos="1663" w:val="left"/>
        </w:tabs>
        <w:numPr>
          <w:ilvl w:val="1"/>
          <w:numId w:val="22"/>
        </w:numPr>
        <w:rPr>
          <w:rFonts w:ascii="Arial" w:cs="Arial" w:eastAsia="Arial" w:hAnsi="Arial"/>
          <w:sz w:val="15"/>
          <w:szCs w:val="15"/>
          <w:color w:val="auto"/>
        </w:rPr>
      </w:pPr>
      <w:r>
        <w:rPr>
          <w:rFonts w:ascii="Arial" w:cs="Arial" w:eastAsia="Arial" w:hAnsi="Arial"/>
          <w:sz w:val="15"/>
          <w:szCs w:val="15"/>
          <w:u w:val="single" w:color="auto"/>
          <w:color w:val="auto"/>
        </w:rPr>
        <w:t>Lapsed Awards</w:t>
      </w:r>
      <w:r>
        <w:rPr>
          <w:rFonts w:ascii="Arial" w:cs="Arial" w:eastAsia="Arial" w:hAnsi="Arial"/>
          <w:sz w:val="15"/>
          <w:szCs w:val="15"/>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then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5937250" cy="222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91" w:name="page92"/>
    <w:bookmarkEnd w:id="91"/>
    <w:p>
      <w:pPr>
        <w:jc w:val="both"/>
        <w:ind w:left="1" w:firstLine="553"/>
        <w:spacing w:after="0" w:line="248" w:lineRule="auto"/>
        <w:rPr>
          <w:sz w:val="20"/>
          <w:szCs w:val="20"/>
          <w:color w:val="auto"/>
        </w:rPr>
      </w:pPr>
      <w:r>
        <w:rPr>
          <w:rFonts w:ascii="Arial" w:cs="Arial" w:eastAsia="Arial" w:hAnsi="Arial"/>
          <w:sz w:val="17"/>
          <w:szCs w:val="17"/>
          <w:color w:val="auto"/>
        </w:rPr>
        <w:t>issuance under the Plan. Notwithstanding the foregoing and, subject to adjustment as provided in Section 15, the maximum number of Shares that may be issued upon the exercise of Incentive Stock Options will equal the aggregate Share number stated in Section 3(a), plus, to the extent allowable under Section 422 of the Code, any Shares that become available for issuance under the Plan pursuant to Sections 3(b) and 3(c).</w:t>
      </w:r>
    </w:p>
    <w:p>
      <w:pPr>
        <w:spacing w:after="0" w:line="160" w:lineRule="exact"/>
        <w:rPr>
          <w:sz w:val="20"/>
          <w:szCs w:val="20"/>
          <w:color w:val="auto"/>
        </w:rPr>
      </w:pPr>
    </w:p>
    <w:p>
      <w:pPr>
        <w:ind w:left="1" w:firstLine="1106"/>
        <w:spacing w:after="0" w:line="264" w:lineRule="auto"/>
        <w:tabs>
          <w:tab w:leader="none" w:pos="1674" w:val="left"/>
        </w:tabs>
        <w:numPr>
          <w:ilvl w:val="2"/>
          <w:numId w:val="23"/>
        </w:numPr>
        <w:rPr>
          <w:rFonts w:ascii="Arial" w:cs="Arial" w:eastAsia="Arial" w:hAnsi="Arial"/>
          <w:sz w:val="17"/>
          <w:szCs w:val="17"/>
          <w:color w:val="auto"/>
        </w:rPr>
      </w:pPr>
      <w:r>
        <w:rPr>
          <w:rFonts w:ascii="Arial" w:cs="Arial" w:eastAsia="Arial" w:hAnsi="Arial"/>
          <w:sz w:val="17"/>
          <w:szCs w:val="17"/>
          <w:u w:val="single" w:color="auto"/>
          <w:color w:val="auto"/>
        </w:rPr>
        <w:t>Share Reserve</w:t>
      </w:r>
      <w:r>
        <w:rPr>
          <w:rFonts w:ascii="Arial" w:cs="Arial" w:eastAsia="Arial" w:hAnsi="Arial"/>
          <w:sz w:val="17"/>
          <w:szCs w:val="17"/>
          <w:color w:val="auto"/>
        </w:rPr>
        <w:t>. The Company, during the term of this Plan, will at all times reserve and keep available such number of Shares as will be sufficient to satisfy the requirements of the Plan.</w:t>
      </w:r>
    </w:p>
    <w:p>
      <w:pPr>
        <w:spacing w:after="0" w:line="146" w:lineRule="exact"/>
        <w:rPr>
          <w:rFonts w:ascii="Arial" w:cs="Arial" w:eastAsia="Arial" w:hAnsi="Arial"/>
          <w:sz w:val="17"/>
          <w:szCs w:val="17"/>
          <w:color w:val="auto"/>
        </w:rPr>
      </w:pPr>
    </w:p>
    <w:p>
      <w:pPr>
        <w:ind w:left="1101" w:hanging="548"/>
        <w:spacing w:after="0"/>
        <w:tabs>
          <w:tab w:leader="none" w:pos="1101"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Administration of the Plan</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left="1661" w:hanging="554"/>
        <w:spacing w:after="0"/>
        <w:tabs>
          <w:tab w:leader="none" w:pos="1661" w:val="left"/>
        </w:tabs>
        <w:numPr>
          <w:ilvl w:val="2"/>
          <w:numId w:val="24"/>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left="1" w:firstLine="1936"/>
        <w:spacing w:after="0" w:line="264" w:lineRule="auto"/>
        <w:tabs>
          <w:tab w:leader="none" w:pos="2213" w:val="left"/>
        </w:tabs>
        <w:numPr>
          <w:ilvl w:val="3"/>
          <w:numId w:val="24"/>
        </w:numPr>
        <w:rPr>
          <w:rFonts w:ascii="Arial" w:cs="Arial" w:eastAsia="Arial" w:hAnsi="Arial"/>
          <w:sz w:val="17"/>
          <w:szCs w:val="17"/>
          <w:color w:val="auto"/>
        </w:rPr>
      </w:pPr>
      <w:r>
        <w:rPr>
          <w:rFonts w:ascii="Arial" w:cs="Arial" w:eastAsia="Arial" w:hAnsi="Arial"/>
          <w:sz w:val="17"/>
          <w:szCs w:val="17"/>
          <w:u w:val="single" w:color="auto"/>
          <w:color w:val="auto"/>
        </w:rPr>
        <w:t>Multiple Administrative Bodies</w:t>
      </w:r>
      <w:r>
        <w:rPr>
          <w:rFonts w:ascii="Arial" w:cs="Arial" w:eastAsia="Arial" w:hAnsi="Arial"/>
          <w:sz w:val="17"/>
          <w:szCs w:val="17"/>
          <w:color w:val="auto"/>
        </w:rPr>
        <w:t>. Different Committees with respect to different groups of Service Providers may administer the Plan.</w:t>
      </w:r>
    </w:p>
    <w:p>
      <w:pPr>
        <w:spacing w:after="0" w:line="146" w:lineRule="exact"/>
        <w:rPr>
          <w:rFonts w:ascii="Arial" w:cs="Arial" w:eastAsia="Arial" w:hAnsi="Arial"/>
          <w:sz w:val="17"/>
          <w:szCs w:val="17"/>
          <w:color w:val="auto"/>
        </w:rPr>
      </w:pPr>
    </w:p>
    <w:p>
      <w:pPr>
        <w:jc w:val="both"/>
        <w:ind w:left="1" w:firstLine="1936"/>
        <w:spacing w:after="0" w:line="275" w:lineRule="auto"/>
        <w:tabs>
          <w:tab w:leader="none" w:pos="2248" w:val="left"/>
        </w:tabs>
        <w:numPr>
          <w:ilvl w:val="3"/>
          <w:numId w:val="24"/>
        </w:numPr>
        <w:rPr>
          <w:rFonts w:ascii="Arial" w:cs="Arial" w:eastAsia="Arial" w:hAnsi="Arial"/>
          <w:sz w:val="16"/>
          <w:szCs w:val="16"/>
          <w:color w:val="auto"/>
        </w:rPr>
      </w:pPr>
      <w:r>
        <w:rPr>
          <w:rFonts w:ascii="Arial" w:cs="Arial" w:eastAsia="Arial" w:hAnsi="Arial"/>
          <w:sz w:val="16"/>
          <w:szCs w:val="16"/>
          <w:u w:val="single" w:color="auto"/>
          <w:color w:val="auto"/>
        </w:rPr>
        <w:t>Section 162(m)</w:t>
      </w:r>
      <w:r>
        <w:rPr>
          <w:rFonts w:ascii="Arial" w:cs="Arial" w:eastAsia="Arial" w:hAnsi="Arial"/>
          <w:sz w:val="16"/>
          <w:szCs w:val="16"/>
          <w:color w:val="auto"/>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spacing w:after="0" w:line="139" w:lineRule="exact"/>
        <w:rPr>
          <w:rFonts w:ascii="Arial" w:cs="Arial" w:eastAsia="Arial" w:hAnsi="Arial"/>
          <w:sz w:val="16"/>
          <w:szCs w:val="16"/>
          <w:color w:val="auto"/>
        </w:rPr>
      </w:pPr>
    </w:p>
    <w:p>
      <w:pPr>
        <w:ind w:left="1" w:firstLine="1936"/>
        <w:spacing w:after="0" w:line="295" w:lineRule="auto"/>
        <w:tabs>
          <w:tab w:leader="none" w:pos="2260" w:val="left"/>
        </w:tabs>
        <w:numPr>
          <w:ilvl w:val="3"/>
          <w:numId w:val="24"/>
        </w:numPr>
        <w:rPr>
          <w:rFonts w:ascii="Arial" w:cs="Arial" w:eastAsia="Arial" w:hAnsi="Arial"/>
          <w:sz w:val="16"/>
          <w:szCs w:val="16"/>
          <w:color w:val="auto"/>
        </w:rPr>
      </w:pPr>
      <w:r>
        <w:rPr>
          <w:rFonts w:ascii="Arial" w:cs="Arial" w:eastAsia="Arial" w:hAnsi="Arial"/>
          <w:sz w:val="16"/>
          <w:szCs w:val="16"/>
          <w:u w:val="single" w:color="auto"/>
          <w:color w:val="auto"/>
        </w:rPr>
        <w:t>Rule 16b-3</w:t>
      </w:r>
      <w:r>
        <w:rPr>
          <w:rFonts w:ascii="Arial" w:cs="Arial" w:eastAsia="Arial" w:hAnsi="Arial"/>
          <w:sz w:val="16"/>
          <w:szCs w:val="16"/>
          <w:color w:val="auto"/>
        </w:rPr>
        <w:t>. To the extent desirable to qualify transactions hereunder as exempt under Rule 16b-3, the transactions contemplated hereunder will be structured to satisfy the requirements for exemption under Rule 16b-3.</w:t>
      </w:r>
    </w:p>
    <w:p>
      <w:pPr>
        <w:spacing w:after="0" w:line="124" w:lineRule="exact"/>
        <w:rPr>
          <w:rFonts w:ascii="Arial" w:cs="Arial" w:eastAsia="Arial" w:hAnsi="Arial"/>
          <w:sz w:val="16"/>
          <w:szCs w:val="16"/>
          <w:color w:val="auto"/>
        </w:rPr>
      </w:pPr>
    </w:p>
    <w:p>
      <w:pPr>
        <w:ind w:left="2241" w:hanging="304"/>
        <w:spacing w:after="0"/>
        <w:tabs>
          <w:tab w:leader="none" w:pos="2241" w:val="left"/>
        </w:tabs>
        <w:numPr>
          <w:ilvl w:val="3"/>
          <w:numId w:val="24"/>
        </w:numPr>
        <w:rPr>
          <w:rFonts w:ascii="Arial" w:cs="Arial" w:eastAsia="Arial" w:hAnsi="Arial"/>
          <w:sz w:val="15"/>
          <w:szCs w:val="15"/>
          <w:color w:val="auto"/>
        </w:rPr>
      </w:pPr>
      <w:r>
        <w:rPr>
          <w:rFonts w:ascii="Arial" w:cs="Arial" w:eastAsia="Arial" w:hAnsi="Arial"/>
          <w:sz w:val="15"/>
          <w:szCs w:val="15"/>
          <w:u w:val="single" w:color="auto"/>
          <w:color w:val="auto"/>
        </w:rPr>
        <w:t>Other Administration</w:t>
      </w:r>
      <w:r>
        <w:rPr>
          <w:rFonts w:ascii="Arial" w:cs="Arial" w:eastAsia="Arial" w:hAnsi="Arial"/>
          <w:sz w:val="15"/>
          <w:szCs w:val="15"/>
          <w:color w:val="auto"/>
        </w:rPr>
        <w:t>. Other than as provided above, the Plan will be administered by (A) the Board or</w:t>
      </w:r>
    </w:p>
    <w:p>
      <w:pPr>
        <w:spacing w:after="0" w:line="37" w:lineRule="exact"/>
        <w:rPr>
          <w:rFonts w:ascii="Arial" w:cs="Arial" w:eastAsia="Arial" w:hAnsi="Arial"/>
          <w:sz w:val="15"/>
          <w:szCs w:val="15"/>
          <w:color w:val="auto"/>
        </w:rPr>
      </w:pPr>
    </w:p>
    <w:p>
      <w:pPr>
        <w:ind w:left="261" w:hanging="261"/>
        <w:spacing w:after="0"/>
        <w:tabs>
          <w:tab w:leader="none" w:pos="261"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Committee, which committee will be constituted to satisfy Applicable Laws.</w:t>
      </w:r>
    </w:p>
    <w:p>
      <w:pPr>
        <w:spacing w:after="0" w:line="170" w:lineRule="exact"/>
        <w:rPr>
          <w:rFonts w:ascii="Arial" w:cs="Arial" w:eastAsia="Arial" w:hAnsi="Arial"/>
          <w:sz w:val="17"/>
          <w:szCs w:val="17"/>
          <w:color w:val="auto"/>
        </w:rPr>
      </w:pPr>
    </w:p>
    <w:p>
      <w:pPr>
        <w:ind w:left="1" w:firstLine="1106"/>
        <w:spacing w:after="0" w:line="295" w:lineRule="auto"/>
        <w:tabs>
          <w:tab w:leader="none" w:pos="1674" w:val="left"/>
        </w:tabs>
        <w:numPr>
          <w:ilvl w:val="2"/>
          <w:numId w:val="25"/>
        </w:numPr>
        <w:rPr>
          <w:rFonts w:ascii="Arial" w:cs="Arial" w:eastAsia="Arial" w:hAnsi="Arial"/>
          <w:sz w:val="16"/>
          <w:szCs w:val="16"/>
          <w:color w:val="auto"/>
        </w:rPr>
      </w:pPr>
      <w:r>
        <w:rPr>
          <w:rFonts w:ascii="Arial" w:cs="Arial" w:eastAsia="Arial" w:hAnsi="Arial"/>
          <w:sz w:val="16"/>
          <w:szCs w:val="16"/>
          <w:u w:val="single" w:color="auto"/>
          <w:color w:val="auto"/>
        </w:rPr>
        <w:t>Powers of the Administrator</w:t>
      </w:r>
      <w:r>
        <w:rPr>
          <w:rFonts w:ascii="Arial" w:cs="Arial" w:eastAsia="Arial" w:hAnsi="Arial"/>
          <w:sz w:val="16"/>
          <w:szCs w:val="16"/>
          <w:color w:val="auto"/>
        </w:rPr>
        <w:t>. Subject to the provisions of the Plan, and in the case of a Committee, subject to the specific duties delegated by the Board to such Committee, the Administrator will have the authority, in its discretion:</w:t>
      </w:r>
    </w:p>
    <w:p>
      <w:pPr>
        <w:spacing w:after="0" w:line="124" w:lineRule="exact"/>
        <w:rPr>
          <w:rFonts w:ascii="Arial" w:cs="Arial" w:eastAsia="Arial" w:hAnsi="Arial"/>
          <w:sz w:val="16"/>
          <w:szCs w:val="16"/>
          <w:color w:val="auto"/>
        </w:rPr>
      </w:pPr>
    </w:p>
    <w:p>
      <w:pPr>
        <w:ind w:left="2221" w:hanging="284"/>
        <w:spacing w:after="0"/>
        <w:tabs>
          <w:tab w:leader="none" w:pos="2221" w:val="left"/>
        </w:tabs>
        <w:numPr>
          <w:ilvl w:val="3"/>
          <w:numId w:val="25"/>
        </w:numPr>
        <w:rPr>
          <w:rFonts w:ascii="Arial" w:cs="Arial" w:eastAsia="Arial" w:hAnsi="Arial"/>
          <w:sz w:val="17"/>
          <w:szCs w:val="17"/>
          <w:color w:val="auto"/>
        </w:rPr>
      </w:pPr>
      <w:r>
        <w:rPr>
          <w:rFonts w:ascii="Arial" w:cs="Arial" w:eastAsia="Arial" w:hAnsi="Arial"/>
          <w:sz w:val="17"/>
          <w:szCs w:val="17"/>
          <w:color w:val="auto"/>
        </w:rPr>
        <w:t>to determine the Fair Market Value;</w:t>
      </w:r>
    </w:p>
    <w:p>
      <w:pPr>
        <w:spacing w:after="0" w:line="184" w:lineRule="exact"/>
        <w:rPr>
          <w:rFonts w:ascii="Arial" w:cs="Arial" w:eastAsia="Arial" w:hAnsi="Arial"/>
          <w:sz w:val="17"/>
          <w:szCs w:val="17"/>
          <w:color w:val="auto"/>
        </w:rPr>
      </w:pPr>
    </w:p>
    <w:p>
      <w:pPr>
        <w:ind w:left="2241" w:hanging="304"/>
        <w:spacing w:after="0"/>
        <w:tabs>
          <w:tab w:leader="none" w:pos="2241" w:val="left"/>
        </w:tabs>
        <w:numPr>
          <w:ilvl w:val="3"/>
          <w:numId w:val="25"/>
        </w:numPr>
        <w:rPr>
          <w:rFonts w:ascii="Arial" w:cs="Arial" w:eastAsia="Arial" w:hAnsi="Arial"/>
          <w:sz w:val="17"/>
          <w:szCs w:val="17"/>
          <w:color w:val="auto"/>
        </w:rPr>
      </w:pPr>
      <w:r>
        <w:rPr>
          <w:rFonts w:ascii="Arial" w:cs="Arial" w:eastAsia="Arial" w:hAnsi="Arial"/>
          <w:sz w:val="17"/>
          <w:szCs w:val="17"/>
          <w:color w:val="auto"/>
        </w:rPr>
        <w:t>to select the Service Providers to whom Awards may be granted hereunder;</w:t>
      </w:r>
    </w:p>
    <w:p>
      <w:pPr>
        <w:spacing w:after="0" w:line="184" w:lineRule="exact"/>
        <w:rPr>
          <w:rFonts w:ascii="Arial" w:cs="Arial" w:eastAsia="Arial" w:hAnsi="Arial"/>
          <w:sz w:val="17"/>
          <w:szCs w:val="17"/>
          <w:color w:val="auto"/>
        </w:rPr>
      </w:pPr>
    </w:p>
    <w:p>
      <w:pPr>
        <w:ind w:left="2261" w:hanging="324"/>
        <w:spacing w:after="0"/>
        <w:tabs>
          <w:tab w:leader="none" w:pos="2261" w:val="left"/>
        </w:tabs>
        <w:numPr>
          <w:ilvl w:val="3"/>
          <w:numId w:val="25"/>
        </w:numPr>
        <w:rPr>
          <w:rFonts w:ascii="Arial" w:cs="Arial" w:eastAsia="Arial" w:hAnsi="Arial"/>
          <w:sz w:val="17"/>
          <w:szCs w:val="17"/>
          <w:color w:val="auto"/>
        </w:rPr>
      </w:pPr>
      <w:r>
        <w:rPr>
          <w:rFonts w:ascii="Arial" w:cs="Arial" w:eastAsia="Arial" w:hAnsi="Arial"/>
          <w:sz w:val="17"/>
          <w:szCs w:val="17"/>
          <w:color w:val="auto"/>
        </w:rPr>
        <w:t>to determine the number of Shares to be covered by each Award granted hereunder;</w:t>
      </w:r>
    </w:p>
    <w:p>
      <w:pPr>
        <w:spacing w:after="0" w:line="184" w:lineRule="exact"/>
        <w:rPr>
          <w:rFonts w:ascii="Arial" w:cs="Arial" w:eastAsia="Arial" w:hAnsi="Arial"/>
          <w:sz w:val="17"/>
          <w:szCs w:val="17"/>
          <w:color w:val="auto"/>
        </w:rPr>
      </w:pPr>
    </w:p>
    <w:p>
      <w:pPr>
        <w:ind w:left="2241" w:hanging="304"/>
        <w:spacing w:after="0"/>
        <w:tabs>
          <w:tab w:leader="none" w:pos="2241" w:val="left"/>
        </w:tabs>
        <w:numPr>
          <w:ilvl w:val="3"/>
          <w:numId w:val="25"/>
        </w:numPr>
        <w:rPr>
          <w:rFonts w:ascii="Arial" w:cs="Arial" w:eastAsia="Arial" w:hAnsi="Arial"/>
          <w:sz w:val="17"/>
          <w:szCs w:val="17"/>
          <w:color w:val="auto"/>
        </w:rPr>
      </w:pPr>
      <w:r>
        <w:rPr>
          <w:rFonts w:ascii="Arial" w:cs="Arial" w:eastAsia="Arial" w:hAnsi="Arial"/>
          <w:sz w:val="17"/>
          <w:szCs w:val="17"/>
          <w:color w:val="auto"/>
        </w:rPr>
        <w:t>to approve forms of Award Agreements for use under the Plan;</w:t>
      </w:r>
    </w:p>
    <w:p>
      <w:pPr>
        <w:spacing w:after="0" w:line="184" w:lineRule="exact"/>
        <w:rPr>
          <w:rFonts w:ascii="Arial" w:cs="Arial" w:eastAsia="Arial" w:hAnsi="Arial"/>
          <w:sz w:val="17"/>
          <w:szCs w:val="17"/>
          <w:color w:val="auto"/>
        </w:rPr>
      </w:pPr>
    </w:p>
    <w:p>
      <w:pPr>
        <w:jc w:val="both"/>
        <w:ind w:left="1" w:firstLine="1936"/>
        <w:spacing w:after="0" w:line="292" w:lineRule="auto"/>
        <w:tabs>
          <w:tab w:leader="none" w:pos="2227" w:val="left"/>
        </w:tabs>
        <w:numPr>
          <w:ilvl w:val="3"/>
          <w:numId w:val="25"/>
        </w:numPr>
        <w:rPr>
          <w:rFonts w:ascii="Arial" w:cs="Arial" w:eastAsia="Arial" w:hAnsi="Arial"/>
          <w:sz w:val="15"/>
          <w:szCs w:val="15"/>
          <w:color w:val="auto"/>
        </w:rPr>
      </w:pPr>
      <w:r>
        <w:rPr>
          <w:rFonts w:ascii="Arial" w:cs="Arial" w:eastAsia="Arial" w:hAnsi="Arial"/>
          <w:sz w:val="15"/>
          <w:szCs w:val="15"/>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28" w:lineRule="exact"/>
        <w:rPr>
          <w:rFonts w:ascii="Arial" w:cs="Arial" w:eastAsia="Arial" w:hAnsi="Arial"/>
          <w:sz w:val="15"/>
          <w:szCs w:val="15"/>
          <w:color w:val="auto"/>
        </w:rPr>
      </w:pPr>
    </w:p>
    <w:p>
      <w:pPr>
        <w:ind w:left="2241" w:hanging="304"/>
        <w:spacing w:after="0"/>
        <w:tabs>
          <w:tab w:leader="none" w:pos="2241" w:val="left"/>
        </w:tabs>
        <w:numPr>
          <w:ilvl w:val="3"/>
          <w:numId w:val="25"/>
        </w:numPr>
        <w:rPr>
          <w:rFonts w:ascii="Arial" w:cs="Arial" w:eastAsia="Arial" w:hAnsi="Arial"/>
          <w:sz w:val="17"/>
          <w:szCs w:val="17"/>
          <w:color w:val="auto"/>
        </w:rPr>
      </w:pPr>
      <w:r>
        <w:rPr>
          <w:rFonts w:ascii="Arial" w:cs="Arial" w:eastAsia="Arial" w:hAnsi="Arial"/>
          <w:sz w:val="17"/>
          <w:szCs w:val="17"/>
          <w:color w:val="auto"/>
        </w:rPr>
        <w:t>to institute and determine the terms and conditions of an Exchange Program;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5937250" cy="222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1"/>
          </w:cols>
          <w:pgMar w:left="1419" w:top="309" w:right="1159" w:bottom="1440" w:gutter="0" w:footer="0" w:header="0"/>
        </w:sectPr>
      </w:pPr>
    </w:p>
    <w:bookmarkStart w:id="92" w:name="page93"/>
    <w:bookmarkEnd w:id="92"/>
    <w:p>
      <w:pPr>
        <w:ind w:left="1940"/>
        <w:spacing w:after="0"/>
        <w:rPr>
          <w:sz w:val="20"/>
          <w:szCs w:val="20"/>
          <w:color w:val="auto"/>
        </w:rPr>
      </w:pPr>
      <w:r>
        <w:rPr>
          <w:rFonts w:ascii="Arial" w:cs="Arial" w:eastAsia="Arial" w:hAnsi="Arial"/>
          <w:sz w:val="17"/>
          <w:szCs w:val="17"/>
          <w:color w:val="auto"/>
        </w:rPr>
        <w:t>(vii) to construe and interpret the terms of the Plan and Awards granted pursuant to the Plan;</w:t>
      </w:r>
    </w:p>
    <w:p>
      <w:pPr>
        <w:spacing w:after="0" w:line="185" w:lineRule="exact"/>
        <w:rPr>
          <w:sz w:val="20"/>
          <w:szCs w:val="20"/>
          <w:color w:val="auto"/>
        </w:rPr>
      </w:pPr>
    </w:p>
    <w:p>
      <w:pPr>
        <w:jc w:val="both"/>
        <w:ind w:firstLine="1937"/>
        <w:spacing w:after="0" w:line="252" w:lineRule="auto"/>
        <w:rPr>
          <w:sz w:val="20"/>
          <w:szCs w:val="20"/>
          <w:color w:val="auto"/>
        </w:rPr>
      </w:pPr>
      <w:r>
        <w:rPr>
          <w:rFonts w:ascii="Arial" w:cs="Arial" w:eastAsia="Arial" w:hAnsi="Arial"/>
          <w:sz w:val="17"/>
          <w:szCs w:val="17"/>
          <w:color w:val="auto"/>
        </w:rPr>
        <w:t>(viii)to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57" w:lineRule="exact"/>
        <w:rPr>
          <w:sz w:val="20"/>
          <w:szCs w:val="20"/>
          <w:color w:val="auto"/>
        </w:rPr>
      </w:pPr>
    </w:p>
    <w:p>
      <w:pPr>
        <w:jc w:val="both"/>
        <w:ind w:firstLine="1936"/>
        <w:spacing w:after="0" w:line="252" w:lineRule="auto"/>
        <w:tabs>
          <w:tab w:leader="none" w:pos="223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modify or amend each Award (subject to Section 20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156" w:lineRule="exact"/>
        <w:rPr>
          <w:rFonts w:ascii="Arial" w:cs="Arial" w:eastAsia="Arial" w:hAnsi="Arial"/>
          <w:sz w:val="17"/>
          <w:szCs w:val="17"/>
          <w:color w:val="auto"/>
        </w:rPr>
      </w:pPr>
    </w:p>
    <w:p>
      <w:pPr>
        <w:ind w:left="2220" w:hanging="284"/>
        <w:spacing w:after="0"/>
        <w:tabs>
          <w:tab w:leader="none" w:pos="22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to allow Participants to satisfy tax withholding obligations in such manner as prescribed in Section 16 of</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the Plan;</w:t>
      </w:r>
    </w:p>
    <w:p>
      <w:pPr>
        <w:spacing w:after="0" w:line="170" w:lineRule="exact"/>
        <w:rPr>
          <w:rFonts w:ascii="Arial" w:cs="Arial" w:eastAsia="Arial" w:hAnsi="Arial"/>
          <w:sz w:val="15"/>
          <w:szCs w:val="15"/>
          <w:color w:val="auto"/>
        </w:rPr>
      </w:pPr>
    </w:p>
    <w:p>
      <w:pPr>
        <w:ind w:firstLine="1936"/>
        <w:spacing w:after="0" w:line="264" w:lineRule="auto"/>
        <w:tabs>
          <w:tab w:leader="none" w:pos="223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authorize any person to execute on behalf of the Company any instrument required to effect the grant of an Award previously granted by the Administrator;</w:t>
      </w:r>
    </w:p>
    <w:p>
      <w:pPr>
        <w:spacing w:after="0" w:line="146" w:lineRule="exact"/>
        <w:rPr>
          <w:rFonts w:ascii="Arial" w:cs="Arial" w:eastAsia="Arial" w:hAnsi="Arial"/>
          <w:sz w:val="17"/>
          <w:szCs w:val="17"/>
          <w:color w:val="auto"/>
        </w:rPr>
      </w:pPr>
    </w:p>
    <w:p>
      <w:pPr>
        <w:ind w:firstLine="1936"/>
        <w:spacing w:after="0" w:line="264" w:lineRule="auto"/>
        <w:tabs>
          <w:tab w:leader="none" w:pos="2251"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allow a Participant to defer the receipt of the payment of cash or the delivery of Shares that otherwise would be due to such Participant under an Award; and</w:t>
      </w:r>
    </w:p>
    <w:p>
      <w:pPr>
        <w:spacing w:after="0" w:line="146"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(xiii)to make all other determinations deemed necessary or advisable for administering the Plan.</w:t>
      </w:r>
    </w:p>
    <w:p>
      <w:pPr>
        <w:spacing w:after="0" w:line="185" w:lineRule="exact"/>
        <w:rPr>
          <w:sz w:val="20"/>
          <w:szCs w:val="20"/>
          <w:color w:val="auto"/>
        </w:rPr>
      </w:pPr>
    </w:p>
    <w:p>
      <w:pPr>
        <w:ind w:firstLine="1106"/>
        <w:spacing w:after="0" w:line="264" w:lineRule="auto"/>
        <w:tabs>
          <w:tab w:leader="none" w:pos="1663"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Effect of Administrator’s Decision</w:t>
      </w:r>
      <w:r>
        <w:rPr>
          <w:rFonts w:ascii="Arial" w:cs="Arial" w:eastAsia="Arial" w:hAnsi="Arial"/>
          <w:sz w:val="17"/>
          <w:szCs w:val="17"/>
          <w:color w:val="auto"/>
        </w:rPr>
        <w:t>. The Administrator’s decisions, determinations and interpretations will be final and binding on all Participants and any other holders of Awards.</w:t>
      </w:r>
    </w:p>
    <w:p>
      <w:pPr>
        <w:spacing w:after="0" w:line="146" w:lineRule="exact"/>
        <w:rPr>
          <w:rFonts w:ascii="Arial" w:cs="Arial" w:eastAsia="Arial" w:hAnsi="Arial"/>
          <w:sz w:val="17"/>
          <w:szCs w:val="17"/>
          <w:color w:val="auto"/>
        </w:rPr>
      </w:pPr>
    </w:p>
    <w:p>
      <w:pPr>
        <w:jc w:val="both"/>
        <w:ind w:firstLine="552"/>
        <w:spacing w:after="0" w:line="252" w:lineRule="auto"/>
        <w:tabs>
          <w:tab w:leader="none" w:pos="1107"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Eligibility</w:t>
      </w:r>
      <w:r>
        <w:rPr>
          <w:rFonts w:ascii="Arial" w:cs="Arial" w:eastAsia="Arial" w:hAnsi="Arial"/>
          <w:sz w:val="17"/>
          <w:szCs w:val="17"/>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56" w:lineRule="exact"/>
        <w:rPr>
          <w:rFonts w:ascii="Arial" w:cs="Arial" w:eastAsia="Arial" w:hAnsi="Arial"/>
          <w:sz w:val="17"/>
          <w:szCs w:val="17"/>
          <w:color w:val="auto"/>
        </w:rPr>
      </w:pPr>
    </w:p>
    <w:p>
      <w:pPr>
        <w:ind w:left="1100" w:hanging="548"/>
        <w:spacing w:after="0"/>
        <w:tabs>
          <w:tab w:leader="none" w:pos="110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left="1660" w:hanging="554"/>
        <w:spacing w:after="0"/>
        <w:tabs>
          <w:tab w:leader="none" w:pos="1660"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Limitations</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firstLine="1936"/>
        <w:spacing w:after="0" w:line="244" w:lineRule="auto"/>
        <w:tabs>
          <w:tab w:leader="none" w:pos="2212" w:val="left"/>
        </w:tabs>
        <w:numPr>
          <w:ilvl w:val="2"/>
          <w:numId w:val="28"/>
        </w:numPr>
        <w:rPr>
          <w:rFonts w:ascii="Arial" w:cs="Arial" w:eastAsia="Arial" w:hAnsi="Arial"/>
          <w:sz w:val="17"/>
          <w:szCs w:val="17"/>
          <w:color w:val="auto"/>
        </w:rPr>
      </w:pPr>
      <w:r>
        <w:rPr>
          <w:rFonts w:ascii="Arial" w:cs="Arial" w:eastAsia="Arial" w:hAnsi="Arial"/>
          <w:sz w:val="17"/>
          <w:szCs w:val="17"/>
          <w:color w:val="auto"/>
        </w:rPr>
        <w:t>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65" w:lineRule="exact"/>
        <w:rPr>
          <w:rFonts w:ascii="Arial" w:cs="Arial" w:eastAsia="Arial" w:hAnsi="Arial"/>
          <w:sz w:val="17"/>
          <w:szCs w:val="17"/>
          <w:color w:val="auto"/>
        </w:rPr>
      </w:pPr>
    </w:p>
    <w:p>
      <w:pPr>
        <w:jc w:val="both"/>
        <w:ind w:firstLine="1936"/>
        <w:spacing w:after="0" w:line="248" w:lineRule="auto"/>
        <w:tabs>
          <w:tab w:leader="none" w:pos="2247" w:val="left"/>
        </w:tabs>
        <w:numPr>
          <w:ilvl w:val="2"/>
          <w:numId w:val="28"/>
        </w:numPr>
        <w:rPr>
          <w:rFonts w:ascii="Arial" w:cs="Arial" w:eastAsia="Arial" w:hAnsi="Arial"/>
          <w:sz w:val="17"/>
          <w:szCs w:val="17"/>
          <w:color w:val="auto"/>
        </w:rPr>
      </w:pPr>
      <w:r>
        <w:rPr>
          <w:rFonts w:ascii="Arial" w:cs="Arial" w:eastAsia="Arial" w:hAnsi="Arial"/>
          <w:sz w:val="17"/>
          <w:szCs w:val="17"/>
          <w:color w:val="auto"/>
        </w:rPr>
        <w:t>The Administrator will have complete discretion to determine the number of Shares subject to an Option granted to any Participant. Notwithstanding the foregoing sentence, for Stock Options intended to qualify as “performance-based compensation” within the meaning of Section 162(m) of the Code, during any Fiscal Year no Participant will receive Stock Options to acquire more than an aggregate of 400,000 shares.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5937250" cy="222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93" w:name="page94"/>
    <w:bookmarkEnd w:id="93"/>
    <w:p>
      <w:pPr>
        <w:jc w:val="both"/>
        <w:ind w:left="1" w:firstLine="1106"/>
        <w:spacing w:after="0" w:line="245" w:lineRule="auto"/>
        <w:tabs>
          <w:tab w:leader="none" w:pos="1674"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63" w:lineRule="exact"/>
        <w:rPr>
          <w:rFonts w:ascii="Arial" w:cs="Arial" w:eastAsia="Arial" w:hAnsi="Arial"/>
          <w:sz w:val="17"/>
          <w:szCs w:val="17"/>
          <w:color w:val="auto"/>
        </w:rPr>
      </w:pPr>
    </w:p>
    <w:p>
      <w:pPr>
        <w:ind w:left="1661" w:hanging="554"/>
        <w:spacing w:after="0"/>
        <w:tabs>
          <w:tab w:leader="none" w:pos="166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Option Exercise Price and Consideration</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left="1" w:firstLine="1936"/>
        <w:spacing w:after="0" w:line="264" w:lineRule="auto"/>
        <w:tabs>
          <w:tab w:leader="none" w:pos="2213"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per share exercise price for the Shares to be issued pursuant to exercise of an Option will be determined by the Administrator, subject to the following:</w:t>
      </w:r>
    </w:p>
    <w:p>
      <w:pPr>
        <w:spacing w:after="0" w:line="146" w:lineRule="exact"/>
        <w:rPr>
          <w:rFonts w:ascii="Arial" w:cs="Arial" w:eastAsia="Arial" w:hAnsi="Arial"/>
          <w:sz w:val="17"/>
          <w:szCs w:val="17"/>
          <w:color w:val="auto"/>
        </w:rPr>
      </w:pPr>
    </w:p>
    <w:p>
      <w:pPr>
        <w:ind w:left="2781" w:hanging="568"/>
        <w:spacing w:after="0"/>
        <w:tabs>
          <w:tab w:leader="none" w:pos="2781" w:val="left"/>
        </w:tabs>
        <w:numPr>
          <w:ilvl w:val="2"/>
          <w:numId w:val="29"/>
        </w:numPr>
        <w:rPr>
          <w:rFonts w:ascii="Arial" w:cs="Arial" w:eastAsia="Arial" w:hAnsi="Arial"/>
          <w:sz w:val="17"/>
          <w:szCs w:val="17"/>
          <w:color w:val="auto"/>
        </w:rPr>
      </w:pPr>
      <w:r>
        <w:rPr>
          <w:rFonts w:ascii="Arial" w:cs="Arial" w:eastAsia="Arial" w:hAnsi="Arial"/>
          <w:sz w:val="17"/>
          <w:szCs w:val="17"/>
          <w:color w:val="auto"/>
        </w:rPr>
        <w:t>In the case of an Incentive Stock Option</w:t>
      </w:r>
    </w:p>
    <w:p>
      <w:pPr>
        <w:spacing w:after="0" w:line="184" w:lineRule="exact"/>
        <w:rPr>
          <w:rFonts w:ascii="Arial" w:cs="Arial" w:eastAsia="Arial" w:hAnsi="Arial"/>
          <w:sz w:val="17"/>
          <w:szCs w:val="17"/>
          <w:color w:val="auto"/>
        </w:rPr>
      </w:pPr>
    </w:p>
    <w:p>
      <w:pPr>
        <w:jc w:val="both"/>
        <w:ind w:left="1" w:firstLine="2766"/>
        <w:spacing w:after="0" w:line="301" w:lineRule="auto"/>
        <w:tabs>
          <w:tab w:leader="none" w:pos="3337" w:val="left"/>
        </w:tabs>
        <w:numPr>
          <w:ilvl w:val="3"/>
          <w:numId w:val="29"/>
        </w:numPr>
        <w:rPr>
          <w:rFonts w:ascii="Arial" w:cs="Arial" w:eastAsia="Arial" w:hAnsi="Arial"/>
          <w:sz w:val="15"/>
          <w:szCs w:val="15"/>
          <w:color w:val="auto"/>
        </w:rPr>
      </w:pPr>
      <w:r>
        <w:rPr>
          <w:rFonts w:ascii="Arial" w:cs="Arial" w:eastAsia="Arial" w:hAnsi="Arial"/>
          <w:sz w:val="15"/>
          <w:szCs w:val="15"/>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23" w:lineRule="exact"/>
        <w:rPr>
          <w:sz w:val="20"/>
          <w:szCs w:val="20"/>
          <w:color w:val="auto"/>
        </w:rPr>
      </w:pPr>
    </w:p>
    <w:p>
      <w:pPr>
        <w:ind w:left="2761"/>
        <w:spacing w:after="0"/>
        <w:tabs>
          <w:tab w:leader="none" w:pos="3301" w:val="left"/>
          <w:tab w:leader="none" w:pos="3961" w:val="left"/>
          <w:tab w:leader="none" w:pos="4241" w:val="left"/>
          <w:tab w:leader="none" w:pos="4641" w:val="left"/>
          <w:tab w:leader="none" w:pos="5481" w:val="left"/>
          <w:tab w:leader="none" w:pos="5961" w:val="left"/>
          <w:tab w:leader="none" w:pos="6401" w:val="left"/>
          <w:tab w:leader="none" w:pos="6721" w:val="left"/>
          <w:tab w:leader="none" w:pos="7561" w:val="left"/>
          <w:tab w:leader="none" w:pos="8341" w:val="left"/>
          <w:tab w:leader="none" w:pos="8621"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7"/>
          <w:szCs w:val="17"/>
          <w:color w:val="auto"/>
        </w:rPr>
        <w:t>granted</w:t>
        <w:tab/>
        <w:t>to</w:t>
        <w:tab/>
        <w:t>any</w:t>
        <w:tab/>
        <w:t>Employee</w:t>
        <w:tab/>
        <w:t>other</w:t>
        <w:tab/>
        <w:t>than</w:t>
        <w:tab/>
        <w:t>an</w:t>
        <w:tab/>
        <w:t>Employee</w:t>
        <w:tab/>
        <w:t>described</w:t>
        <w:tab/>
        <w:t>in</w:t>
      </w:r>
      <w:r>
        <w:rPr>
          <w:sz w:val="20"/>
          <w:szCs w:val="20"/>
          <w:color w:val="auto"/>
        </w:rPr>
        <w:tab/>
      </w:r>
      <w:r>
        <w:rPr>
          <w:rFonts w:ascii="Arial" w:cs="Arial" w:eastAsia="Arial" w:hAnsi="Arial"/>
          <w:sz w:val="14"/>
          <w:szCs w:val="14"/>
          <w:color w:val="auto"/>
        </w:rPr>
        <w:t>paragraph</w:t>
      </w:r>
    </w:p>
    <w:p>
      <w:pPr>
        <w:spacing w:after="0" w:line="15" w:lineRule="exact"/>
        <w:rPr>
          <w:sz w:val="20"/>
          <w:szCs w:val="20"/>
          <w:color w:val="auto"/>
        </w:rPr>
      </w:pPr>
    </w:p>
    <w:p>
      <w:pPr>
        <w:ind w:left="1" w:hanging="1"/>
        <w:spacing w:after="0" w:line="246" w:lineRule="auto"/>
        <w:tabs>
          <w:tab w:leader="none" w:pos="282"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immediately above, the per Share exercise price will be no less than one hundred percent (100%) of the Fair Market Value per Share on the date of grant.</w:t>
      </w:r>
    </w:p>
    <w:p>
      <w:pPr>
        <w:spacing w:after="0" w:line="161" w:lineRule="exact"/>
        <w:rPr>
          <w:rFonts w:ascii="Arial" w:cs="Arial" w:eastAsia="Arial" w:hAnsi="Arial"/>
          <w:sz w:val="17"/>
          <w:szCs w:val="17"/>
          <w:color w:val="auto"/>
        </w:rPr>
      </w:pPr>
    </w:p>
    <w:p>
      <w:pPr>
        <w:ind w:left="1" w:firstLine="2212"/>
        <w:spacing w:after="0" w:line="264" w:lineRule="auto"/>
        <w:tabs>
          <w:tab w:leader="none" w:pos="2780" w:val="left"/>
        </w:tabs>
        <w:numPr>
          <w:ilvl w:val="3"/>
          <w:numId w:val="30"/>
        </w:numPr>
        <w:rPr>
          <w:rFonts w:ascii="Arial" w:cs="Arial" w:eastAsia="Arial" w:hAnsi="Arial"/>
          <w:sz w:val="17"/>
          <w:szCs w:val="17"/>
          <w:color w:val="auto"/>
        </w:rPr>
      </w:pPr>
      <w:r>
        <w:rPr>
          <w:rFonts w:ascii="Arial" w:cs="Arial" w:eastAsia="Arial" w:hAnsi="Arial"/>
          <w:sz w:val="17"/>
          <w:szCs w:val="17"/>
          <w:color w:val="auto"/>
        </w:rPr>
        <w:t>In the case of a Nonstatutory Stock Option, the per Share exercise price will be no less than one hundred percent (100%) of the Fair Market Value per Share on the date of grant.</w:t>
      </w:r>
    </w:p>
    <w:p>
      <w:pPr>
        <w:spacing w:after="0" w:line="146" w:lineRule="exact"/>
        <w:rPr>
          <w:rFonts w:ascii="Arial" w:cs="Arial" w:eastAsia="Arial" w:hAnsi="Arial"/>
          <w:sz w:val="17"/>
          <w:szCs w:val="17"/>
          <w:color w:val="auto"/>
        </w:rPr>
      </w:pPr>
    </w:p>
    <w:p>
      <w:pPr>
        <w:jc w:val="both"/>
        <w:ind w:left="1" w:firstLine="2212"/>
        <w:spacing w:after="0" w:line="252" w:lineRule="auto"/>
        <w:tabs>
          <w:tab w:leader="none" w:pos="2780" w:val="left"/>
        </w:tabs>
        <w:numPr>
          <w:ilvl w:val="3"/>
          <w:numId w:val="30"/>
        </w:numPr>
        <w:rPr>
          <w:rFonts w:ascii="Arial" w:cs="Arial" w:eastAsia="Arial" w:hAnsi="Arial"/>
          <w:sz w:val="17"/>
          <w:szCs w:val="17"/>
          <w:color w:val="auto"/>
        </w:rPr>
      </w:pPr>
      <w:r>
        <w:rPr>
          <w:rFonts w:ascii="Arial" w:cs="Arial" w:eastAsia="Arial" w:hAnsi="Arial"/>
          <w:sz w:val="17"/>
          <w:szCs w:val="17"/>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56" w:lineRule="exact"/>
        <w:rPr>
          <w:rFonts w:ascii="Arial" w:cs="Arial" w:eastAsia="Arial" w:hAnsi="Arial"/>
          <w:sz w:val="17"/>
          <w:szCs w:val="17"/>
          <w:color w:val="auto"/>
        </w:rPr>
      </w:pPr>
    </w:p>
    <w:p>
      <w:pPr>
        <w:jc w:val="both"/>
        <w:ind w:left="1" w:firstLine="1936"/>
        <w:spacing w:after="0" w:line="252" w:lineRule="auto"/>
        <w:tabs>
          <w:tab w:leader="none" w:pos="2248" w:val="left"/>
        </w:tabs>
        <w:numPr>
          <w:ilvl w:val="2"/>
          <w:numId w:val="30"/>
        </w:numPr>
        <w:rPr>
          <w:rFonts w:ascii="Arial" w:cs="Arial" w:eastAsia="Arial" w:hAnsi="Arial"/>
          <w:sz w:val="17"/>
          <w:szCs w:val="17"/>
          <w:color w:val="auto"/>
        </w:rPr>
      </w:pPr>
      <w:r>
        <w:rPr>
          <w:rFonts w:ascii="Arial" w:cs="Arial" w:eastAsia="Arial" w:hAnsi="Arial"/>
          <w:sz w:val="17"/>
          <w:szCs w:val="17"/>
          <w:u w:val="single" w:color="auto"/>
          <w:color w:val="auto"/>
        </w:rPr>
        <w:t>Waiting Period and Exercise Dates</w:t>
      </w:r>
      <w:r>
        <w:rPr>
          <w:rFonts w:ascii="Arial" w:cs="Arial" w:eastAsia="Arial" w:hAnsi="Arial"/>
          <w:sz w:val="17"/>
          <w:szCs w:val="17"/>
          <w:color w:val="auto"/>
        </w:rPr>
        <w:t>. At the time an Option is granted, the Administrator will fix the period within which the Option may be exercised and will determine any conditions that must be satisfied before the Option may be exercised.</w:t>
      </w:r>
    </w:p>
    <w:p>
      <w:pPr>
        <w:spacing w:after="0" w:line="156" w:lineRule="exact"/>
        <w:rPr>
          <w:rFonts w:ascii="Arial" w:cs="Arial" w:eastAsia="Arial" w:hAnsi="Arial"/>
          <w:sz w:val="17"/>
          <w:szCs w:val="17"/>
          <w:color w:val="auto"/>
        </w:rPr>
      </w:pPr>
    </w:p>
    <w:p>
      <w:pPr>
        <w:jc w:val="both"/>
        <w:ind w:left="1" w:firstLine="1936"/>
        <w:spacing w:after="0" w:line="243" w:lineRule="auto"/>
        <w:tabs>
          <w:tab w:leader="none" w:pos="2260" w:val="left"/>
        </w:tabs>
        <w:numPr>
          <w:ilvl w:val="2"/>
          <w:numId w:val="30"/>
        </w:numPr>
        <w:rPr>
          <w:rFonts w:ascii="Arial" w:cs="Arial" w:eastAsia="Arial" w:hAnsi="Arial"/>
          <w:sz w:val="17"/>
          <w:szCs w:val="17"/>
          <w:color w:val="auto"/>
        </w:rPr>
      </w:pPr>
      <w:r>
        <w:rPr>
          <w:rFonts w:ascii="Arial" w:cs="Arial" w:eastAsia="Arial" w:hAnsi="Arial"/>
          <w:sz w:val="17"/>
          <w:szCs w:val="17"/>
          <w:u w:val="single" w:color="auto"/>
          <w:color w:val="auto"/>
        </w:rPr>
        <w:t>Form of Consideration</w:t>
      </w:r>
      <w:r>
        <w:rPr>
          <w:rFonts w:ascii="Arial" w:cs="Arial" w:eastAsia="Arial" w:hAnsi="Arial"/>
          <w:sz w:val="17"/>
          <w:szCs w:val="17"/>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65" w:lineRule="exact"/>
        <w:rPr>
          <w:rFonts w:ascii="Arial" w:cs="Arial" w:eastAsia="Arial" w:hAnsi="Arial"/>
          <w:sz w:val="17"/>
          <w:szCs w:val="17"/>
          <w:color w:val="auto"/>
        </w:rPr>
      </w:pPr>
    </w:p>
    <w:p>
      <w:pPr>
        <w:ind w:left="1681" w:hanging="574"/>
        <w:spacing w:after="0"/>
        <w:tabs>
          <w:tab w:leader="none" w:pos="1681"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5937250" cy="222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1"/>
          </w:cols>
          <w:pgMar w:left="1419" w:top="309" w:right="1159" w:bottom="1440" w:gutter="0" w:footer="0" w:header="0"/>
        </w:sectPr>
      </w:pPr>
    </w:p>
    <w:bookmarkStart w:id="94" w:name="page95"/>
    <w:bookmarkEnd w:id="94"/>
    <w:p>
      <w:pPr>
        <w:jc w:val="both"/>
        <w:ind w:firstLine="1936"/>
        <w:spacing w:after="0" w:line="252" w:lineRule="auto"/>
        <w:tabs>
          <w:tab w:leader="none" w:pos="2212"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Procedure for Exercise; Rights as a Stockholder</w:t>
      </w:r>
      <w:r>
        <w:rPr>
          <w:rFonts w:ascii="Arial" w:cs="Arial" w:eastAsia="Arial" w:hAnsi="Arial"/>
          <w:sz w:val="17"/>
          <w:szCs w:val="17"/>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57" w:lineRule="exact"/>
        <w:rPr>
          <w:sz w:val="20"/>
          <w:szCs w:val="20"/>
          <w:color w:val="auto"/>
        </w:rPr>
      </w:pPr>
    </w:p>
    <w:p>
      <w:pPr>
        <w:jc w:val="both"/>
        <w:ind w:firstLine="2213"/>
        <w:spacing w:after="0" w:line="260" w:lineRule="auto"/>
        <w:rPr>
          <w:sz w:val="20"/>
          <w:szCs w:val="20"/>
          <w:color w:val="auto"/>
        </w:rPr>
      </w:pPr>
      <w:r>
        <w:rPr>
          <w:rFonts w:ascii="Arial" w:cs="Arial" w:eastAsia="Arial" w:hAnsi="Arial"/>
          <w:sz w:val="16"/>
          <w:szCs w:val="16"/>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151" w:lineRule="exact"/>
        <w:rPr>
          <w:sz w:val="20"/>
          <w:szCs w:val="20"/>
          <w:color w:val="auto"/>
        </w:rPr>
      </w:pPr>
    </w:p>
    <w:p>
      <w:pPr>
        <w:jc w:val="both"/>
        <w:ind w:firstLine="2213"/>
        <w:spacing w:after="0" w:line="264" w:lineRule="auto"/>
        <w:rPr>
          <w:sz w:val="20"/>
          <w:szCs w:val="20"/>
          <w:color w:val="auto"/>
        </w:rPr>
      </w:pPr>
      <w:r>
        <w:rPr>
          <w:rFonts w:ascii="Arial" w:cs="Arial" w:eastAsia="Arial" w:hAnsi="Arial"/>
          <w:sz w:val="17"/>
          <w:szCs w:val="17"/>
          <w:color w:val="auto"/>
        </w:rPr>
        <w:t>Exercising an Option in any manner will decrease the number of Shares thereafter available, both for purposes of the Plan and for sale under the Option, by the number of Shares as to which the Option is exercised.</w:t>
      </w:r>
    </w:p>
    <w:p>
      <w:pPr>
        <w:spacing w:after="0" w:line="146" w:lineRule="exact"/>
        <w:rPr>
          <w:sz w:val="20"/>
          <w:szCs w:val="20"/>
          <w:color w:val="auto"/>
        </w:rPr>
      </w:pPr>
    </w:p>
    <w:p>
      <w:pPr>
        <w:jc w:val="both"/>
        <w:ind w:firstLine="1936"/>
        <w:spacing w:after="0" w:line="281" w:lineRule="auto"/>
        <w:tabs>
          <w:tab w:leader="none" w:pos="2247"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Termination of Relationship as a Service Provider</w:t>
      </w:r>
      <w:r>
        <w:rPr>
          <w:rFonts w:ascii="Arial" w:cs="Arial" w:eastAsia="Arial" w:hAnsi="Arial"/>
          <w:sz w:val="15"/>
          <w:szCs w:val="15"/>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36" w:lineRule="exact"/>
        <w:rPr>
          <w:rFonts w:ascii="Arial" w:cs="Arial" w:eastAsia="Arial" w:hAnsi="Arial"/>
          <w:sz w:val="15"/>
          <w:szCs w:val="15"/>
          <w:color w:val="auto"/>
        </w:rPr>
      </w:pPr>
    </w:p>
    <w:p>
      <w:pPr>
        <w:jc w:val="both"/>
        <w:ind w:firstLine="1936"/>
        <w:spacing w:after="0" w:line="261" w:lineRule="auto"/>
        <w:tabs>
          <w:tab w:leader="none" w:pos="2259"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Disability of Participant</w:t>
      </w:r>
      <w:r>
        <w:rPr>
          <w:rFonts w:ascii="Arial" w:cs="Arial" w:eastAsia="Arial" w:hAnsi="Arial"/>
          <w:sz w:val="16"/>
          <w:szCs w:val="16"/>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51" w:lineRule="exact"/>
        <w:rPr>
          <w:rFonts w:ascii="Arial" w:cs="Arial" w:eastAsia="Arial" w:hAnsi="Arial"/>
          <w:sz w:val="16"/>
          <w:szCs w:val="16"/>
          <w:color w:val="auto"/>
        </w:rPr>
      </w:pPr>
    </w:p>
    <w:p>
      <w:pPr>
        <w:jc w:val="both"/>
        <w:ind w:firstLine="1936"/>
        <w:spacing w:after="0" w:line="292" w:lineRule="auto"/>
        <w:tabs>
          <w:tab w:leader="none" w:pos="2238"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Death of Participant</w:t>
      </w:r>
      <w:r>
        <w:rPr>
          <w:rFonts w:ascii="Arial" w:cs="Arial" w:eastAsia="Arial" w:hAnsi="Arial"/>
          <w:sz w:val="15"/>
          <w:szCs w:val="15"/>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5937250" cy="222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95" w:name="page96"/>
    <w:bookmarkEnd w:id="95"/>
    <w:p>
      <w:pPr>
        <w:jc w:val="both"/>
        <w:ind w:firstLine="553"/>
        <w:spacing w:after="0" w:line="262" w:lineRule="auto"/>
        <w:rPr>
          <w:sz w:val="20"/>
          <w:szCs w:val="20"/>
          <w:color w:val="auto"/>
        </w:rPr>
      </w:pPr>
      <w:r>
        <w:rPr>
          <w:rFonts w:ascii="Arial" w:cs="Arial" w:eastAsia="Arial" w:hAnsi="Arial"/>
          <w:sz w:val="16"/>
          <w:szCs w:val="16"/>
          <w:color w:val="auto"/>
        </w:rPr>
        <w:t>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50" w:lineRule="exact"/>
        <w:rPr>
          <w:sz w:val="20"/>
          <w:szCs w:val="20"/>
          <w:color w:val="auto"/>
        </w:rPr>
      </w:pPr>
    </w:p>
    <w:p>
      <w:pPr>
        <w:ind w:left="1100" w:hanging="548"/>
        <w:spacing w:after="0"/>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Restricted Stock</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firstLine="1106"/>
        <w:spacing w:after="0" w:line="252" w:lineRule="auto"/>
        <w:tabs>
          <w:tab w:leader="none" w:pos="1663"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w:t>
      </w:r>
      <w:r>
        <w:rPr>
          <w:rFonts w:ascii="Arial" w:cs="Arial" w:eastAsia="Arial" w:hAnsi="Arial"/>
          <w:sz w:val="17"/>
          <w:szCs w:val="17"/>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56" w:lineRule="exact"/>
        <w:rPr>
          <w:rFonts w:ascii="Arial" w:cs="Arial" w:eastAsia="Arial" w:hAnsi="Arial"/>
          <w:sz w:val="17"/>
          <w:szCs w:val="17"/>
          <w:color w:val="auto"/>
        </w:rPr>
      </w:pPr>
    </w:p>
    <w:p>
      <w:pPr>
        <w:jc w:val="both"/>
        <w:ind w:firstLine="1106"/>
        <w:spacing w:after="0" w:line="282" w:lineRule="auto"/>
        <w:tabs>
          <w:tab w:leader="none" w:pos="1673" w:val="left"/>
        </w:tabs>
        <w:numPr>
          <w:ilvl w:val="1"/>
          <w:numId w:val="33"/>
        </w:numPr>
        <w:rPr>
          <w:rFonts w:ascii="Arial" w:cs="Arial" w:eastAsia="Arial" w:hAnsi="Arial"/>
          <w:sz w:val="15"/>
          <w:szCs w:val="15"/>
          <w:color w:val="auto"/>
        </w:rPr>
      </w:pPr>
      <w:r>
        <w:rPr>
          <w:rFonts w:ascii="Arial" w:cs="Arial" w:eastAsia="Arial" w:hAnsi="Arial"/>
          <w:sz w:val="15"/>
          <w:szCs w:val="15"/>
          <w:u w:val="single" w:color="auto"/>
          <w:color w:val="auto"/>
        </w:rPr>
        <w:t>Restricted Stock Agreement</w:t>
      </w:r>
      <w:r>
        <w:rPr>
          <w:rFonts w:ascii="Arial" w:cs="Arial" w:eastAsia="Arial" w:hAnsi="Arial"/>
          <w:sz w:val="15"/>
          <w:szCs w:val="15"/>
          <w:color w:val="auto"/>
        </w:rPr>
        <w:t>. Each Award of Restricted Stock will be evidenced by an Award Agreement that will specify the Period of Restriction, if any, the number of Shares granted, and such other terms and conditions as the Administrator, in its sole discretion, will determine. Notwithstanding the foregoing sentence, for restricted stock intended to qualify as “performance-based compensation” within the meaning of Section 162(m) of the Code, during any Fiscal Year no Participant will receive more than an aggregate of 250,000 Shares of Restricted Stock. Unless the Administrator determines otherwise, Shares of Restricted Stock will be held by the Company as escrow agent until the restrictions on such Shares have lapsed. Unless the Administrator determines otherwise, the Company as escrow agent will hold Shares of Restricted Stock until the restrictions on such Shares have lapsed.</w:t>
      </w:r>
    </w:p>
    <w:p>
      <w:pPr>
        <w:spacing w:after="0" w:line="137" w:lineRule="exact"/>
        <w:rPr>
          <w:rFonts w:ascii="Arial" w:cs="Arial" w:eastAsia="Arial" w:hAnsi="Arial"/>
          <w:sz w:val="15"/>
          <w:szCs w:val="15"/>
          <w:color w:val="auto"/>
        </w:rPr>
      </w:pPr>
    </w:p>
    <w:p>
      <w:pPr>
        <w:ind w:firstLine="1106"/>
        <w:spacing w:after="0" w:line="331" w:lineRule="auto"/>
        <w:tabs>
          <w:tab w:leader="none" w:pos="1663" w:val="left"/>
        </w:tabs>
        <w:numPr>
          <w:ilvl w:val="1"/>
          <w:numId w:val="33"/>
        </w:numPr>
        <w:rPr>
          <w:rFonts w:ascii="Arial" w:cs="Arial" w:eastAsia="Arial" w:hAnsi="Arial"/>
          <w:sz w:val="15"/>
          <w:szCs w:val="15"/>
          <w:color w:val="auto"/>
        </w:rPr>
      </w:pPr>
      <w:r>
        <w:rPr>
          <w:rFonts w:ascii="Arial" w:cs="Arial" w:eastAsia="Arial" w:hAnsi="Arial"/>
          <w:sz w:val="15"/>
          <w:szCs w:val="15"/>
          <w:u w:val="single" w:color="auto"/>
          <w:color w:val="auto"/>
        </w:rPr>
        <w:t>Transferability</w:t>
      </w:r>
      <w:r>
        <w:rPr>
          <w:rFonts w:ascii="Arial" w:cs="Arial" w:eastAsia="Arial" w:hAnsi="Arial"/>
          <w:sz w:val="15"/>
          <w:szCs w:val="15"/>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00" w:lineRule="exact"/>
        <w:rPr>
          <w:rFonts w:ascii="Arial" w:cs="Arial" w:eastAsia="Arial" w:hAnsi="Arial"/>
          <w:sz w:val="15"/>
          <w:szCs w:val="15"/>
          <w:color w:val="auto"/>
        </w:rPr>
      </w:pPr>
    </w:p>
    <w:p>
      <w:pPr>
        <w:ind w:firstLine="1106"/>
        <w:spacing w:after="0" w:line="264" w:lineRule="auto"/>
        <w:tabs>
          <w:tab w:leader="none" w:pos="1673"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Other Restrictions</w:t>
      </w:r>
      <w:r>
        <w:rPr>
          <w:rFonts w:ascii="Arial" w:cs="Arial" w:eastAsia="Arial" w:hAnsi="Arial"/>
          <w:sz w:val="17"/>
          <w:szCs w:val="17"/>
          <w:color w:val="auto"/>
        </w:rPr>
        <w:t>. The Administrator, in its sole discretion, may impose such other restrictions on Shares of Restricted Stock as it may deem advisable or appropriate.</w:t>
      </w:r>
    </w:p>
    <w:p>
      <w:pPr>
        <w:spacing w:after="0" w:line="146" w:lineRule="exact"/>
        <w:rPr>
          <w:rFonts w:ascii="Arial" w:cs="Arial" w:eastAsia="Arial" w:hAnsi="Arial"/>
          <w:sz w:val="17"/>
          <w:szCs w:val="17"/>
          <w:color w:val="auto"/>
        </w:rPr>
      </w:pPr>
    </w:p>
    <w:p>
      <w:pPr>
        <w:jc w:val="both"/>
        <w:ind w:firstLine="1106"/>
        <w:spacing w:after="0" w:line="248" w:lineRule="auto"/>
        <w:tabs>
          <w:tab w:leader="none" w:pos="1663"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Removal of Restrictions</w:t>
      </w:r>
      <w:r>
        <w:rPr>
          <w:rFonts w:ascii="Arial" w:cs="Arial" w:eastAsia="Arial" w:hAnsi="Arial"/>
          <w:sz w:val="17"/>
          <w:szCs w:val="17"/>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60" w:lineRule="exact"/>
        <w:rPr>
          <w:rFonts w:ascii="Arial" w:cs="Arial" w:eastAsia="Arial" w:hAnsi="Arial"/>
          <w:sz w:val="17"/>
          <w:szCs w:val="17"/>
          <w:color w:val="auto"/>
        </w:rPr>
      </w:pPr>
    </w:p>
    <w:p>
      <w:pPr>
        <w:ind w:firstLine="1106"/>
        <w:spacing w:after="0" w:line="295" w:lineRule="auto"/>
        <w:tabs>
          <w:tab w:leader="none" w:pos="1656"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 During the Period of Restriction, Service Providers holding Shares of Restricted Stock granted hereunder may exercise full voting rights with respect to those Shares, unless the Administrator determines otherwise.</w:t>
      </w:r>
    </w:p>
    <w:p>
      <w:pPr>
        <w:spacing w:after="0" w:line="124" w:lineRule="exact"/>
        <w:rPr>
          <w:rFonts w:ascii="Arial" w:cs="Arial" w:eastAsia="Arial" w:hAnsi="Arial"/>
          <w:sz w:val="16"/>
          <w:szCs w:val="16"/>
          <w:color w:val="auto"/>
        </w:rPr>
      </w:pPr>
    </w:p>
    <w:p>
      <w:pPr>
        <w:jc w:val="both"/>
        <w:ind w:firstLine="1106"/>
        <w:spacing w:after="0" w:line="268" w:lineRule="auto"/>
        <w:tabs>
          <w:tab w:leader="none" w:pos="1673"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Dividends and Other Distributions</w:t>
      </w:r>
      <w:r>
        <w:rPr>
          <w:rFonts w:ascii="Arial" w:cs="Arial" w:eastAsia="Arial" w:hAnsi="Arial"/>
          <w:sz w:val="16"/>
          <w:szCs w:val="16"/>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5937250" cy="222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96" w:name="page97"/>
    <w:bookmarkEnd w:id="96"/>
    <w:p>
      <w:pPr>
        <w:ind w:firstLine="1106"/>
        <w:spacing w:after="0" w:line="295" w:lineRule="auto"/>
        <w:tabs>
          <w:tab w:leader="none" w:pos="1673"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Return of Restricted Stock to Company</w:t>
      </w:r>
      <w:r>
        <w:rPr>
          <w:rFonts w:ascii="Arial" w:cs="Arial" w:eastAsia="Arial" w:hAnsi="Arial"/>
          <w:sz w:val="16"/>
          <w:szCs w:val="16"/>
          <w:color w:val="auto"/>
        </w:rPr>
        <w:t>. On the date set forth in the Award Agreement, the Restricted Stock for which restrictions have not lapsed will revert to the Company and again will become available for grant under the Plan.</w:t>
      </w:r>
    </w:p>
    <w:p>
      <w:pPr>
        <w:spacing w:after="0" w:line="124" w:lineRule="exact"/>
        <w:rPr>
          <w:rFonts w:ascii="Arial" w:cs="Arial" w:eastAsia="Arial" w:hAnsi="Arial"/>
          <w:sz w:val="16"/>
          <w:szCs w:val="16"/>
          <w:color w:val="auto"/>
        </w:rPr>
      </w:pPr>
    </w:p>
    <w:p>
      <w:pPr>
        <w:jc w:val="both"/>
        <w:ind w:firstLine="1106"/>
        <w:spacing w:after="0" w:line="245" w:lineRule="auto"/>
        <w:tabs>
          <w:tab w:leader="none" w:pos="1658"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Section 162(m) Performance Restrictions</w:t>
      </w:r>
      <w:r>
        <w:rPr>
          <w:rFonts w:ascii="Arial" w:cs="Arial" w:eastAsia="Arial" w:hAnsi="Arial"/>
          <w:sz w:val="17"/>
          <w:szCs w:val="17"/>
          <w:color w:val="auto"/>
        </w:rPr>
        <w:t>. For purposes of qualifying grants of Restricted Stock as “performance-based compensation” under Section 162(m) of the Code, the Administrator, in its discretion, may set restrictions based upon the achievement of Performance Goals. The Performance Goals will be set by the Administrator on or before the Determination Date. In granting Restricted Stock which is intended to qualify under Section 162(m) of the Code, the Administrator will follow any procedures determined by it from time to time to be necessary or appropriate to ensure qualification of the Award under Section 162(m) of the Code (e.g., in determining the Performance Goals).</w:t>
      </w:r>
    </w:p>
    <w:p>
      <w:pPr>
        <w:spacing w:after="0" w:line="163" w:lineRule="exact"/>
        <w:rPr>
          <w:rFonts w:ascii="Arial" w:cs="Arial" w:eastAsia="Arial" w:hAnsi="Arial"/>
          <w:sz w:val="17"/>
          <w:szCs w:val="17"/>
          <w:color w:val="auto"/>
        </w:rPr>
      </w:pPr>
    </w:p>
    <w:p>
      <w:pPr>
        <w:ind w:left="1100" w:hanging="548"/>
        <w:spacing w:after="0"/>
        <w:tabs>
          <w:tab w:leader="none" w:pos="110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Restricted Stock Units</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firstLine="1106"/>
        <w:spacing w:after="0" w:line="301" w:lineRule="auto"/>
        <w:tabs>
          <w:tab w:leader="none" w:pos="1663" w:val="left"/>
        </w:tabs>
        <w:numPr>
          <w:ilvl w:val="1"/>
          <w:numId w:val="35"/>
        </w:numPr>
        <w:rPr>
          <w:rFonts w:ascii="Arial" w:cs="Arial" w:eastAsia="Arial" w:hAnsi="Arial"/>
          <w:sz w:val="15"/>
          <w:szCs w:val="15"/>
          <w:color w:val="auto"/>
        </w:rPr>
      </w:pPr>
      <w:r>
        <w:rPr>
          <w:rFonts w:ascii="Arial" w:cs="Arial" w:eastAsia="Arial" w:hAnsi="Arial"/>
          <w:sz w:val="15"/>
          <w:szCs w:val="15"/>
          <w:u w:val="single" w:color="auto"/>
          <w:color w:val="auto"/>
        </w:rPr>
        <w:t>Grant</w:t>
      </w:r>
      <w:r>
        <w:rPr>
          <w:rFonts w:ascii="Arial" w:cs="Arial" w:eastAsia="Arial" w:hAnsi="Arial"/>
          <w:sz w:val="15"/>
          <w:szCs w:val="15"/>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23" w:lineRule="exact"/>
        <w:rPr>
          <w:rFonts w:ascii="Arial" w:cs="Arial" w:eastAsia="Arial" w:hAnsi="Arial"/>
          <w:sz w:val="15"/>
          <w:szCs w:val="15"/>
          <w:color w:val="auto"/>
        </w:rPr>
      </w:pPr>
    </w:p>
    <w:p>
      <w:pPr>
        <w:jc w:val="both"/>
        <w:ind w:firstLine="1106"/>
        <w:spacing w:after="0" w:line="248" w:lineRule="auto"/>
        <w:tabs>
          <w:tab w:leader="none" w:pos="1673"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Vesting Criteria and Other Terms</w:t>
      </w:r>
      <w:r>
        <w:rPr>
          <w:rFonts w:ascii="Arial" w:cs="Arial" w:eastAsia="Arial" w:hAnsi="Arial"/>
          <w:sz w:val="17"/>
          <w:szCs w:val="17"/>
          <w:color w:val="auto"/>
        </w:rPr>
        <w:t>. The Administrator will set vesting criteria in its discretion, which, depending on the extent to which the criteria are met, will determine the number of Restricted Stock Units that will be paid out to the Participant. Each Award of Restricted Stock Units will be evidenced by an Award Agreement that will specify the vesting criteria, and such other terms and conditions as the Administrator, in its sole discretion will determine.</w:t>
      </w:r>
    </w:p>
    <w:p>
      <w:pPr>
        <w:spacing w:after="0" w:line="160" w:lineRule="exact"/>
        <w:rPr>
          <w:rFonts w:ascii="Arial" w:cs="Arial" w:eastAsia="Arial" w:hAnsi="Arial"/>
          <w:sz w:val="17"/>
          <w:szCs w:val="17"/>
          <w:color w:val="auto"/>
        </w:rPr>
      </w:pPr>
    </w:p>
    <w:p>
      <w:pPr>
        <w:jc w:val="both"/>
        <w:ind w:firstLine="1106"/>
        <w:spacing w:after="0" w:line="275" w:lineRule="auto"/>
        <w:tabs>
          <w:tab w:leader="none" w:pos="1663"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Earning Restricted Stock Units</w:t>
      </w:r>
      <w:r>
        <w:rPr>
          <w:rFonts w:ascii="Arial" w:cs="Arial" w:eastAsia="Arial" w:hAnsi="Arial"/>
          <w:sz w:val="16"/>
          <w:szCs w:val="16"/>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39" w:lineRule="exact"/>
        <w:rPr>
          <w:rFonts w:ascii="Arial" w:cs="Arial" w:eastAsia="Arial" w:hAnsi="Arial"/>
          <w:sz w:val="16"/>
          <w:szCs w:val="16"/>
          <w:color w:val="auto"/>
        </w:rPr>
      </w:pPr>
    </w:p>
    <w:p>
      <w:pPr>
        <w:jc w:val="both"/>
        <w:ind w:firstLine="1106"/>
        <w:spacing w:after="0" w:line="252" w:lineRule="auto"/>
        <w:tabs>
          <w:tab w:leader="none" w:pos="1673"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Form and Timing of Payment</w:t>
      </w:r>
      <w:r>
        <w:rPr>
          <w:rFonts w:ascii="Arial" w:cs="Arial" w:eastAsia="Arial" w:hAnsi="Arial"/>
          <w:sz w:val="17"/>
          <w:szCs w:val="17"/>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56" w:lineRule="exact"/>
        <w:rPr>
          <w:rFonts w:ascii="Arial" w:cs="Arial" w:eastAsia="Arial" w:hAnsi="Arial"/>
          <w:sz w:val="17"/>
          <w:szCs w:val="17"/>
          <w:color w:val="auto"/>
        </w:rPr>
      </w:pPr>
    </w:p>
    <w:p>
      <w:pPr>
        <w:ind w:firstLine="1106"/>
        <w:spacing w:after="0" w:line="264" w:lineRule="auto"/>
        <w:tabs>
          <w:tab w:leader="none" w:pos="1663"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Cancellation</w:t>
      </w:r>
      <w:r>
        <w:rPr>
          <w:rFonts w:ascii="Arial" w:cs="Arial" w:eastAsia="Arial" w:hAnsi="Arial"/>
          <w:sz w:val="17"/>
          <w:szCs w:val="17"/>
          <w:color w:val="auto"/>
        </w:rPr>
        <w:t>. On the date set forth in the Award Agreement, all unearned Restricted Stock Units will be forfeited to the Company.</w:t>
      </w:r>
    </w:p>
    <w:p>
      <w:pPr>
        <w:spacing w:after="0" w:line="146" w:lineRule="exact"/>
        <w:rPr>
          <w:rFonts w:ascii="Arial" w:cs="Arial" w:eastAsia="Arial" w:hAnsi="Arial"/>
          <w:sz w:val="17"/>
          <w:szCs w:val="17"/>
          <w:color w:val="auto"/>
        </w:rPr>
      </w:pPr>
    </w:p>
    <w:p>
      <w:pPr>
        <w:jc w:val="both"/>
        <w:ind w:firstLine="1106"/>
        <w:spacing w:after="0" w:line="245" w:lineRule="auto"/>
        <w:tabs>
          <w:tab w:leader="none" w:pos="1656"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Section 162(m) Performance Restrictions</w:t>
      </w:r>
      <w:r>
        <w:rPr>
          <w:rFonts w:ascii="Arial" w:cs="Arial" w:eastAsia="Arial" w:hAnsi="Arial"/>
          <w:sz w:val="17"/>
          <w:szCs w:val="17"/>
          <w:color w:val="auto"/>
        </w:rPr>
        <w:t>. For purposes of qualifying grants of Restricted Stock Units as “performance-based compensation” under Section 162(m) of the Code, the Administrator, in its discretion, may set restrictions based upon the achievement of Performance Goals. The Performance Goals will be set by the Administrator on or before the Determination Date. In granting Restricted Stock Units which are intended to qualify under Section 162(m) of the Code, the Administrator will follow any procedures determined by it from time to time to be necessary or appropriate to ensure qualification of the Award under Section 162(m) of the Code (e.g., in determining the Performance Goals).</w:t>
      </w:r>
    </w:p>
    <w:p>
      <w:pPr>
        <w:spacing w:after="0" w:line="163" w:lineRule="exact"/>
        <w:rPr>
          <w:rFonts w:ascii="Arial" w:cs="Arial" w:eastAsia="Arial" w:hAnsi="Arial"/>
          <w:sz w:val="17"/>
          <w:szCs w:val="17"/>
          <w:color w:val="auto"/>
        </w:rPr>
      </w:pPr>
    </w:p>
    <w:p>
      <w:pPr>
        <w:ind w:left="1100" w:hanging="548"/>
        <w:spacing w:after="0"/>
        <w:tabs>
          <w:tab w:leader="none" w:pos="110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Stock Appreciation Rights</w:t>
      </w:r>
      <w:r>
        <w:rPr>
          <w:rFonts w:ascii="Arial" w:cs="Arial" w:eastAsia="Arial" w:hAnsi="Arial"/>
          <w:sz w:val="17"/>
          <w:szCs w:val="17"/>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5937250" cy="222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97" w:name="page98"/>
    <w:bookmarkEnd w:id="97"/>
    <w:p>
      <w:pPr>
        <w:ind w:firstLine="1106"/>
        <w:spacing w:after="0" w:line="331" w:lineRule="auto"/>
        <w:tabs>
          <w:tab w:leader="none" w:pos="1663" w:val="left"/>
        </w:tabs>
        <w:numPr>
          <w:ilvl w:val="1"/>
          <w:numId w:val="36"/>
        </w:numPr>
        <w:rPr>
          <w:rFonts w:ascii="Arial" w:cs="Arial" w:eastAsia="Arial" w:hAnsi="Arial"/>
          <w:sz w:val="15"/>
          <w:szCs w:val="15"/>
          <w:color w:val="auto"/>
        </w:rPr>
      </w:pPr>
      <w:r>
        <w:rPr>
          <w:rFonts w:ascii="Arial" w:cs="Arial" w:eastAsia="Arial" w:hAnsi="Arial"/>
          <w:sz w:val="15"/>
          <w:szCs w:val="15"/>
          <w:u w:val="single" w:color="auto"/>
          <w:color w:val="auto"/>
        </w:rPr>
        <w:t>Grant of Stock Appreciation Rights</w:t>
      </w:r>
      <w:r>
        <w:rPr>
          <w:rFonts w:ascii="Arial" w:cs="Arial" w:eastAsia="Arial" w:hAnsi="Arial"/>
          <w:sz w:val="15"/>
          <w:szCs w:val="15"/>
          <w:color w:val="auto"/>
        </w:rPr>
        <w:t>. Subject to the terms and conditions of the Plan, a Stock Appreciation Right may be granted to Service Providers at any time and from time to time as will be determined by the Administrator, in its sole discretion.</w:t>
      </w:r>
    </w:p>
    <w:p>
      <w:pPr>
        <w:spacing w:after="0" w:line="100" w:lineRule="exact"/>
        <w:rPr>
          <w:rFonts w:ascii="Arial" w:cs="Arial" w:eastAsia="Arial" w:hAnsi="Arial"/>
          <w:sz w:val="15"/>
          <w:szCs w:val="15"/>
          <w:color w:val="auto"/>
        </w:rPr>
      </w:pPr>
    </w:p>
    <w:p>
      <w:pPr>
        <w:ind w:firstLine="1106"/>
        <w:spacing w:after="0" w:line="264" w:lineRule="auto"/>
        <w:tabs>
          <w:tab w:leader="none" w:pos="1673"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The Administrator will have complete discretion to determine the number of Stock Appreciation Rights granted to any Service Provider.</w:t>
      </w:r>
    </w:p>
    <w:p>
      <w:pPr>
        <w:spacing w:after="0" w:line="146" w:lineRule="exact"/>
        <w:rPr>
          <w:rFonts w:ascii="Arial" w:cs="Arial" w:eastAsia="Arial" w:hAnsi="Arial"/>
          <w:sz w:val="17"/>
          <w:szCs w:val="17"/>
          <w:color w:val="auto"/>
        </w:rPr>
      </w:pPr>
    </w:p>
    <w:p>
      <w:pPr>
        <w:jc w:val="both"/>
        <w:ind w:firstLine="1106"/>
        <w:spacing w:after="0" w:line="268" w:lineRule="auto"/>
        <w:tabs>
          <w:tab w:leader="none" w:pos="1663"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Exercise Price and Other Terms</w:t>
      </w:r>
      <w:r>
        <w:rPr>
          <w:rFonts w:ascii="Arial" w:cs="Arial" w:eastAsia="Arial" w:hAnsi="Arial"/>
          <w:sz w:val="16"/>
          <w:szCs w:val="16"/>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46" w:lineRule="exact"/>
        <w:rPr>
          <w:rFonts w:ascii="Arial" w:cs="Arial" w:eastAsia="Arial" w:hAnsi="Arial"/>
          <w:sz w:val="16"/>
          <w:szCs w:val="16"/>
          <w:color w:val="auto"/>
        </w:rPr>
      </w:pPr>
    </w:p>
    <w:p>
      <w:pPr>
        <w:jc w:val="both"/>
        <w:ind w:firstLine="1106"/>
        <w:spacing w:after="0" w:line="252" w:lineRule="auto"/>
        <w:tabs>
          <w:tab w:leader="none" w:pos="1673"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Stock Appreciation Right Agreement</w:t>
      </w:r>
      <w:r>
        <w:rPr>
          <w:rFonts w:ascii="Arial" w:cs="Arial" w:eastAsia="Arial" w:hAnsi="Arial"/>
          <w:sz w:val="17"/>
          <w:szCs w:val="17"/>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56" w:lineRule="exact"/>
        <w:rPr>
          <w:rFonts w:ascii="Arial" w:cs="Arial" w:eastAsia="Arial" w:hAnsi="Arial"/>
          <w:sz w:val="17"/>
          <w:szCs w:val="17"/>
          <w:color w:val="auto"/>
        </w:rPr>
      </w:pPr>
    </w:p>
    <w:p>
      <w:pPr>
        <w:jc w:val="both"/>
        <w:ind w:firstLine="1106"/>
        <w:spacing w:after="0" w:line="248" w:lineRule="auto"/>
        <w:tabs>
          <w:tab w:leader="none" w:pos="1663"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Expiration of Stock Appreciation Rights</w:t>
      </w:r>
      <w:r>
        <w:rPr>
          <w:rFonts w:ascii="Arial" w:cs="Arial" w:eastAsia="Arial" w:hAnsi="Arial"/>
          <w:sz w:val="17"/>
          <w:szCs w:val="17"/>
          <w:color w:val="auto"/>
        </w:rPr>
        <w:t>. A Stock Appreciation Right granted under the Plan will expire ten (10) years from the date of grant or such shorter term as may be provided in the Award Agreement, as determined by the Administrator, in its sole discretion. Notwithstanding the foregoing, the rules of Section 6(d) relating to exercise also will apply to Stock Appreciation Rights.</w:t>
      </w:r>
    </w:p>
    <w:p>
      <w:pPr>
        <w:spacing w:after="0" w:line="160" w:lineRule="exact"/>
        <w:rPr>
          <w:rFonts w:ascii="Arial" w:cs="Arial" w:eastAsia="Arial" w:hAnsi="Arial"/>
          <w:sz w:val="17"/>
          <w:szCs w:val="17"/>
          <w:color w:val="auto"/>
        </w:rPr>
      </w:pPr>
    </w:p>
    <w:p>
      <w:pPr>
        <w:ind w:firstLine="1106"/>
        <w:spacing w:after="0" w:line="264" w:lineRule="auto"/>
        <w:tabs>
          <w:tab w:leader="none" w:pos="1656"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Payment of Stock Appreciation Right Amount</w:t>
      </w:r>
      <w:r>
        <w:rPr>
          <w:rFonts w:ascii="Arial" w:cs="Arial" w:eastAsia="Arial" w:hAnsi="Arial"/>
          <w:sz w:val="17"/>
          <w:szCs w:val="17"/>
          <w:color w:val="auto"/>
        </w:rPr>
        <w:t>. Upon exercise of a Stock Appreciation Right, a Participant will be entitled to receive payment from the Company in an amount determined by multiplying:</w:t>
      </w:r>
    </w:p>
    <w:p>
      <w:pPr>
        <w:spacing w:after="0" w:line="146" w:lineRule="exact"/>
        <w:rPr>
          <w:rFonts w:ascii="Arial" w:cs="Arial" w:eastAsia="Arial" w:hAnsi="Arial"/>
          <w:sz w:val="17"/>
          <w:szCs w:val="17"/>
          <w:color w:val="auto"/>
        </w:rPr>
      </w:pPr>
    </w:p>
    <w:p>
      <w:pPr>
        <w:ind w:left="2220" w:hanging="284"/>
        <w:spacing w:after="0"/>
        <w:tabs>
          <w:tab w:leader="none" w:pos="2220" w:val="left"/>
        </w:tabs>
        <w:numPr>
          <w:ilvl w:val="2"/>
          <w:numId w:val="36"/>
        </w:numPr>
        <w:rPr>
          <w:rFonts w:ascii="Arial" w:cs="Arial" w:eastAsia="Arial" w:hAnsi="Arial"/>
          <w:sz w:val="15"/>
          <w:szCs w:val="15"/>
          <w:color w:val="auto"/>
        </w:rPr>
      </w:pPr>
      <w:r>
        <w:rPr>
          <w:rFonts w:ascii="Arial" w:cs="Arial" w:eastAsia="Arial" w:hAnsi="Arial"/>
          <w:sz w:val="15"/>
          <w:szCs w:val="15"/>
          <w:color w:val="auto"/>
        </w:rPr>
        <w:t>The difference between the Fair Market Value of a Share on the date of exercise over the exercise price;</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times</w:t>
      </w:r>
    </w:p>
    <w:p>
      <w:pPr>
        <w:spacing w:after="0" w:line="170" w:lineRule="exact"/>
        <w:rPr>
          <w:rFonts w:ascii="Arial" w:cs="Arial" w:eastAsia="Arial" w:hAnsi="Arial"/>
          <w:sz w:val="15"/>
          <w:szCs w:val="15"/>
          <w:color w:val="auto"/>
        </w:rPr>
      </w:pPr>
    </w:p>
    <w:p>
      <w:pPr>
        <w:jc w:val="both"/>
        <w:ind w:firstLine="1936"/>
        <w:spacing w:after="0" w:line="252" w:lineRule="auto"/>
        <w:tabs>
          <w:tab w:leader="none" w:pos="2247" w:val="left"/>
        </w:tabs>
        <w:numPr>
          <w:ilvl w:val="2"/>
          <w:numId w:val="36"/>
        </w:numPr>
        <w:rPr>
          <w:rFonts w:ascii="Arial" w:cs="Arial" w:eastAsia="Arial" w:hAnsi="Arial"/>
          <w:sz w:val="17"/>
          <w:szCs w:val="17"/>
          <w:color w:val="auto"/>
        </w:rPr>
      </w:pPr>
      <w:r>
        <w:rPr>
          <w:rFonts w:ascii="Arial" w:cs="Arial" w:eastAsia="Arial" w:hAnsi="Arial"/>
          <w:sz w:val="17"/>
          <w:szCs w:val="17"/>
          <w:color w:val="auto"/>
        </w:rPr>
        <w:t>The number of Shares with respect to which the Stock Appreciation Right is exercised. At the discretion of the Administrator, the payment upon Stock Appreciation Right exercise may be in cash, in Shares of equivalent value, or in some combination thereof.</w:t>
      </w:r>
    </w:p>
    <w:p>
      <w:pPr>
        <w:spacing w:after="0" w:line="156" w:lineRule="exact"/>
        <w:rPr>
          <w:rFonts w:ascii="Arial" w:cs="Arial" w:eastAsia="Arial" w:hAnsi="Arial"/>
          <w:sz w:val="17"/>
          <w:szCs w:val="17"/>
          <w:color w:val="auto"/>
        </w:rPr>
      </w:pPr>
    </w:p>
    <w:p>
      <w:pPr>
        <w:ind w:left="1100" w:hanging="548"/>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Performance Units and Performance Shares</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firstLine="1106"/>
        <w:spacing w:after="0" w:line="275" w:lineRule="auto"/>
        <w:tabs>
          <w:tab w:leader="none" w:pos="1663"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Grant of Performance Units/Shares</w:t>
      </w:r>
      <w:r>
        <w:rPr>
          <w:rFonts w:ascii="Arial" w:cs="Arial" w:eastAsia="Arial" w:hAnsi="Arial"/>
          <w:sz w:val="16"/>
          <w:szCs w:val="16"/>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39" w:lineRule="exact"/>
        <w:rPr>
          <w:rFonts w:ascii="Arial" w:cs="Arial" w:eastAsia="Arial" w:hAnsi="Arial"/>
          <w:sz w:val="16"/>
          <w:szCs w:val="16"/>
          <w:color w:val="auto"/>
        </w:rPr>
      </w:pPr>
    </w:p>
    <w:p>
      <w:pPr>
        <w:jc w:val="both"/>
        <w:ind w:firstLine="1106"/>
        <w:spacing w:after="0" w:line="252" w:lineRule="auto"/>
        <w:tabs>
          <w:tab w:leader="none" w:pos="1673"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Value of Performance Units/Shares</w:t>
      </w:r>
      <w:r>
        <w:rPr>
          <w:rFonts w:ascii="Arial" w:cs="Arial" w:eastAsia="Arial" w:hAnsi="Arial"/>
          <w:sz w:val="17"/>
          <w:szCs w:val="17"/>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56" w:lineRule="exact"/>
        <w:rPr>
          <w:rFonts w:ascii="Arial" w:cs="Arial" w:eastAsia="Arial" w:hAnsi="Arial"/>
          <w:sz w:val="17"/>
          <w:szCs w:val="17"/>
          <w:color w:val="auto"/>
        </w:rPr>
      </w:pPr>
    </w:p>
    <w:p>
      <w:pPr>
        <w:jc w:val="both"/>
        <w:ind w:firstLine="1106"/>
        <w:spacing w:after="0" w:line="292" w:lineRule="auto"/>
        <w:tabs>
          <w:tab w:leader="none" w:pos="1663" w:val="left"/>
        </w:tabs>
        <w:numPr>
          <w:ilvl w:val="1"/>
          <w:numId w:val="37"/>
        </w:numPr>
        <w:rPr>
          <w:rFonts w:ascii="Arial" w:cs="Arial" w:eastAsia="Arial" w:hAnsi="Arial"/>
          <w:sz w:val="15"/>
          <w:szCs w:val="15"/>
          <w:color w:val="auto"/>
        </w:rPr>
      </w:pPr>
      <w:r>
        <w:rPr>
          <w:rFonts w:ascii="Arial" w:cs="Arial" w:eastAsia="Arial" w:hAnsi="Arial"/>
          <w:sz w:val="15"/>
          <w:szCs w:val="15"/>
          <w:u w:val="single" w:color="auto"/>
          <w:color w:val="auto"/>
        </w:rPr>
        <w:t>Performance Objectives and Other Terms</w:t>
      </w:r>
      <w:r>
        <w:rPr>
          <w:rFonts w:ascii="Arial" w:cs="Arial" w:eastAsia="Arial" w:hAnsi="Arial"/>
          <w:sz w:val="15"/>
          <w:szCs w:val="15"/>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w:t>
      </w:r>
      <w:r>
        <w:rPr>
          <w:rFonts w:ascii="Arial" w:cs="Arial" w:eastAsia="Arial" w:hAnsi="Arial"/>
          <w:sz w:val="15"/>
          <w:szCs w:val="15"/>
          <w:u w:val="single" w:color="auto"/>
          <w:color w:val="auto"/>
        </w:rPr>
        <w:t>Performance Period</w:t>
      </w:r>
      <w:r>
        <w:rPr>
          <w:rFonts w:ascii="Arial" w:cs="Arial" w:eastAsia="Arial" w:hAnsi="Arial"/>
          <w:sz w:val="15"/>
          <w:szCs w:val="15"/>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5937250" cy="222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98" w:name="page99"/>
    <w:bookmarkEnd w:id="98"/>
    <w:p>
      <w:pPr>
        <w:jc w:val="both"/>
        <w:ind w:firstLine="553"/>
        <w:spacing w:after="0" w:line="246" w:lineRule="auto"/>
        <w:rPr>
          <w:sz w:val="20"/>
          <w:szCs w:val="20"/>
          <w:color w:val="auto"/>
        </w:rPr>
      </w:pPr>
      <w:r>
        <w:rPr>
          <w:rFonts w:ascii="Arial" w:cs="Arial" w:eastAsia="Arial" w:hAnsi="Arial"/>
          <w:sz w:val="17"/>
          <w:szCs w:val="17"/>
          <w:color w:val="auto"/>
        </w:rPr>
        <w:t>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63" w:lineRule="exact"/>
        <w:rPr>
          <w:sz w:val="20"/>
          <w:szCs w:val="20"/>
          <w:color w:val="auto"/>
        </w:rPr>
      </w:pPr>
    </w:p>
    <w:p>
      <w:pPr>
        <w:jc w:val="both"/>
        <w:ind w:firstLine="1106"/>
        <w:spacing w:after="0" w:line="265" w:lineRule="auto"/>
        <w:tabs>
          <w:tab w:leader="none" w:pos="1673"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Earning of Performance Units/Shares</w:t>
      </w:r>
      <w:r>
        <w:rPr>
          <w:rFonts w:ascii="Arial" w:cs="Arial" w:eastAsia="Arial" w:hAnsi="Arial"/>
          <w:sz w:val="16"/>
          <w:szCs w:val="16"/>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48" w:lineRule="exact"/>
        <w:rPr>
          <w:rFonts w:ascii="Arial" w:cs="Arial" w:eastAsia="Arial" w:hAnsi="Arial"/>
          <w:sz w:val="16"/>
          <w:szCs w:val="16"/>
          <w:color w:val="auto"/>
        </w:rPr>
      </w:pPr>
    </w:p>
    <w:p>
      <w:pPr>
        <w:jc w:val="both"/>
        <w:ind w:firstLine="1106"/>
        <w:spacing w:after="0" w:line="292" w:lineRule="auto"/>
        <w:tabs>
          <w:tab w:leader="none" w:pos="1663" w:val="left"/>
        </w:tabs>
        <w:numPr>
          <w:ilvl w:val="1"/>
          <w:numId w:val="38"/>
        </w:numPr>
        <w:rPr>
          <w:rFonts w:ascii="Arial" w:cs="Arial" w:eastAsia="Arial" w:hAnsi="Arial"/>
          <w:sz w:val="15"/>
          <w:szCs w:val="15"/>
          <w:color w:val="auto"/>
        </w:rPr>
      </w:pPr>
      <w:r>
        <w:rPr>
          <w:rFonts w:ascii="Arial" w:cs="Arial" w:eastAsia="Arial" w:hAnsi="Arial"/>
          <w:sz w:val="15"/>
          <w:szCs w:val="15"/>
          <w:u w:val="single" w:color="auto"/>
          <w:color w:val="auto"/>
        </w:rPr>
        <w:t>Form and Timing of Payment of Performance Units/Shares</w:t>
      </w:r>
      <w:r>
        <w:rPr>
          <w:rFonts w:ascii="Arial" w:cs="Arial" w:eastAsia="Arial" w:hAnsi="Arial"/>
          <w:sz w:val="15"/>
          <w:szCs w:val="15"/>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28" w:lineRule="exact"/>
        <w:rPr>
          <w:rFonts w:ascii="Arial" w:cs="Arial" w:eastAsia="Arial" w:hAnsi="Arial"/>
          <w:sz w:val="15"/>
          <w:szCs w:val="15"/>
          <w:color w:val="auto"/>
        </w:rPr>
      </w:pPr>
    </w:p>
    <w:p>
      <w:pPr>
        <w:ind w:firstLine="1106"/>
        <w:spacing w:after="0" w:line="295" w:lineRule="auto"/>
        <w:tabs>
          <w:tab w:leader="none" w:pos="1656"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Cancellation of Performance Units/Shares</w:t>
      </w:r>
      <w:r>
        <w:rPr>
          <w:rFonts w:ascii="Arial" w:cs="Arial" w:eastAsia="Arial" w:hAnsi="Arial"/>
          <w:sz w:val="16"/>
          <w:szCs w:val="16"/>
          <w:color w:val="auto"/>
        </w:rPr>
        <w:t>. On the date set forth in the Award Agreement, all unearned or unvested Performance Units/Shares will be forfeited to the Company, and again will be available for grant under the Plan.</w:t>
      </w:r>
    </w:p>
    <w:p>
      <w:pPr>
        <w:spacing w:after="0" w:line="124" w:lineRule="exact"/>
        <w:rPr>
          <w:rFonts w:ascii="Arial" w:cs="Arial" w:eastAsia="Arial" w:hAnsi="Arial"/>
          <w:sz w:val="16"/>
          <w:szCs w:val="16"/>
          <w:color w:val="auto"/>
        </w:rPr>
      </w:pPr>
    </w:p>
    <w:p>
      <w:pPr>
        <w:jc w:val="both"/>
        <w:ind w:firstLine="1106"/>
        <w:spacing w:after="0" w:line="263" w:lineRule="auto"/>
        <w:tabs>
          <w:tab w:leader="none" w:pos="1673"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Section 162(m) Performance Restrictions</w:t>
      </w:r>
      <w:r>
        <w:rPr>
          <w:rFonts w:ascii="Arial" w:cs="Arial" w:eastAsia="Arial" w:hAnsi="Arial"/>
          <w:sz w:val="16"/>
          <w:szCs w:val="16"/>
          <w:color w:val="auto"/>
        </w:rPr>
        <w:t>. For purposes of qualifying grants of Performance Units/Shares as “performance-based compensation” under Section 162(m) of the Code, the Administrator, in its discretion, may set restrictions based upon the achievement of Performance Goals. The Performance Goals will be set by the Administrator on or before the Determination Date. In granting Performance Units/Shares which are intended to qualify under Section 162(m) of the Code, the Administrator will follow any procedures determined by it from time to time to be necessary or appropriate to ensure qualification of the Award under Section 162(m) of the Code (e.g., in determining the Performance Goals).</w:t>
      </w:r>
    </w:p>
    <w:p>
      <w:pPr>
        <w:spacing w:after="0" w:line="335" w:lineRule="exact"/>
        <w:rPr>
          <w:rFonts w:ascii="Arial" w:cs="Arial" w:eastAsia="Arial" w:hAnsi="Arial"/>
          <w:sz w:val="16"/>
          <w:szCs w:val="16"/>
          <w:color w:val="auto"/>
        </w:rPr>
      </w:pPr>
    </w:p>
    <w:p>
      <w:pPr>
        <w:ind w:left="1120" w:hanging="568"/>
        <w:spacing w:after="0"/>
        <w:tabs>
          <w:tab w:leader="none" w:pos="112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Performance-Based Compensation Under Code Section 162(m)</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firstLine="1106"/>
        <w:spacing w:after="0" w:line="246" w:lineRule="auto"/>
        <w:tabs>
          <w:tab w:leader="none" w:pos="1663"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If the Administrator, in its discretion, decides to grant an Award intended to qualify as “performance-based compensation” under Code Section 162(m), the provisions of this Section 11 will control over any contrary provision in the Plan; provided, however, that the Administrator may in its discretion grant Awards that are not intended to qualify as “performance-based compensation” under Section 162(m) of the Code to such Participants that are based on Performance Goals or other specific criteria or goals but that do not satisfy the requirements of this Section 11.</w:t>
      </w:r>
    </w:p>
    <w:p>
      <w:pPr>
        <w:spacing w:after="0" w:line="162" w:lineRule="exact"/>
        <w:rPr>
          <w:rFonts w:ascii="Arial" w:cs="Arial" w:eastAsia="Arial" w:hAnsi="Arial"/>
          <w:sz w:val="17"/>
          <w:szCs w:val="17"/>
          <w:color w:val="auto"/>
        </w:rPr>
      </w:pPr>
    </w:p>
    <w:p>
      <w:pPr>
        <w:jc w:val="both"/>
        <w:ind w:firstLine="1106"/>
        <w:spacing w:after="0" w:line="263" w:lineRule="auto"/>
        <w:tabs>
          <w:tab w:leader="none" w:pos="1673"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Performance Goals</w:t>
      </w:r>
      <w:r>
        <w:rPr>
          <w:rFonts w:ascii="Arial" w:cs="Arial" w:eastAsia="Arial" w:hAnsi="Arial"/>
          <w:sz w:val="16"/>
          <w:szCs w:val="16"/>
          <w:color w:val="auto"/>
        </w:rPr>
        <w:t>. The granting and/or vesting of Awards of Restricted Stock, Restricted Stock Units, Performance Shares and Performance Units and other incentives under the Plan may be made subject to the attainment of performance goals relating to one or more business criteria within the meaning of Code Section 162(m) and may provide for a targeted level or levels of achievement (“</w:t>
      </w:r>
      <w:r>
        <w:rPr>
          <w:rFonts w:ascii="Arial" w:cs="Arial" w:eastAsia="Arial" w:hAnsi="Arial"/>
          <w:sz w:val="16"/>
          <w:szCs w:val="16"/>
          <w:u w:val="single" w:color="auto"/>
          <w:color w:val="auto"/>
        </w:rPr>
        <w:t>Performance Goals</w:t>
      </w:r>
      <w:r>
        <w:rPr>
          <w:rFonts w:ascii="Arial" w:cs="Arial" w:eastAsia="Arial" w:hAnsi="Arial"/>
          <w:sz w:val="16"/>
          <w:szCs w:val="16"/>
          <w:color w:val="auto"/>
        </w:rPr>
        <w:t>”). Any Performance Goals may be used to measure the performance of the Company as a whole or a business unit of the Company and may be measured relative to a peer group or index. The Performance Goals may differ from Participant to Participant and from Award to Award. Prior to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5937250" cy="222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99" w:name="page100"/>
    <w:bookmarkEnd w:id="99"/>
    <w:p>
      <w:pPr>
        <w:ind w:left="1" w:firstLine="553"/>
        <w:spacing w:after="0" w:line="264" w:lineRule="auto"/>
        <w:rPr>
          <w:sz w:val="20"/>
          <w:szCs w:val="20"/>
          <w:color w:val="auto"/>
        </w:rPr>
      </w:pPr>
      <w:r>
        <w:rPr>
          <w:rFonts w:ascii="Arial" w:cs="Arial" w:eastAsia="Arial" w:hAnsi="Arial"/>
          <w:sz w:val="17"/>
          <w:szCs w:val="17"/>
          <w:color w:val="auto"/>
        </w:rPr>
        <w:t>Determination Date, the Administrator will determine whether any significant element(s) will be included in or excluded from the calculation of any Performance Goal with respect to any Participant.</w:t>
      </w:r>
    </w:p>
    <w:p>
      <w:pPr>
        <w:spacing w:after="0" w:line="146" w:lineRule="exact"/>
        <w:rPr>
          <w:sz w:val="20"/>
          <w:szCs w:val="20"/>
          <w:color w:val="auto"/>
        </w:rPr>
      </w:pPr>
    </w:p>
    <w:p>
      <w:pPr>
        <w:jc w:val="both"/>
        <w:ind w:left="1" w:firstLine="1106"/>
        <w:spacing w:after="0" w:line="258" w:lineRule="auto"/>
        <w:tabs>
          <w:tab w:leader="none" w:pos="1664" w:val="left"/>
        </w:tabs>
        <w:numPr>
          <w:ilvl w:val="2"/>
          <w:numId w:val="40"/>
        </w:numPr>
        <w:rPr>
          <w:rFonts w:ascii="Arial" w:cs="Arial" w:eastAsia="Arial" w:hAnsi="Arial"/>
          <w:sz w:val="16"/>
          <w:szCs w:val="16"/>
          <w:color w:val="auto"/>
        </w:rPr>
      </w:pPr>
      <w:r>
        <w:rPr>
          <w:rFonts w:ascii="Arial" w:cs="Arial" w:eastAsia="Arial" w:hAnsi="Arial"/>
          <w:sz w:val="16"/>
          <w:szCs w:val="16"/>
          <w:u w:val="single" w:color="auto"/>
          <w:color w:val="auto"/>
        </w:rPr>
        <w:t>Procedures</w:t>
      </w:r>
      <w:r>
        <w:rPr>
          <w:rFonts w:ascii="Arial" w:cs="Arial" w:eastAsia="Arial" w:hAnsi="Arial"/>
          <w:sz w:val="16"/>
          <w:szCs w:val="16"/>
          <w:color w:val="auto"/>
        </w:rPr>
        <w:t>. To the extent necessary to comply with the performance-based compensation provisions of Code Section 162(m), with respect to any Award granted subject to Performance Goals, within the first twenty-five percent (25%) of the Performance Period, but in no event more than ninety (90) days following the commencement of any Performance Period (or such other time as may be required or permitted by Code Section 162(m)), the Administrator will, in writing, (i) designate one or more Participants to whom an Award will be made, (ii) select the Performance Goals applicable to the Performance Period, (iii) establish the Performance Goals, and amounts of such Awards, as applicable, which may be earned for such Performance Period, and (iv) specify the relationship between Performance Goals and the amounts of such Awards, as applicable, to be earned by each Participant for such Performance Period. Following the completion of each Performance Period, the Administrator will certify in writing whether the applicable Performance Goals have been achieved for such Performance Period. In determining the amounts earned by a Participant, the Administrator will have the right to reduce or eliminate (but not to increase) the amount payable at a given level of performance to take into account additional factors that the Administrator may deem relevant to the assessment of individual or corporate performance for the Performance Period. A Participant will be eligible to receive payment pursuant to an Award for a Performance Period only if the Performance Goals for such period are achieved.</w:t>
      </w:r>
    </w:p>
    <w:p>
      <w:pPr>
        <w:spacing w:after="0" w:line="161" w:lineRule="exact"/>
        <w:rPr>
          <w:rFonts w:ascii="Arial" w:cs="Arial" w:eastAsia="Arial" w:hAnsi="Arial"/>
          <w:sz w:val="16"/>
          <w:szCs w:val="16"/>
          <w:color w:val="auto"/>
        </w:rPr>
      </w:pPr>
    </w:p>
    <w:p>
      <w:pPr>
        <w:jc w:val="both"/>
        <w:ind w:left="1" w:firstLine="1106"/>
        <w:spacing w:after="0" w:line="265" w:lineRule="auto"/>
        <w:tabs>
          <w:tab w:leader="none" w:pos="1674" w:val="left"/>
        </w:tabs>
        <w:numPr>
          <w:ilvl w:val="2"/>
          <w:numId w:val="40"/>
        </w:numPr>
        <w:rPr>
          <w:rFonts w:ascii="Arial" w:cs="Arial" w:eastAsia="Arial" w:hAnsi="Arial"/>
          <w:sz w:val="16"/>
          <w:szCs w:val="16"/>
          <w:color w:val="auto"/>
        </w:rPr>
      </w:pPr>
      <w:r>
        <w:rPr>
          <w:rFonts w:ascii="Arial" w:cs="Arial" w:eastAsia="Arial" w:hAnsi="Arial"/>
          <w:sz w:val="16"/>
          <w:szCs w:val="16"/>
          <w:u w:val="single" w:color="auto"/>
          <w:color w:val="auto"/>
        </w:rPr>
        <w:t>Additional Limitations</w:t>
      </w:r>
      <w:r>
        <w:rPr>
          <w:rFonts w:ascii="Arial" w:cs="Arial" w:eastAsia="Arial" w:hAnsi="Arial"/>
          <w:sz w:val="16"/>
          <w:szCs w:val="16"/>
          <w:color w:val="auto"/>
        </w:rPr>
        <w:t>. Notwithstanding any other provision of the Plan, any Award which is granted to a Participant and is intended to constitute qualified performance based compensation under Code Section 162(m) will be subject to any additional limitations set forth in the Code (including any amendment to Section 162(m)) or any regulations and ruling issued thereunder that are requirements for qualification as qualified performance-based compensation as described in Section 162(m) of the Code, and the Plan will be deemed amended to the extent necessary to conform to such requirements.</w:t>
      </w:r>
    </w:p>
    <w:p>
      <w:pPr>
        <w:spacing w:after="0" w:line="148" w:lineRule="exact"/>
        <w:rPr>
          <w:rFonts w:ascii="Arial" w:cs="Arial" w:eastAsia="Arial" w:hAnsi="Arial"/>
          <w:sz w:val="16"/>
          <w:szCs w:val="16"/>
          <w:color w:val="auto"/>
        </w:rPr>
      </w:pPr>
    </w:p>
    <w:p>
      <w:pPr>
        <w:ind w:left="1" w:firstLine="552"/>
        <w:spacing w:after="0" w:line="264" w:lineRule="auto"/>
        <w:tabs>
          <w:tab w:leader="none" w:pos="1111"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Outside Director Limitations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Awards</w:t>
      </w:r>
      <w:r>
        <w:rPr>
          <w:rFonts w:ascii="Arial" w:cs="Arial" w:eastAsia="Arial" w:hAnsi="Arial"/>
          <w:sz w:val="17"/>
          <w:szCs w:val="17"/>
          <w:color w:val="auto"/>
        </w:rPr>
        <w:t>. The Administrator will have complete discretion in determining the number of Awards granted to each Outside Director.</w:t>
      </w:r>
    </w:p>
    <w:p>
      <w:pPr>
        <w:spacing w:after="0" w:line="146" w:lineRule="exact"/>
        <w:rPr>
          <w:rFonts w:ascii="Arial" w:cs="Arial" w:eastAsia="Arial" w:hAnsi="Arial"/>
          <w:sz w:val="17"/>
          <w:szCs w:val="17"/>
          <w:color w:val="auto"/>
        </w:rPr>
      </w:pPr>
    </w:p>
    <w:p>
      <w:pPr>
        <w:jc w:val="both"/>
        <w:ind w:left="1" w:firstLine="552"/>
        <w:spacing w:after="0" w:line="282" w:lineRule="auto"/>
        <w:tabs>
          <w:tab w:leader="none" w:pos="1111" w:val="left"/>
        </w:tabs>
        <w:numPr>
          <w:ilvl w:val="1"/>
          <w:numId w:val="41"/>
        </w:numPr>
        <w:rPr>
          <w:rFonts w:ascii="Arial" w:cs="Arial" w:eastAsia="Arial" w:hAnsi="Arial"/>
          <w:sz w:val="15"/>
          <w:szCs w:val="15"/>
          <w:color w:val="auto"/>
        </w:rPr>
      </w:pPr>
      <w:r>
        <w:rPr>
          <w:rFonts w:ascii="Arial" w:cs="Arial" w:eastAsia="Arial" w:hAnsi="Arial"/>
          <w:sz w:val="15"/>
          <w:szCs w:val="15"/>
          <w:u w:val="single" w:color="auto"/>
          <w:color w:val="auto"/>
        </w:rPr>
        <w:t>Leaves of Absence/Transfer Between Locations</w:t>
      </w:r>
      <w:r>
        <w:rPr>
          <w:rFonts w:ascii="Arial" w:cs="Arial" w:eastAsia="Arial" w:hAnsi="Arial"/>
          <w:sz w:val="15"/>
          <w:szCs w:val="15"/>
          <w:color w:val="auto"/>
        </w:rPr>
        <w:t>. Unless the Administrator provides otherwise, vesting of Awards granted hereunder will be suspended during any unpaid leave of absence. A Participant will not cease to be an Employee in the case of</w:t>
      </w:r>
    </w:p>
    <w:p>
      <w:pPr>
        <w:jc w:val="both"/>
        <w:ind w:left="1" w:hanging="1"/>
        <w:spacing w:after="0" w:line="282" w:lineRule="auto"/>
        <w:tabs>
          <w:tab w:leader="none" w:pos="225" w:val="left"/>
        </w:tabs>
        <w:numPr>
          <w:ilvl w:val="0"/>
          <w:numId w:val="42"/>
        </w:numPr>
        <w:rPr>
          <w:rFonts w:ascii="Arial" w:cs="Arial" w:eastAsia="Arial" w:hAnsi="Arial"/>
          <w:sz w:val="15"/>
          <w:szCs w:val="15"/>
          <w:color w:val="auto"/>
        </w:rPr>
      </w:pPr>
      <w:r>
        <w:rPr>
          <w:rFonts w:ascii="Arial" w:cs="Arial" w:eastAsia="Arial" w:hAnsi="Arial"/>
          <w:sz w:val="15"/>
          <w:szCs w:val="15"/>
          <w:color w:val="auto"/>
        </w:rPr>
        <w:t>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37" w:lineRule="exact"/>
        <w:rPr>
          <w:rFonts w:ascii="Arial" w:cs="Arial" w:eastAsia="Arial" w:hAnsi="Arial"/>
          <w:sz w:val="15"/>
          <w:szCs w:val="15"/>
          <w:color w:val="auto"/>
        </w:rPr>
      </w:pPr>
    </w:p>
    <w:p>
      <w:pPr>
        <w:jc w:val="both"/>
        <w:ind w:left="1" w:firstLine="552"/>
        <w:spacing w:after="0" w:line="268" w:lineRule="auto"/>
        <w:tabs>
          <w:tab w:leader="none" w:pos="1111"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Transferability of Awards</w:t>
      </w:r>
      <w:r>
        <w:rPr>
          <w:rFonts w:ascii="Arial" w:cs="Arial" w:eastAsia="Arial" w:hAnsi="Arial"/>
          <w:sz w:val="16"/>
          <w:szCs w:val="16"/>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46" w:lineRule="exact"/>
        <w:rPr>
          <w:rFonts w:ascii="Arial" w:cs="Arial" w:eastAsia="Arial" w:hAnsi="Arial"/>
          <w:sz w:val="16"/>
          <w:szCs w:val="16"/>
          <w:color w:val="auto"/>
        </w:rPr>
      </w:pPr>
    </w:p>
    <w:p>
      <w:pPr>
        <w:ind w:left="1101" w:hanging="548"/>
        <w:spacing w:after="0"/>
        <w:tabs>
          <w:tab w:leader="none" w:pos="1101"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Adjustments; Dissolution or Liquidation; Change in Control</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left="1" w:firstLine="1106"/>
        <w:spacing w:after="0" w:line="264" w:lineRule="auto"/>
        <w:tabs>
          <w:tab w:leader="none" w:pos="1664" w:val="left"/>
        </w:tabs>
        <w:numPr>
          <w:ilvl w:val="2"/>
          <w:numId w:val="42"/>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that any dividend or other distribution (whether in the form of cash, Shares, other securities, or other property), recapitalization, stock split, reverse stock split,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5937250" cy="222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1"/>
          </w:cols>
          <w:pgMar w:left="1419" w:top="309" w:right="1159" w:bottom="1440" w:gutter="0" w:footer="0" w:header="0"/>
        </w:sectPr>
      </w:pPr>
    </w:p>
    <w:bookmarkStart w:id="100" w:name="page101"/>
    <w:bookmarkEnd w:id="100"/>
    <w:p>
      <w:pPr>
        <w:jc w:val="both"/>
        <w:ind w:left="1"/>
        <w:spacing w:after="0" w:line="265" w:lineRule="auto"/>
        <w:rPr>
          <w:sz w:val="20"/>
          <w:szCs w:val="20"/>
          <w:color w:val="auto"/>
        </w:rPr>
      </w:pPr>
      <w:r>
        <w:rPr>
          <w:rFonts w:ascii="Arial" w:cs="Arial" w:eastAsia="Arial" w:hAnsi="Arial"/>
          <w:sz w:val="16"/>
          <w:szCs w:val="16"/>
          <w:color w:val="auto"/>
        </w:rPr>
        <w:t>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set forth in Sections 3, 6, 7, 8, 9 and 10 of the Plan.</w:t>
      </w:r>
    </w:p>
    <w:p>
      <w:pPr>
        <w:spacing w:after="0" w:line="149" w:lineRule="exact"/>
        <w:rPr>
          <w:sz w:val="20"/>
          <w:szCs w:val="20"/>
          <w:color w:val="auto"/>
        </w:rPr>
      </w:pPr>
    </w:p>
    <w:p>
      <w:pPr>
        <w:jc w:val="both"/>
        <w:ind w:left="1" w:firstLine="1106"/>
        <w:spacing w:after="0" w:line="301" w:lineRule="auto"/>
        <w:tabs>
          <w:tab w:leader="none" w:pos="1674" w:val="left"/>
        </w:tabs>
        <w:numPr>
          <w:ilvl w:val="1"/>
          <w:numId w:val="43"/>
        </w:numPr>
        <w:rPr>
          <w:rFonts w:ascii="Arial" w:cs="Arial" w:eastAsia="Arial" w:hAnsi="Arial"/>
          <w:sz w:val="15"/>
          <w:szCs w:val="15"/>
          <w:color w:val="auto"/>
        </w:rPr>
      </w:pPr>
      <w:r>
        <w:rPr>
          <w:rFonts w:ascii="Arial" w:cs="Arial" w:eastAsia="Arial" w:hAnsi="Arial"/>
          <w:sz w:val="15"/>
          <w:szCs w:val="15"/>
          <w:u w:val="single" w:color="auto"/>
          <w:color w:val="auto"/>
        </w:rPr>
        <w:t>Dissolution or Liquidation</w:t>
      </w:r>
      <w:r>
        <w:rPr>
          <w:rFonts w:ascii="Arial" w:cs="Arial" w:eastAsia="Arial" w:hAnsi="Arial"/>
          <w:sz w:val="15"/>
          <w:szCs w:val="15"/>
          <w:color w:val="auto"/>
        </w:rPr>
        <w:t>. In the event of the proposed dissolution or liquidation of the Company, the Administrator will notify each Participant as soon as practicable prior to the effective date of such proposed transaction. To the extent it previously has not been exercised, an Award will terminate immediately prior to the consummation of such proposed action.</w:t>
      </w:r>
    </w:p>
    <w:p>
      <w:pPr>
        <w:spacing w:after="0" w:line="123" w:lineRule="exact"/>
        <w:rPr>
          <w:rFonts w:ascii="Arial" w:cs="Arial" w:eastAsia="Arial" w:hAnsi="Arial"/>
          <w:sz w:val="15"/>
          <w:szCs w:val="15"/>
          <w:color w:val="auto"/>
        </w:rPr>
      </w:pPr>
    </w:p>
    <w:p>
      <w:pPr>
        <w:jc w:val="both"/>
        <w:ind w:left="1" w:firstLine="1106"/>
        <w:spacing w:after="0" w:line="275" w:lineRule="auto"/>
        <w:tabs>
          <w:tab w:leader="none" w:pos="1664" w:val="left"/>
        </w:tabs>
        <w:numPr>
          <w:ilvl w:val="1"/>
          <w:numId w:val="43"/>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In the event of a Change in Control, each outstanding Award will be treated as the Administrator determines, including, without limitation, that (i) Awards may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Change in Control; (iii) outstanding Awards will vest and become exercisable, realizable, or payable, or restrictions applicable to an Award will lapse, in whole or in part prior to or upon consummation of such Change in Control, and, to the extent the Administrator determines, terminate upon or immediately prior to the effectiveness of such merger or Change in Control; (iv)</w:t>
      </w:r>
    </w:p>
    <w:p>
      <w:pPr>
        <w:spacing w:after="0" w:line="2" w:lineRule="exact"/>
        <w:rPr>
          <w:rFonts w:ascii="Arial" w:cs="Arial" w:eastAsia="Arial" w:hAnsi="Arial"/>
          <w:sz w:val="15"/>
          <w:szCs w:val="15"/>
          <w:color w:val="auto"/>
        </w:rPr>
      </w:pPr>
    </w:p>
    <w:p>
      <w:pPr>
        <w:jc w:val="both"/>
        <w:ind w:left="1" w:hanging="1"/>
        <w:spacing w:after="0" w:line="259" w:lineRule="auto"/>
        <w:tabs>
          <w:tab w:leader="none" w:pos="29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Section 15(c), the Administrator will not be required to treat all Awards similarly in the transaction.</w:t>
      </w:r>
    </w:p>
    <w:p>
      <w:pPr>
        <w:spacing w:after="0" w:line="153" w:lineRule="exact"/>
        <w:rPr>
          <w:sz w:val="20"/>
          <w:szCs w:val="20"/>
          <w:color w:val="auto"/>
        </w:rPr>
      </w:pPr>
    </w:p>
    <w:p>
      <w:pPr>
        <w:jc w:val="both"/>
        <w:ind w:left="1" w:firstLine="553"/>
        <w:spacing w:after="0" w:line="261" w:lineRule="auto"/>
        <w:rPr>
          <w:sz w:val="20"/>
          <w:szCs w:val="20"/>
          <w:color w:val="auto"/>
        </w:rPr>
      </w:pPr>
      <w:r>
        <w:rPr>
          <w:rFonts w:ascii="Arial" w:cs="Arial" w:eastAsia="Arial" w:hAnsi="Arial"/>
          <w:sz w:val="16"/>
          <w:szCs w:val="16"/>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52" w:lineRule="exact"/>
        <w:rPr>
          <w:sz w:val="20"/>
          <w:szCs w:val="20"/>
          <w:color w:val="auto"/>
        </w:rPr>
      </w:pPr>
    </w:p>
    <w:p>
      <w:pPr>
        <w:jc w:val="both"/>
        <w:ind w:left="1" w:firstLine="553"/>
        <w:spacing w:after="0" w:line="243" w:lineRule="auto"/>
        <w:rPr>
          <w:sz w:val="20"/>
          <w:szCs w:val="20"/>
          <w:color w:val="auto"/>
        </w:rPr>
      </w:pPr>
      <w:r>
        <w:rPr>
          <w:rFonts w:ascii="Arial" w:cs="Arial" w:eastAsia="Arial" w:hAnsi="Arial"/>
          <w:sz w:val="17"/>
          <w:szCs w:val="17"/>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5937250" cy="222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1"/>
          </w:cols>
          <w:pgMar w:left="1419" w:top="309" w:right="1159" w:bottom="1440" w:gutter="0" w:footer="0" w:header="0"/>
        </w:sectPr>
      </w:pPr>
    </w:p>
    <w:bookmarkStart w:id="101" w:name="page102"/>
    <w:bookmarkEnd w:id="101"/>
    <w:p>
      <w:pPr>
        <w:jc w:val="both"/>
        <w:ind w:left="1"/>
        <w:spacing w:after="0" w:line="331" w:lineRule="auto"/>
        <w:rPr>
          <w:sz w:val="20"/>
          <w:szCs w:val="20"/>
          <w:color w:val="auto"/>
        </w:rPr>
      </w:pPr>
      <w:r>
        <w:rPr>
          <w:rFonts w:ascii="Arial" w:cs="Arial" w:eastAsia="Arial" w:hAnsi="Arial"/>
          <w:sz w:val="15"/>
          <w:szCs w:val="15"/>
          <w:color w:val="auto"/>
        </w:rPr>
        <w:t>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01" w:lineRule="exact"/>
        <w:rPr>
          <w:sz w:val="20"/>
          <w:szCs w:val="20"/>
          <w:color w:val="auto"/>
        </w:rPr>
      </w:pPr>
    </w:p>
    <w:p>
      <w:pPr>
        <w:jc w:val="both"/>
        <w:ind w:left="1" w:firstLine="553"/>
        <w:spacing w:after="0" w:line="292" w:lineRule="auto"/>
        <w:rPr>
          <w:sz w:val="20"/>
          <w:szCs w:val="20"/>
          <w:color w:val="auto"/>
        </w:rPr>
      </w:pPr>
      <w:r>
        <w:rPr>
          <w:rFonts w:ascii="Arial" w:cs="Arial" w:eastAsia="Arial" w:hAnsi="Arial"/>
          <w:sz w:val="15"/>
          <w:szCs w:val="15"/>
          <w:color w:val="auto"/>
        </w:rPr>
        <w:t>Notwithstanding anything in this Section 15(c)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29" w:lineRule="exact"/>
        <w:rPr>
          <w:sz w:val="20"/>
          <w:szCs w:val="20"/>
          <w:color w:val="auto"/>
        </w:rPr>
      </w:pPr>
    </w:p>
    <w:p>
      <w:pPr>
        <w:jc w:val="both"/>
        <w:ind w:left="1" w:firstLine="1106"/>
        <w:spacing w:after="0" w:line="287" w:lineRule="auto"/>
        <w:tabs>
          <w:tab w:leader="none" w:pos="1674" w:val="left"/>
        </w:tabs>
        <w:numPr>
          <w:ilvl w:val="2"/>
          <w:numId w:val="45"/>
        </w:numPr>
        <w:rPr>
          <w:rFonts w:ascii="Arial" w:cs="Arial" w:eastAsia="Arial" w:hAnsi="Arial"/>
          <w:sz w:val="15"/>
          <w:szCs w:val="15"/>
          <w:color w:val="auto"/>
        </w:rPr>
      </w:pPr>
      <w:r>
        <w:rPr>
          <w:rFonts w:ascii="Arial" w:cs="Arial" w:eastAsia="Arial" w:hAnsi="Arial"/>
          <w:sz w:val="15"/>
          <w:szCs w:val="15"/>
          <w:u w:val="single" w:color="auto"/>
          <w:color w:val="auto"/>
        </w:rPr>
        <w:t>Outside Director Awards</w:t>
      </w:r>
      <w:r>
        <w:rPr>
          <w:rFonts w:ascii="Arial" w:cs="Arial" w:eastAsia="Arial" w:hAnsi="Arial"/>
          <w:sz w:val="15"/>
          <w:szCs w:val="15"/>
          <w:color w:val="auto"/>
        </w:rPr>
        <w:t>. With respect to Awards granted to an Outside Director, in the event of a Change in Control, the Participant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w:t>
      </w:r>
    </w:p>
    <w:p>
      <w:pPr>
        <w:spacing w:after="0" w:line="133" w:lineRule="exact"/>
        <w:rPr>
          <w:rFonts w:ascii="Arial" w:cs="Arial" w:eastAsia="Arial" w:hAnsi="Arial"/>
          <w:sz w:val="15"/>
          <w:szCs w:val="15"/>
          <w:color w:val="auto"/>
        </w:rPr>
      </w:pPr>
    </w:p>
    <w:p>
      <w:pPr>
        <w:ind w:left="1101" w:hanging="548"/>
        <w:spacing w:after="0"/>
        <w:tabs>
          <w:tab w:leader="none" w:pos="1101"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Tax</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left="1" w:firstLine="1106"/>
        <w:spacing w:after="0" w:line="268" w:lineRule="auto"/>
        <w:tabs>
          <w:tab w:leader="none" w:pos="1664" w:val="left"/>
        </w:tabs>
        <w:numPr>
          <w:ilvl w:val="2"/>
          <w:numId w:val="46"/>
        </w:numPr>
        <w:rPr>
          <w:rFonts w:ascii="Arial" w:cs="Arial" w:eastAsia="Arial" w:hAnsi="Arial"/>
          <w:sz w:val="16"/>
          <w:szCs w:val="16"/>
          <w:color w:val="auto"/>
        </w:rPr>
      </w:pPr>
      <w:r>
        <w:rPr>
          <w:rFonts w:ascii="Arial" w:cs="Arial" w:eastAsia="Arial" w:hAnsi="Arial"/>
          <w:sz w:val="16"/>
          <w:szCs w:val="16"/>
          <w:u w:val="single" w:color="auto"/>
          <w:color w:val="auto"/>
        </w:rPr>
        <w:t>Withholding Requirements</w:t>
      </w:r>
      <w:r>
        <w:rPr>
          <w:rFonts w:ascii="Arial" w:cs="Arial" w:eastAsia="Arial" w:hAnsi="Arial"/>
          <w:sz w:val="16"/>
          <w:szCs w:val="16"/>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46" w:lineRule="exact"/>
        <w:rPr>
          <w:rFonts w:ascii="Arial" w:cs="Arial" w:eastAsia="Arial" w:hAnsi="Arial"/>
          <w:sz w:val="16"/>
          <w:szCs w:val="16"/>
          <w:color w:val="auto"/>
        </w:rPr>
      </w:pPr>
    </w:p>
    <w:p>
      <w:pPr>
        <w:jc w:val="both"/>
        <w:ind w:left="1" w:firstLine="1106"/>
        <w:spacing w:after="0" w:line="282" w:lineRule="auto"/>
        <w:tabs>
          <w:tab w:leader="none" w:pos="1674" w:val="left"/>
        </w:tabs>
        <w:numPr>
          <w:ilvl w:val="2"/>
          <w:numId w:val="46"/>
        </w:numPr>
        <w:rPr>
          <w:rFonts w:ascii="Arial" w:cs="Arial" w:eastAsia="Arial" w:hAnsi="Arial"/>
          <w:sz w:val="15"/>
          <w:szCs w:val="15"/>
          <w:color w:val="auto"/>
        </w:rPr>
      </w:pPr>
      <w:r>
        <w:rPr>
          <w:rFonts w:ascii="Arial" w:cs="Arial" w:eastAsia="Arial" w:hAnsi="Arial"/>
          <w:sz w:val="15"/>
          <w:szCs w:val="15"/>
          <w:u w:val="single" w:color="auto"/>
          <w:color w:val="auto"/>
        </w:rPr>
        <w:t>Withholding Arrangements</w:t>
      </w:r>
      <w:r>
        <w:rPr>
          <w:rFonts w:ascii="Arial" w:cs="Arial" w:eastAsia="Arial" w:hAnsi="Arial"/>
          <w:sz w:val="15"/>
          <w:szCs w:val="15"/>
          <w:color w:val="auto"/>
        </w:rPr>
        <w:t>. The Administrator, in its sole discretion and pursuant to such procedures as it may specify from time to time, may permit a Participant to satisfy such tax withholding obligation, in whole or in part by (without limitation)</w:t>
      </w:r>
    </w:p>
    <w:p>
      <w:pPr>
        <w:jc w:val="both"/>
        <w:ind w:left="1" w:hanging="1"/>
        <w:spacing w:after="0" w:line="197" w:lineRule="exact"/>
        <w:tabs>
          <w:tab w:leader="none" w:pos="234" w:val="left"/>
        </w:tabs>
        <w:numPr>
          <w:ilvl w:val="0"/>
          <w:numId w:val="47"/>
        </w:numPr>
        <w:rPr>
          <w:rFonts w:ascii="Arial" w:cs="Arial" w:eastAsia="Arial" w:hAnsi="Arial"/>
          <w:sz w:val="16"/>
          <w:szCs w:val="16"/>
          <w:color w:val="auto"/>
        </w:rPr>
      </w:pPr>
      <w:r>
        <w:rPr>
          <w:rFonts w:ascii="Arial" w:cs="Arial" w:eastAsia="Arial" w:hAnsi="Arial"/>
          <w:sz w:val="16"/>
          <w:szCs w:val="16"/>
          <w:color w:val="auto"/>
        </w:rPr>
        <w:t>paying cash, (b) electing to have the Company withhold otherwise deliverable cash or Shares having a Fair Market Value equal to the amount required to be withheld or other greater amount up to the maximum statutory rate under Applicable Laws, as applicable to the Participant, if such other greater amount would not result in adverse financial accounting treatment, as determined by the Company (including in connection with the effectiveness of FASB Accounting Standards Update 2016</w:t>
      </w:r>
      <w:r>
        <w:rPr>
          <w:rFonts w:ascii="MS PGothic" w:cs="MS PGothic" w:eastAsia="MS PGothic" w:hAnsi="MS PGothic"/>
          <w:sz w:val="16"/>
          <w:szCs w:val="16"/>
          <w:color w:val="auto"/>
        </w:rPr>
        <w:t>‑</w:t>
      </w:r>
      <w:r>
        <w:rPr>
          <w:rFonts w:ascii="Arial" w:cs="Arial" w:eastAsia="Arial" w:hAnsi="Arial"/>
          <w:sz w:val="16"/>
          <w:szCs w:val="16"/>
          <w:color w:val="auto"/>
        </w:rPr>
        <w:t>09 amending FASB Accounting Standards Codification Topic 718, Compensation – Stock Compensation),, or (c) delivering to the Company already-owned Shares having a Fair Market Value equal to the minimum statutory amount required to be withheld. The Fair Market Value of the Shares to be withheld or delivered will be determined as of the date that the taxes are required to be withheld.</w:t>
      </w:r>
    </w:p>
    <w:p>
      <w:pPr>
        <w:spacing w:after="0" w:line="168" w:lineRule="exact"/>
        <w:rPr>
          <w:rFonts w:ascii="Arial" w:cs="Arial" w:eastAsia="Arial" w:hAnsi="Arial"/>
          <w:sz w:val="16"/>
          <w:szCs w:val="16"/>
          <w:color w:val="auto"/>
        </w:rPr>
      </w:pPr>
    </w:p>
    <w:p>
      <w:pPr>
        <w:jc w:val="both"/>
        <w:ind w:left="1" w:firstLine="1106"/>
        <w:spacing w:after="0" w:line="281" w:lineRule="auto"/>
        <w:tabs>
          <w:tab w:leader="none" w:pos="1664" w:val="left"/>
        </w:tabs>
        <w:numPr>
          <w:ilvl w:val="2"/>
          <w:numId w:val="47"/>
        </w:numPr>
        <w:rPr>
          <w:rFonts w:ascii="Arial" w:cs="Arial" w:eastAsia="Arial" w:hAnsi="Arial"/>
          <w:sz w:val="15"/>
          <w:szCs w:val="15"/>
          <w:color w:val="auto"/>
        </w:rPr>
      </w:pPr>
      <w:r>
        <w:rPr>
          <w:rFonts w:ascii="Arial" w:cs="Arial" w:eastAsia="Arial" w:hAnsi="Arial"/>
          <w:sz w:val="15"/>
          <w:szCs w:val="15"/>
          <w:u w:val="single" w:color="auto"/>
          <w:color w:val="auto"/>
        </w:rPr>
        <w:t>Compliance With Code Section 409A</w:t>
      </w:r>
      <w:r>
        <w:rPr>
          <w:rFonts w:ascii="Arial" w:cs="Arial" w:eastAsia="Arial" w:hAnsi="Arial"/>
          <w:sz w:val="15"/>
          <w:szCs w:val="15"/>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5937250" cy="222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1"/>
          </w:cols>
          <w:pgMar w:left="1419" w:top="309" w:right="1159" w:bottom="1440" w:gutter="0" w:footer="0" w:header="0"/>
        </w:sectPr>
      </w:pPr>
    </w:p>
    <w:bookmarkStart w:id="102" w:name="page103"/>
    <w:bookmarkEnd w:id="102"/>
    <w:p>
      <w:pPr>
        <w:jc w:val="both"/>
        <w:ind w:firstLine="552"/>
        <w:spacing w:after="0" w:line="248" w:lineRule="auto"/>
        <w:tabs>
          <w:tab w:leader="none" w:pos="111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No Effect on Employment or Service</w:t>
      </w:r>
      <w:r>
        <w:rPr>
          <w:rFonts w:ascii="Arial" w:cs="Arial" w:eastAsia="Arial" w:hAnsi="Arial"/>
          <w:sz w:val="17"/>
          <w:szCs w:val="17"/>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344" w:lineRule="exact"/>
        <w:rPr>
          <w:rFonts w:ascii="Arial" w:cs="Arial" w:eastAsia="Arial" w:hAnsi="Arial"/>
          <w:sz w:val="17"/>
          <w:szCs w:val="17"/>
          <w:color w:val="auto"/>
        </w:rPr>
      </w:pPr>
    </w:p>
    <w:p>
      <w:pPr>
        <w:jc w:val="both"/>
        <w:ind w:firstLine="552"/>
        <w:spacing w:after="0" w:line="252" w:lineRule="auto"/>
        <w:tabs>
          <w:tab w:leader="none" w:pos="111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Date of Grant</w:t>
      </w:r>
      <w:r>
        <w:rPr>
          <w:rFonts w:ascii="Arial" w:cs="Arial" w:eastAsia="Arial" w:hAnsi="Arial"/>
          <w:sz w:val="17"/>
          <w:szCs w:val="17"/>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56" w:lineRule="exact"/>
        <w:rPr>
          <w:rFonts w:ascii="Arial" w:cs="Arial" w:eastAsia="Arial" w:hAnsi="Arial"/>
          <w:sz w:val="17"/>
          <w:szCs w:val="17"/>
          <w:color w:val="auto"/>
        </w:rPr>
      </w:pPr>
    </w:p>
    <w:p>
      <w:pPr>
        <w:jc w:val="both"/>
        <w:ind w:firstLine="552"/>
        <w:spacing w:after="0" w:line="331" w:lineRule="auto"/>
        <w:tabs>
          <w:tab w:leader="none" w:pos="1110"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Term of Plan</w:t>
      </w:r>
      <w:r>
        <w:rPr>
          <w:rFonts w:ascii="Arial" w:cs="Arial" w:eastAsia="Arial" w:hAnsi="Arial"/>
          <w:sz w:val="15"/>
          <w:szCs w:val="15"/>
          <w:color w:val="auto"/>
        </w:rPr>
        <w:t>. Subject to Section 23 of the Plan, the Plan will become effective upon its adoption by the Board. It will continue in effect for a term of ten (10) years from the date adopted by the Board, unless terminated earlier under Section 20 of the Plan.</w:t>
      </w:r>
    </w:p>
    <w:p>
      <w:pPr>
        <w:spacing w:after="0" w:line="100" w:lineRule="exact"/>
        <w:rPr>
          <w:rFonts w:ascii="Arial" w:cs="Arial" w:eastAsia="Arial" w:hAnsi="Arial"/>
          <w:sz w:val="15"/>
          <w:szCs w:val="15"/>
          <w:color w:val="auto"/>
        </w:rPr>
      </w:pPr>
    </w:p>
    <w:p>
      <w:pPr>
        <w:ind w:left="1100" w:hanging="548"/>
        <w:spacing w:after="0"/>
        <w:tabs>
          <w:tab w:leader="none" w:pos="110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 of the Plan</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left="1660" w:hanging="554"/>
        <w:spacing w:after="0"/>
        <w:tabs>
          <w:tab w:leader="none" w:pos="1660" w:val="left"/>
        </w:tabs>
        <w:numPr>
          <w:ilvl w:val="1"/>
          <w:numId w:val="48"/>
        </w:numPr>
        <w:rPr>
          <w:rFonts w:ascii="Arial" w:cs="Arial" w:eastAsia="Arial" w:hAnsi="Arial"/>
          <w:sz w:val="15"/>
          <w:szCs w:val="15"/>
          <w:color w:val="auto"/>
        </w:rPr>
      </w:pPr>
      <w:r>
        <w:rPr>
          <w:rFonts w:ascii="Arial" w:cs="Arial" w:eastAsia="Arial" w:hAnsi="Arial"/>
          <w:sz w:val="15"/>
          <w:szCs w:val="15"/>
          <w:u w:val="single" w:color="auto"/>
          <w:color w:val="auto"/>
        </w:rPr>
        <w:t>Amendment and Termination</w:t>
      </w:r>
      <w:r>
        <w:rPr>
          <w:rFonts w:ascii="Arial" w:cs="Arial" w:eastAsia="Arial" w:hAnsi="Arial"/>
          <w:sz w:val="15"/>
          <w:szCs w:val="15"/>
          <w:color w:val="auto"/>
        </w:rPr>
        <w:t>. The Administrator may at any time amend, alter, suspend or terminate the Plan.</w:t>
      </w:r>
    </w:p>
    <w:p>
      <w:pPr>
        <w:spacing w:after="0" w:line="207" w:lineRule="exact"/>
        <w:rPr>
          <w:rFonts w:ascii="Arial" w:cs="Arial" w:eastAsia="Arial" w:hAnsi="Arial"/>
          <w:sz w:val="15"/>
          <w:szCs w:val="15"/>
          <w:color w:val="auto"/>
        </w:rPr>
      </w:pPr>
    </w:p>
    <w:p>
      <w:pPr>
        <w:ind w:firstLine="1106"/>
        <w:spacing w:after="0" w:line="264" w:lineRule="auto"/>
        <w:tabs>
          <w:tab w:leader="none" w:pos="1673"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Company will obtain stockholder approval of any Plan amendment to the extent necessary and desirable to comply with Applicable Laws.</w:t>
      </w:r>
    </w:p>
    <w:p>
      <w:pPr>
        <w:spacing w:after="0" w:line="146" w:lineRule="exact"/>
        <w:rPr>
          <w:rFonts w:ascii="Arial" w:cs="Arial" w:eastAsia="Arial" w:hAnsi="Arial"/>
          <w:sz w:val="17"/>
          <w:szCs w:val="17"/>
          <w:color w:val="auto"/>
        </w:rPr>
      </w:pPr>
    </w:p>
    <w:p>
      <w:pPr>
        <w:jc w:val="both"/>
        <w:ind w:firstLine="1106"/>
        <w:spacing w:after="0" w:line="292" w:lineRule="auto"/>
        <w:tabs>
          <w:tab w:leader="none" w:pos="1663" w:val="left"/>
        </w:tabs>
        <w:numPr>
          <w:ilvl w:val="1"/>
          <w:numId w:val="48"/>
        </w:numPr>
        <w:rPr>
          <w:rFonts w:ascii="Arial" w:cs="Arial" w:eastAsia="Arial" w:hAnsi="Arial"/>
          <w:sz w:val="15"/>
          <w:szCs w:val="15"/>
          <w:color w:val="auto"/>
        </w:rPr>
      </w:pPr>
      <w:r>
        <w:rPr>
          <w:rFonts w:ascii="Arial" w:cs="Arial" w:eastAsia="Arial" w:hAnsi="Arial"/>
          <w:sz w:val="15"/>
          <w:szCs w:val="15"/>
          <w:u w:val="single" w:color="auto"/>
          <w:color w:val="auto"/>
        </w:rPr>
        <w:t>Effect of Amendment or Termination</w:t>
      </w:r>
      <w:r>
        <w:rPr>
          <w:rFonts w:ascii="Arial" w:cs="Arial" w:eastAsia="Arial" w:hAnsi="Arial"/>
          <w:sz w:val="15"/>
          <w:szCs w:val="15"/>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28" w:lineRule="exact"/>
        <w:rPr>
          <w:rFonts w:ascii="Arial" w:cs="Arial" w:eastAsia="Arial" w:hAnsi="Arial"/>
          <w:sz w:val="15"/>
          <w:szCs w:val="15"/>
          <w:color w:val="auto"/>
        </w:rPr>
      </w:pPr>
    </w:p>
    <w:p>
      <w:pPr>
        <w:ind w:left="1100" w:hanging="548"/>
        <w:spacing w:after="0"/>
        <w:tabs>
          <w:tab w:leader="none" w:pos="110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Conditions Upon Issuance of Shares</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firstLine="1106"/>
        <w:spacing w:after="0" w:line="252" w:lineRule="auto"/>
        <w:tabs>
          <w:tab w:leader="none" w:pos="1663" w:val="left"/>
        </w:tabs>
        <w:numPr>
          <w:ilvl w:val="1"/>
          <w:numId w:val="48"/>
        </w:numPr>
        <w:rPr>
          <w:rFonts w:ascii="Arial" w:cs="Arial" w:eastAsia="Arial" w:hAnsi="Arial"/>
          <w:sz w:val="17"/>
          <w:szCs w:val="17"/>
          <w:color w:val="auto"/>
        </w:rPr>
      </w:pPr>
      <w:r>
        <w:rPr>
          <w:rFonts w:ascii="Arial" w:cs="Arial" w:eastAsia="Arial" w:hAnsi="Arial"/>
          <w:sz w:val="17"/>
          <w:szCs w:val="17"/>
          <w:color w:val="auto"/>
        </w:rPr>
        <w:t>Legal Compliance.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56" w:lineRule="exact"/>
        <w:rPr>
          <w:rFonts w:ascii="Arial" w:cs="Arial" w:eastAsia="Arial" w:hAnsi="Arial"/>
          <w:sz w:val="17"/>
          <w:szCs w:val="17"/>
          <w:color w:val="auto"/>
        </w:rPr>
      </w:pPr>
    </w:p>
    <w:p>
      <w:pPr>
        <w:jc w:val="both"/>
        <w:ind w:firstLine="1106"/>
        <w:spacing w:after="0" w:line="248" w:lineRule="auto"/>
        <w:tabs>
          <w:tab w:leader="none" w:pos="1673"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0" w:lineRule="exact"/>
        <w:rPr>
          <w:rFonts w:ascii="Arial" w:cs="Arial" w:eastAsia="Arial" w:hAnsi="Arial"/>
          <w:sz w:val="17"/>
          <w:szCs w:val="17"/>
          <w:color w:val="auto"/>
        </w:rPr>
      </w:pPr>
    </w:p>
    <w:p>
      <w:pPr>
        <w:jc w:val="both"/>
        <w:ind w:firstLine="552"/>
        <w:spacing w:after="0" w:line="244" w:lineRule="auto"/>
        <w:tabs>
          <w:tab w:leader="none" w:pos="111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or to complete or comply with the requirements of any registration or other qualification of the Shares under any state, federal or foreign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5937250" cy="222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103" w:name="page104"/>
    <w:bookmarkEnd w:id="103"/>
    <w:p>
      <w:pPr>
        <w:jc w:val="both"/>
        <w:ind w:firstLine="552"/>
        <w:spacing w:after="0" w:line="252" w:lineRule="auto"/>
        <w:tabs>
          <w:tab w:leader="none" w:pos="111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5937250" cy="222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19"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STOCK OPTION AGREEMENT</w:t>
      </w:r>
    </w:p>
    <w:p>
      <w:pPr>
        <w:spacing w:after="0" w:line="167"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u w:val="single" w:color="auto"/>
          <w:color w:val="auto"/>
        </w:rPr>
        <w:t>NOTICE OF STOCK OPTION GRANT</w:t>
      </w:r>
    </w:p>
    <w:p>
      <w:pPr>
        <w:spacing w:after="0" w:line="189" w:lineRule="exact"/>
        <w:rPr>
          <w:sz w:val="20"/>
          <w:szCs w:val="20"/>
          <w:color w:val="auto"/>
        </w:rPr>
      </w:pPr>
    </w:p>
    <w:p>
      <w:pPr>
        <w:jc w:val="both"/>
        <w:ind w:firstLine="553"/>
        <w:spacing w:after="0" w:line="301" w:lineRule="auto"/>
        <w:rPr>
          <w:sz w:val="20"/>
          <w:szCs w:val="20"/>
          <w:color w:val="auto"/>
        </w:rPr>
      </w:pPr>
      <w:r>
        <w:rPr>
          <w:rFonts w:ascii="Arial" w:cs="Arial" w:eastAsia="Arial" w:hAnsi="Arial"/>
          <w:sz w:val="15"/>
          <w:szCs w:val="15"/>
          <w:color w:val="auto"/>
        </w:rPr>
        <w:t>Unless otherwise defined herein, the terms defined in the Pulse Biosciences, Inc. 2017 Equity Incentive Plan (the “Plan”) will have the same defined meanings in this Stock Option Agreement including the Notice of Stock Option Grant (the “Notice of Grant”), the Terms and Conditions of Stock Option Grant, and the appendices and exhibits attached thereto (all together, the “Award Agreement”).</w:t>
      </w:r>
    </w:p>
    <w:p>
      <w:pPr>
        <w:sectPr>
          <w:pgSz w:w="11900" w:h="16838" w:orient="portrait"/>
          <w:cols w:equalWidth="0" w:num="1">
            <w:col w:w="9320"/>
          </w:cols>
          <w:pgMar w:left="1420" w:top="317" w:right="11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Name (“Participant”):</w:t>
      </w:r>
    </w:p>
    <w:p>
      <w:pPr>
        <w:spacing w:after="0" w:line="4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«Address»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«CityStateZip»</w:t>
      </w:r>
    </w:p>
    <w:p>
      <w:pPr>
        <w:spacing w:after="0" w:line="200" w:lineRule="exact"/>
        <w:rPr>
          <w:sz w:val="20"/>
          <w:szCs w:val="20"/>
          <w:color w:val="auto"/>
        </w:rPr>
      </w:pPr>
    </w:p>
    <w:p>
      <w:pPr>
        <w:sectPr>
          <w:pgSz w:w="11900" w:h="16838" w:orient="portrait"/>
          <w:cols w:equalWidth="0" w:num="2">
            <w:col w:w="2380" w:space="720"/>
            <w:col w:w="6220"/>
          </w:cols>
          <w:pgMar w:left="1420" w:top="317" w:right="1159" w:bottom="1440" w:gutter="0" w:footer="0" w:header="0"/>
          <w:type w:val="continuous"/>
        </w:sectPr>
      </w:pPr>
    </w:p>
    <w:p>
      <w:pPr>
        <w:spacing w:after="0" w:line="374" w:lineRule="exact"/>
        <w:rPr>
          <w:sz w:val="20"/>
          <w:szCs w:val="20"/>
          <w:color w:val="auto"/>
        </w:rPr>
      </w:pPr>
    </w:p>
    <w:p>
      <w:pPr>
        <w:ind w:firstLine="553"/>
        <w:spacing w:after="0" w:line="264" w:lineRule="auto"/>
        <w:rPr>
          <w:sz w:val="20"/>
          <w:szCs w:val="20"/>
          <w:color w:val="auto"/>
        </w:rPr>
      </w:pPr>
      <w:r>
        <w:rPr>
          <w:rFonts w:ascii="Arial" w:cs="Arial" w:eastAsia="Arial" w:hAnsi="Arial"/>
          <w:sz w:val="17"/>
          <w:szCs w:val="17"/>
          <w:color w:val="auto"/>
        </w:rPr>
        <w:t>The undersigned Participant has been granted an Option to purchase Common Stock of Pulse Biosciences, Inc. (the “Company”), subject to the terms and conditions of the Plan and this Award Agreement, as follows:</w:t>
      </w:r>
    </w:p>
    <w:p>
      <w:pPr>
        <w:sectPr>
          <w:pgSz w:w="11900" w:h="16838" w:orient="portrait"/>
          <w:cols w:equalWidth="0" w:num="1">
            <w:col w:w="9320"/>
          </w:cols>
          <w:pgMar w:left="1420" w:top="317" w:right="11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Date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680"/>
        <w:spacing w:after="0"/>
        <w:rPr>
          <w:sz w:val="20"/>
          <w:szCs w:val="20"/>
          <w:color w:val="auto"/>
        </w:rPr>
      </w:pPr>
      <w:r>
        <w:rPr>
          <w:rFonts w:ascii="Arial" w:cs="Arial" w:eastAsia="Arial" w:hAnsi="Arial"/>
          <w:sz w:val="15"/>
          <w:szCs w:val="15"/>
          <w:color w:val="auto"/>
        </w:rPr>
        <w:t>«GrantDate»</w:t>
      </w:r>
    </w:p>
    <w:p>
      <w:pPr>
        <w:spacing w:after="0" w:line="104" w:lineRule="exact"/>
        <w:rPr>
          <w:sz w:val="20"/>
          <w:szCs w:val="20"/>
          <w:color w:val="auto"/>
        </w:rPr>
      </w:pPr>
    </w:p>
    <w:p>
      <w:pPr>
        <w:sectPr>
          <w:pgSz w:w="11900" w:h="16838" w:orient="portrait"/>
          <w:cols w:equalWidth="0" w:num="2">
            <w:col w:w="4040" w:space="720"/>
            <w:col w:w="4560"/>
          </w:cols>
          <w:pgMar w:left="1420" w:top="317" w:right="1159" w:bottom="1440" w:gutter="0" w:footer="0" w:header="0"/>
          <w:type w:val="continuous"/>
        </w:sectPr>
      </w:pPr>
    </w:p>
    <w:p>
      <w:pPr>
        <w:ind w:left="100"/>
        <w:spacing w:after="0"/>
        <w:rPr>
          <w:sz w:val="20"/>
          <w:szCs w:val="20"/>
          <w:color w:val="auto"/>
        </w:rPr>
      </w:pPr>
      <w:r>
        <w:rPr>
          <w:rFonts w:ascii="Arial" w:cs="Arial" w:eastAsia="Arial" w:hAnsi="Arial"/>
          <w:sz w:val="15"/>
          <w:szCs w:val="15"/>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«VCD»</w:t>
      </w:r>
    </w:p>
    <w:p>
      <w:pPr>
        <w:spacing w:after="0" w:line="93" w:lineRule="exact"/>
        <w:rPr>
          <w:sz w:val="20"/>
          <w:szCs w:val="20"/>
          <w:color w:val="auto"/>
        </w:rPr>
      </w:pPr>
    </w:p>
    <w:p>
      <w:pPr>
        <w:sectPr>
          <w:pgSz w:w="11900" w:h="16838" w:orient="portrait"/>
          <w:cols w:equalWidth="0" w:num="2">
            <w:col w:w="4040" w:space="720"/>
            <w:col w:w="4560"/>
          </w:cols>
          <w:pgMar w:left="1420" w:top="317" w:right="1159" w:bottom="1440" w:gutter="0" w:footer="0" w:header="0"/>
          <w:type w:val="continuous"/>
        </w:sectPr>
      </w:pPr>
    </w:p>
    <w:p>
      <w:pPr>
        <w:ind w:left="100"/>
        <w:spacing w:after="0"/>
        <w:rPr>
          <w:sz w:val="20"/>
          <w:szCs w:val="20"/>
          <w:color w:val="auto"/>
        </w:rPr>
      </w:pPr>
      <w:r>
        <w:rPr>
          <w:rFonts w:ascii="Arial" w:cs="Arial" w:eastAsia="Arial" w:hAnsi="Arial"/>
          <w:sz w:val="15"/>
          <w:szCs w:val="15"/>
          <w:color w:val="auto"/>
        </w:rPr>
        <w:t>Number of Shares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«Shares»</w:t>
      </w:r>
    </w:p>
    <w:p>
      <w:pPr>
        <w:spacing w:after="0" w:line="115" w:lineRule="exact"/>
        <w:rPr>
          <w:sz w:val="20"/>
          <w:szCs w:val="20"/>
          <w:color w:val="auto"/>
        </w:rPr>
      </w:pPr>
    </w:p>
    <w:p>
      <w:pPr>
        <w:sectPr>
          <w:pgSz w:w="11900" w:h="16838" w:orient="portrait"/>
          <w:cols w:equalWidth="0" w:num="2">
            <w:col w:w="4040" w:space="720"/>
            <w:col w:w="4560"/>
          </w:cols>
          <w:pgMar w:left="1420" w:top="317" w:right="1159" w:bottom="1440" w:gutter="0" w:footer="0" w:header="0"/>
          <w:type w:val="continuous"/>
        </w:sectPr>
      </w:pPr>
    </w:p>
    <w:p>
      <w:pPr>
        <w:ind w:left="100"/>
        <w:spacing w:after="0"/>
        <w:rPr>
          <w:sz w:val="20"/>
          <w:szCs w:val="20"/>
          <w:color w:val="auto"/>
        </w:rPr>
      </w:pPr>
      <w:r>
        <w:rPr>
          <w:rFonts w:ascii="Arial" w:cs="Arial" w:eastAsia="Arial" w:hAnsi="Arial"/>
          <w:sz w:val="15"/>
          <w:szCs w:val="15"/>
          <w:color w:val="auto"/>
        </w:rPr>
        <w:t>Exercise Price per Share</w:t>
      </w:r>
    </w:p>
    <w:p>
      <w:pPr>
        <w:spacing w:after="0" w:line="20" w:lineRule="exact"/>
        <w:rPr>
          <w:sz w:val="20"/>
          <w:szCs w:val="20"/>
          <w:color w:val="auto"/>
        </w:rPr>
      </w:pPr>
      <w:r>
        <w:rPr>
          <w:sz w:val="20"/>
          <w:szCs w:val="20"/>
          <w:color w:val="auto"/>
        </w:rPr>
        <w:br w:type="column"/>
      </w:r>
    </w:p>
    <w:p>
      <w:pPr>
        <w:jc w:val="center"/>
        <w:ind w:right="3260"/>
        <w:spacing w:after="0"/>
        <w:rPr>
          <w:sz w:val="20"/>
          <w:szCs w:val="20"/>
          <w:color w:val="auto"/>
        </w:rPr>
      </w:pPr>
      <w:r>
        <w:rPr>
          <w:rFonts w:ascii="Arial" w:cs="Arial" w:eastAsia="Arial" w:hAnsi="Arial"/>
          <w:sz w:val="14"/>
          <w:szCs w:val="14"/>
          <w:color w:val="auto"/>
        </w:rPr>
        <w:t>$«Purchase_Price»</w:t>
      </w:r>
    </w:p>
    <w:p>
      <w:pPr>
        <w:spacing w:after="0" w:line="115" w:lineRule="exact"/>
        <w:rPr>
          <w:sz w:val="20"/>
          <w:szCs w:val="20"/>
          <w:color w:val="auto"/>
        </w:rPr>
      </w:pPr>
    </w:p>
    <w:p>
      <w:pPr>
        <w:sectPr>
          <w:pgSz w:w="11900" w:h="16838" w:orient="portrait"/>
          <w:cols w:equalWidth="0" w:num="2">
            <w:col w:w="4040" w:space="720"/>
            <w:col w:w="4560"/>
          </w:cols>
          <w:pgMar w:left="1420" w:top="317" w:right="1159" w:bottom="1440" w:gutter="0" w:footer="0" w:header="0"/>
          <w:type w:val="continuous"/>
        </w:sectPr>
      </w:pPr>
    </w:p>
    <w:p>
      <w:pPr>
        <w:ind w:left="100"/>
        <w:spacing w:after="0"/>
        <w:rPr>
          <w:sz w:val="20"/>
          <w:szCs w:val="20"/>
          <w:color w:val="auto"/>
        </w:rPr>
      </w:pPr>
      <w:r>
        <w:rPr>
          <w:rFonts w:ascii="Arial" w:cs="Arial" w:eastAsia="Arial" w:hAnsi="Arial"/>
          <w:sz w:val="15"/>
          <w:szCs w:val="15"/>
          <w:color w:val="auto"/>
        </w:rPr>
        <w:t>Total Exercise Price</w:t>
      </w:r>
    </w:p>
    <w:p>
      <w:pPr>
        <w:spacing w:after="0" w:line="20" w:lineRule="exact"/>
        <w:rPr>
          <w:sz w:val="20"/>
          <w:szCs w:val="20"/>
          <w:color w:val="auto"/>
        </w:rPr>
      </w:pPr>
      <w:r>
        <w:rPr>
          <w:sz w:val="20"/>
          <w:szCs w:val="20"/>
          <w:color w:val="auto"/>
        </w:rPr>
        <w:br w:type="column"/>
      </w:r>
    </w:p>
    <w:p>
      <w:pPr>
        <w:jc w:val="center"/>
        <w:ind w:right="3260"/>
        <w:spacing w:after="0"/>
        <w:rPr>
          <w:sz w:val="20"/>
          <w:szCs w:val="20"/>
          <w:color w:val="auto"/>
        </w:rPr>
      </w:pPr>
      <w:r>
        <w:rPr>
          <w:rFonts w:ascii="Arial" w:cs="Arial" w:eastAsia="Arial" w:hAnsi="Arial"/>
          <w:sz w:val="14"/>
          <w:szCs w:val="14"/>
          <w:color w:val="auto"/>
        </w:rPr>
        <w:t>$«Purchase_Price»</w:t>
      </w:r>
    </w:p>
    <w:p>
      <w:pPr>
        <w:spacing w:after="0" w:line="115" w:lineRule="exact"/>
        <w:rPr>
          <w:sz w:val="20"/>
          <w:szCs w:val="20"/>
          <w:color w:val="auto"/>
        </w:rPr>
      </w:pPr>
    </w:p>
    <w:p>
      <w:pPr>
        <w:sectPr>
          <w:pgSz w:w="11900" w:h="16838" w:orient="portrait"/>
          <w:cols w:equalWidth="0" w:num="2">
            <w:col w:w="4040" w:space="720"/>
            <w:col w:w="4560"/>
          </w:cols>
          <w:pgMar w:left="1420" w:top="317" w:right="1159" w:bottom="1440" w:gutter="0" w:footer="0" w:header="0"/>
          <w:type w:val="continuous"/>
        </w:sectPr>
      </w:pPr>
    </w:p>
    <w:p>
      <w:pPr>
        <w:ind w:left="100"/>
        <w:spacing w:after="0"/>
        <w:rPr>
          <w:sz w:val="20"/>
          <w:szCs w:val="20"/>
          <w:color w:val="auto"/>
        </w:rPr>
      </w:pPr>
      <w:r>
        <w:rPr>
          <w:rFonts w:ascii="Arial" w:cs="Arial" w:eastAsia="Arial" w:hAnsi="Arial"/>
          <w:sz w:val="15"/>
          <w:szCs w:val="15"/>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___ Incentive Stock Option</w:t>
      </w:r>
    </w:p>
    <w:p>
      <w:pPr>
        <w:spacing w:after="0" w:line="104" w:lineRule="exact"/>
        <w:rPr>
          <w:sz w:val="20"/>
          <w:szCs w:val="20"/>
          <w:color w:val="auto"/>
        </w:rPr>
      </w:pPr>
    </w:p>
    <w:p>
      <w:pPr>
        <w:sectPr>
          <w:pgSz w:w="11900" w:h="16838" w:orient="portrait"/>
          <w:cols w:equalWidth="0" w:num="2">
            <w:col w:w="4040" w:space="720"/>
            <w:col w:w="4560"/>
          </w:cols>
          <w:pgMar w:left="1420" w:top="317" w:right="1159" w:bottom="1440" w:gutter="0" w:footer="0" w:header="0"/>
          <w:type w:val="continuous"/>
        </w:sectPr>
      </w:pPr>
    </w:p>
    <w:p>
      <w:pPr>
        <w:ind w:left="4760"/>
        <w:spacing w:after="0"/>
        <w:rPr>
          <w:sz w:val="20"/>
          <w:szCs w:val="20"/>
          <w:color w:val="auto"/>
        </w:rPr>
      </w:pPr>
      <w:r>
        <w:rPr>
          <w:rFonts w:ascii="Arial" w:cs="Arial" w:eastAsia="Arial" w:hAnsi="Arial"/>
          <w:sz w:val="15"/>
          <w:szCs w:val="15"/>
          <w:color w:val="auto"/>
        </w:rPr>
        <w:t>___ Nonstatutory Stock Option</w:t>
      </w:r>
    </w:p>
    <w:p>
      <w:pPr>
        <w:sectPr>
          <w:pgSz w:w="11900" w:h="16838" w:orient="portrait"/>
          <w:cols w:equalWidth="0" w:num="1">
            <w:col w:w="9320"/>
          </w:cols>
          <w:pgMar w:left="1420" w:top="317" w:right="1159" w:bottom="1440" w:gutter="0" w:footer="0" w:header="0"/>
          <w:type w:val="continuous"/>
        </w:sectPr>
      </w:pPr>
    </w:p>
    <w:p>
      <w:pPr>
        <w:spacing w:after="0" w:line="10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Term/Expiration Date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«GrantDate»</w:t>
      </w:r>
    </w:p>
    <w:p>
      <w:pPr>
        <w:spacing w:after="0" w:line="200" w:lineRule="exact"/>
        <w:rPr>
          <w:sz w:val="20"/>
          <w:szCs w:val="20"/>
          <w:color w:val="auto"/>
        </w:rPr>
      </w:pPr>
    </w:p>
    <w:p>
      <w:pPr>
        <w:sectPr>
          <w:pgSz w:w="11900" w:h="16838" w:orient="portrait"/>
          <w:cols w:equalWidth="0" w:num="2">
            <w:col w:w="4040" w:space="720"/>
            <w:col w:w="4560"/>
          </w:cols>
          <w:pgMar w:left="1420" w:top="317" w:right="1159" w:bottom="1440" w:gutter="0" w:footer="0" w:header="0"/>
          <w:type w:val="continuous"/>
        </w:sectPr>
      </w:pPr>
    </w:p>
    <w:p>
      <w:pPr>
        <w:spacing w:after="0" w:line="204" w:lineRule="exact"/>
        <w:rPr>
          <w:sz w:val="20"/>
          <w:szCs w:val="20"/>
          <w:color w:val="auto"/>
        </w:rPr>
      </w:pPr>
    </w:p>
    <w:p>
      <w:pPr>
        <w:ind w:left="560"/>
        <w:spacing w:after="0"/>
        <w:rPr>
          <w:sz w:val="20"/>
          <w:szCs w:val="20"/>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w:t>
      </w:r>
    </w:p>
    <w:p>
      <w:pPr>
        <w:spacing w:after="0" w:line="185"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7"/>
          <w:szCs w:val="17"/>
          <w:color w:val="auto"/>
        </w:rPr>
        <w:t>Subject to accelerated vesting as set forth below or in the Plan, this Option will be exercisable, in whole or in part, in accordance with the following schedule:</w:t>
      </w:r>
    </w:p>
    <w:p>
      <w:pPr>
        <w:spacing w:after="0" w:line="142" w:lineRule="exact"/>
        <w:rPr>
          <w:sz w:val="20"/>
          <w:szCs w:val="20"/>
          <w:color w:val="auto"/>
        </w:rPr>
      </w:pPr>
    </w:p>
    <w:p>
      <w:pPr>
        <w:jc w:val="both"/>
        <w:ind w:firstLine="553"/>
        <w:spacing w:after="0" w:line="248" w:lineRule="auto"/>
        <w:rPr>
          <w:sz w:val="20"/>
          <w:szCs w:val="20"/>
          <w:color w:val="auto"/>
        </w:rPr>
      </w:pPr>
      <w:r>
        <w:rPr>
          <w:rFonts w:ascii="Arial" w:cs="Arial" w:eastAsia="Arial" w:hAnsi="Arial"/>
          <w:sz w:val="18"/>
          <w:szCs w:val="18"/>
          <w:color w:val="auto"/>
        </w:rPr>
        <w:t>[Insert Vesting Schedule, e.g.: Twenty-five percent (25%) of the Shares subject to the Option shall vest on the one (1) year anniversary of the Vesting Commencement Date, and one forty-eighth (1/48</w:t>
      </w:r>
      <w:r>
        <w:rPr>
          <w:rFonts w:ascii="Arial" w:cs="Arial" w:eastAsia="Arial" w:hAnsi="Arial"/>
          <w:sz w:val="9"/>
          <w:szCs w:val="9"/>
          <w:color w:val="auto"/>
        </w:rPr>
        <w:t>th</w:t>
      </w:r>
      <w:r>
        <w:rPr>
          <w:rFonts w:ascii="Arial" w:cs="Arial" w:eastAsia="Arial" w:hAnsi="Arial"/>
          <w:sz w:val="18"/>
          <w:szCs w:val="18"/>
          <w:color w:val="auto"/>
        </w:rPr>
        <w:t>) of the Shares subject to the Option shall vest each month thereafter on the same day of the month as the Vesting Commencement Date (and if there is no corresponding day, on the last day of the month), subject to Participant continuing to be a Service Provider through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5937250" cy="222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17" w:right="1159" w:bottom="1440" w:gutter="0" w:footer="0" w:header="0"/>
          <w:type w:val="continuous"/>
        </w:sectPr>
      </w:pPr>
    </w:p>
    <w:bookmarkStart w:id="105" w:name="page106"/>
    <w:bookmarkEnd w:id="105"/>
    <w:p>
      <w:pPr>
        <w:ind w:left="560"/>
        <w:spacing w:after="0"/>
        <w:rPr>
          <w:sz w:val="20"/>
          <w:szCs w:val="20"/>
          <w:color w:val="auto"/>
        </w:rPr>
      </w:pPr>
      <w:r>
        <w:rPr>
          <w:rFonts w:ascii="Arial" w:cs="Arial" w:eastAsia="Arial" w:hAnsi="Arial"/>
          <w:sz w:val="17"/>
          <w:szCs w:val="17"/>
          <w:u w:val="single" w:color="auto"/>
          <w:color w:val="auto"/>
        </w:rPr>
        <w:t>Termination Period</w:t>
      </w:r>
      <w:r>
        <w:rPr>
          <w:rFonts w:ascii="Arial" w:cs="Arial" w:eastAsia="Arial" w:hAnsi="Arial"/>
          <w:sz w:val="17"/>
          <w:szCs w:val="17"/>
          <w:color w:val="auto"/>
        </w:rPr>
        <w:t>:</w:t>
      </w:r>
    </w:p>
    <w:p>
      <w:pPr>
        <w:spacing w:after="0" w:line="184" w:lineRule="exact"/>
        <w:rPr>
          <w:sz w:val="20"/>
          <w:szCs w:val="20"/>
          <w:color w:val="auto"/>
        </w:rPr>
      </w:pPr>
    </w:p>
    <w:p>
      <w:pPr>
        <w:jc w:val="both"/>
        <w:ind w:firstLine="553"/>
        <w:spacing w:after="0" w:line="268" w:lineRule="auto"/>
        <w:rPr>
          <w:sz w:val="20"/>
          <w:szCs w:val="20"/>
          <w:color w:val="auto"/>
        </w:rPr>
      </w:pPr>
      <w:r>
        <w:rPr>
          <w:rFonts w:ascii="Arial" w:cs="Arial" w:eastAsia="Arial" w:hAnsi="Arial"/>
          <w:sz w:val="16"/>
          <w:szCs w:val="16"/>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 sentence, in no event may this Option be exercised after the Term/Expiration Date as provided above and may be subject to earlier termination as provided in Section 15 of the Plan.</w:t>
      </w:r>
    </w:p>
    <w:p>
      <w:pPr>
        <w:spacing w:after="0" w:line="147" w:lineRule="exact"/>
        <w:rPr>
          <w:sz w:val="20"/>
          <w:szCs w:val="20"/>
          <w:color w:val="auto"/>
        </w:rPr>
      </w:pPr>
    </w:p>
    <w:p>
      <w:pPr>
        <w:jc w:val="both"/>
        <w:ind w:firstLine="553"/>
        <w:spacing w:after="0" w:line="263" w:lineRule="auto"/>
        <w:rPr>
          <w:sz w:val="20"/>
          <w:szCs w:val="20"/>
          <w:color w:val="auto"/>
        </w:rPr>
      </w:pPr>
      <w:r>
        <w:rPr>
          <w:rFonts w:ascii="Arial" w:cs="Arial" w:eastAsia="Arial" w:hAnsi="Arial"/>
          <w:sz w:val="16"/>
          <w:szCs w:val="16"/>
          <w:color w:val="auto"/>
        </w:rPr>
        <w:t>Participant acknowledges receipt of a copy of the Plan and represents that he or she is familiar with the terms and provisions thereof, and hereby accepts this Award Agreement subject to all of the terms and provisions thereof. Participant has reviewed the Plan and this Award Agreement in their entirety, has had an opportunity to obtain the advice of counsel prior to executing this Award Agreement and fully understands all provisions of this Award Agreement. Participant hereby agrees to accept as binding, conclusive and final all decisions or interpretations of the Administrator upon any questions arising under the Plan or this Award Agreement. Participant further agrees to notify the Company upon any change in the residence address indicated below.</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Pr>
          <w:p>
            <w:pPr>
              <w:ind w:left="100"/>
              <w:spacing w:after="0"/>
              <w:rPr>
                <w:sz w:val="20"/>
                <w:szCs w:val="20"/>
                <w:color w:val="auto"/>
              </w:rPr>
            </w:pPr>
            <w:r>
              <w:rPr>
                <w:rFonts w:ascii="Arial" w:cs="Arial" w:eastAsia="Arial" w:hAnsi="Arial"/>
                <w:sz w:val="17"/>
                <w:szCs w:val="17"/>
                <w:color w:val="auto"/>
              </w:rPr>
              <w:t>PARTICIPANT</w:t>
            </w:r>
          </w:p>
        </w:tc>
        <w:tc>
          <w:tcPr>
            <w:tcW w:w="7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7"/>
                <w:szCs w:val="17"/>
                <w:color w:val="auto"/>
              </w:rPr>
              <w:t>PULSE BIOSCIENCES, INC.</w:t>
            </w:r>
          </w:p>
        </w:tc>
        <w:tc>
          <w:tcPr>
            <w:tcW w:w="0" w:type="dxa"/>
            <w:vAlign w:val="bottom"/>
          </w:tcPr>
          <w:p>
            <w:pPr>
              <w:spacing w:after="0"/>
              <w:rPr>
                <w:sz w:val="1"/>
                <w:szCs w:val="1"/>
                <w:color w:val="auto"/>
              </w:rPr>
            </w:pPr>
          </w:p>
        </w:tc>
      </w:tr>
      <w:tr>
        <w:trPr>
          <w:trHeight w:val="653"/>
        </w:trPr>
        <w:tc>
          <w:tcPr>
            <w:tcW w:w="414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40" w:type="dxa"/>
            <w:vAlign w:val="bottom"/>
          </w:tcPr>
          <w:p>
            <w:pPr>
              <w:ind w:left="100"/>
              <w:spacing w:after="0"/>
              <w:rPr>
                <w:sz w:val="20"/>
                <w:szCs w:val="20"/>
                <w:color w:val="auto"/>
              </w:rPr>
            </w:pPr>
            <w:r>
              <w:rPr>
                <w:rFonts w:ascii="Arial" w:cs="Arial" w:eastAsia="Arial" w:hAnsi="Arial"/>
                <w:sz w:val="17"/>
                <w:szCs w:val="17"/>
                <w:color w:val="auto"/>
              </w:rPr>
              <w:t>Signature</w:t>
            </w:r>
          </w:p>
        </w:tc>
        <w:tc>
          <w:tcPr>
            <w:tcW w:w="700" w:type="dxa"/>
            <w:vAlign w:val="bottom"/>
          </w:tcPr>
          <w:p>
            <w:pPr>
              <w:spacing w:after="0"/>
              <w:rPr>
                <w:sz w:val="17"/>
                <w:szCs w:val="17"/>
                <w:color w:val="auto"/>
              </w:rPr>
            </w:pPr>
          </w:p>
        </w:tc>
        <w:tc>
          <w:tcPr>
            <w:tcW w:w="4480" w:type="dxa"/>
            <w:vAlign w:val="bottom"/>
          </w:tcPr>
          <w:p>
            <w:pPr>
              <w:ind w:left="100"/>
              <w:spacing w:after="0"/>
              <w:rPr>
                <w:sz w:val="20"/>
                <w:szCs w:val="20"/>
                <w:color w:val="auto"/>
              </w:rPr>
            </w:pPr>
            <w:r>
              <w:rPr>
                <w:rFonts w:ascii="Arial" w:cs="Arial" w:eastAsia="Arial" w:hAnsi="Arial"/>
                <w:sz w:val="17"/>
                <w:szCs w:val="17"/>
                <w:color w:val="auto"/>
              </w:rPr>
              <w:t>By</w:t>
            </w:r>
          </w:p>
        </w:tc>
        <w:tc>
          <w:tcPr>
            <w:tcW w:w="0" w:type="dxa"/>
            <w:vAlign w:val="bottom"/>
          </w:tcPr>
          <w:p>
            <w:pPr>
              <w:spacing w:after="0"/>
              <w:rPr>
                <w:sz w:val="1"/>
                <w:szCs w:val="1"/>
                <w:color w:val="auto"/>
              </w:rPr>
            </w:pPr>
          </w:p>
        </w:tc>
      </w:tr>
      <w:tr>
        <w:trPr>
          <w:trHeight w:val="212"/>
        </w:trPr>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«Name»</w:t>
            </w:r>
          </w:p>
        </w:tc>
        <w:tc>
          <w:tcPr>
            <w:tcW w:w="700" w:type="dxa"/>
            <w:vAlign w:val="bottom"/>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40" w:type="dxa"/>
            <w:vAlign w:val="bottom"/>
          </w:tcPr>
          <w:p>
            <w:pPr>
              <w:ind w:left="100"/>
              <w:spacing w:after="0"/>
              <w:rPr>
                <w:sz w:val="20"/>
                <w:szCs w:val="20"/>
                <w:color w:val="auto"/>
              </w:rPr>
            </w:pPr>
            <w:r>
              <w:rPr>
                <w:rFonts w:ascii="Arial" w:cs="Arial" w:eastAsia="Arial" w:hAnsi="Arial"/>
                <w:sz w:val="17"/>
                <w:szCs w:val="17"/>
                <w:color w:val="auto"/>
              </w:rPr>
              <w:t>Print Name</w:t>
            </w:r>
          </w:p>
        </w:tc>
        <w:tc>
          <w:tcPr>
            <w:tcW w:w="700" w:type="dxa"/>
            <w:vAlign w:val="bottom"/>
          </w:tcPr>
          <w:p>
            <w:pPr>
              <w:spacing w:after="0"/>
              <w:rPr>
                <w:sz w:val="17"/>
                <w:szCs w:val="17"/>
                <w:color w:val="auto"/>
              </w:rPr>
            </w:pPr>
          </w:p>
        </w:tc>
        <w:tc>
          <w:tcPr>
            <w:tcW w:w="4480" w:type="dxa"/>
            <w:vAlign w:val="bottom"/>
          </w:tcPr>
          <w:p>
            <w:pPr>
              <w:ind w:left="100"/>
              <w:spacing w:after="0"/>
              <w:rPr>
                <w:sz w:val="20"/>
                <w:szCs w:val="20"/>
                <w:color w:val="auto"/>
              </w:rPr>
            </w:pPr>
            <w:r>
              <w:rPr>
                <w:rFonts w:ascii="Arial" w:cs="Arial" w:eastAsia="Arial" w:hAnsi="Arial"/>
                <w:sz w:val="17"/>
                <w:szCs w:val="17"/>
                <w:color w:val="auto"/>
              </w:rPr>
              <w:t>Print Name</w:t>
            </w:r>
          </w:p>
        </w:tc>
        <w:tc>
          <w:tcPr>
            <w:tcW w:w="0" w:type="dxa"/>
            <w:vAlign w:val="bottom"/>
          </w:tcPr>
          <w:p>
            <w:pPr>
              <w:spacing w:after="0"/>
              <w:rPr>
                <w:sz w:val="1"/>
                <w:szCs w:val="1"/>
                <w:color w:val="auto"/>
              </w:rPr>
            </w:pPr>
          </w:p>
        </w:tc>
      </w:tr>
      <w:tr>
        <w:trPr>
          <w:trHeight w:val="431"/>
        </w:trPr>
        <w:tc>
          <w:tcPr>
            <w:tcW w:w="4140" w:type="dxa"/>
            <w:vAlign w:val="bottom"/>
            <w:vMerge w:val="restart"/>
          </w:tcPr>
          <w:p>
            <w:pPr>
              <w:ind w:left="100"/>
              <w:spacing w:after="0"/>
              <w:rPr>
                <w:sz w:val="20"/>
                <w:szCs w:val="20"/>
                <w:color w:val="auto"/>
              </w:rPr>
            </w:pPr>
            <w:r>
              <w:rPr>
                <w:rFonts w:ascii="Arial" w:cs="Arial" w:eastAsia="Arial" w:hAnsi="Arial"/>
                <w:sz w:val="17"/>
                <w:szCs w:val="17"/>
                <w:color w:val="auto"/>
              </w:rPr>
              <w:t>Address:</w:t>
            </w:r>
          </w:p>
        </w:tc>
        <w:tc>
          <w:tcPr>
            <w:tcW w:w="70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4480" w:type="dxa"/>
            <w:vAlign w:val="bottom"/>
          </w:tcPr>
          <w:p>
            <w:pPr>
              <w:ind w:left="100"/>
              <w:spacing w:after="0"/>
              <w:rPr>
                <w:sz w:val="20"/>
                <w:szCs w:val="20"/>
                <w:color w:val="auto"/>
              </w:rPr>
            </w:pPr>
            <w:r>
              <w:rPr>
                <w:rFonts w:ascii="Arial" w:cs="Arial" w:eastAsia="Arial" w:hAnsi="Arial"/>
                <w:sz w:val="17"/>
                <w:szCs w:val="17"/>
                <w:color w:val="auto"/>
              </w:rPr>
              <w:t>Title</w:t>
            </w:r>
          </w:p>
        </w:tc>
        <w:tc>
          <w:tcPr>
            <w:tcW w:w="0" w:type="dxa"/>
            <w:vAlign w:val="bottom"/>
          </w:tcPr>
          <w:p>
            <w:pPr>
              <w:spacing w:after="0"/>
              <w:rPr>
                <w:sz w:val="1"/>
                <w:szCs w:val="1"/>
                <w:color w:val="auto"/>
              </w:rPr>
            </w:pPr>
          </w:p>
        </w:tc>
      </w:tr>
      <w:tr>
        <w:trPr>
          <w:trHeight w:val="431"/>
        </w:trPr>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«Address»</w:t>
            </w:r>
          </w:p>
        </w:tc>
        <w:tc>
          <w:tcPr>
            <w:tcW w:w="7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«CityStateZip»</w:t>
            </w:r>
          </w:p>
        </w:tc>
        <w:tc>
          <w:tcPr>
            <w:tcW w:w="7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5937250" cy="222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5" w:right="11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19"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STOCK OPTION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TERMS AND CONDITIONS OF STOCK OPTION GRANT</w:t>
      </w:r>
    </w:p>
    <w:p>
      <w:pPr>
        <w:spacing w:after="0" w:line="189" w:lineRule="exact"/>
        <w:rPr>
          <w:sz w:val="20"/>
          <w:szCs w:val="20"/>
          <w:color w:val="auto"/>
        </w:rPr>
      </w:pPr>
    </w:p>
    <w:p>
      <w:pPr>
        <w:jc w:val="both"/>
        <w:ind w:firstLine="552"/>
        <w:spacing w:after="0" w:line="245" w:lineRule="auto"/>
        <w:tabs>
          <w:tab w:leader="none" w:pos="83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The Company hereby grants to the individual (the “Participant”) named in the Notice of Stock Option Grant of this Award Agreement (the “Notice of Grant”) an option (the “Option”) to purchase the number of Shares, as set forth in the Notice of Grant, at the exercise price per Share set forth in the Notice of Grant (the “Exercise Price”), subject to all of the terms and conditions in this Award Agreement and the Plan, which is incorporated herein by reference. Subject to Section 20(c) of the Plan, in the event of a conflict between the terms and conditions of the Plan and the terms and conditions of this Award Agreement, the terms and conditions of the Plan will prevail.</w:t>
      </w:r>
    </w:p>
    <w:p>
      <w:pPr>
        <w:spacing w:after="0" w:line="163" w:lineRule="exact"/>
        <w:rPr>
          <w:rFonts w:ascii="Arial" w:cs="Arial" w:eastAsia="Arial" w:hAnsi="Arial"/>
          <w:sz w:val="17"/>
          <w:szCs w:val="17"/>
          <w:color w:val="auto"/>
        </w:rPr>
      </w:pPr>
    </w:p>
    <w:p>
      <w:pPr>
        <w:jc w:val="both"/>
        <w:ind w:firstLine="829"/>
        <w:spacing w:after="0" w:line="243" w:lineRule="auto"/>
        <w:tabs>
          <w:tab w:leader="none" w:pos="1686" w:val="left"/>
        </w:tabs>
        <w:numPr>
          <w:ilvl w:val="1"/>
          <w:numId w:val="50"/>
        </w:numPr>
        <w:rPr>
          <w:rFonts w:ascii="Arial" w:cs="Arial" w:eastAsia="Arial" w:hAnsi="Arial"/>
          <w:sz w:val="17"/>
          <w:szCs w:val="17"/>
          <w:color w:val="auto"/>
        </w:rPr>
      </w:pPr>
      <w:r>
        <w:rPr>
          <w:rFonts w:ascii="Arial" w:cs="Arial" w:eastAsia="Arial" w:hAnsi="Arial"/>
          <w:sz w:val="17"/>
          <w:szCs w:val="17"/>
          <w:color w:val="auto"/>
        </w:rPr>
        <w:t>For U.S. taxpayers, the Option will be designated as either an Incentive Stock Option (“ISO”) or a Nonstatutory Stock Option (“NSO”). If designated in the Notice of Grant as an ISO, this Option is intended to qualify as an ISO under Section 422 of the Internal Revenue Code of 1986, as amended (the “Code”). However, if this Option is intended to be an Incentive Stock Option, to the extent that it exceeds the $100,000 rule of Code Section 422(d) it will be treated as an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169" w:lineRule="exact"/>
        <w:rPr>
          <w:rFonts w:ascii="Arial" w:cs="Arial" w:eastAsia="Arial" w:hAnsi="Arial"/>
          <w:sz w:val="17"/>
          <w:szCs w:val="17"/>
          <w:color w:val="auto"/>
        </w:rPr>
      </w:pPr>
    </w:p>
    <w:p>
      <w:pPr>
        <w:ind w:left="1700" w:hanging="871"/>
        <w:spacing w:after="0"/>
        <w:tabs>
          <w:tab w:leader="none" w:pos="17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For non-U.S. taxpayers, the Option will be designated as an NSO.</w:t>
      </w:r>
    </w:p>
    <w:p>
      <w:pPr>
        <w:spacing w:after="0" w:line="184" w:lineRule="exact"/>
        <w:rPr>
          <w:rFonts w:ascii="Arial" w:cs="Arial" w:eastAsia="Arial" w:hAnsi="Arial"/>
          <w:sz w:val="17"/>
          <w:szCs w:val="17"/>
          <w:color w:val="auto"/>
        </w:rPr>
      </w:pPr>
    </w:p>
    <w:p>
      <w:pPr>
        <w:jc w:val="both"/>
        <w:ind w:firstLine="552"/>
        <w:spacing w:after="0" w:line="268" w:lineRule="auto"/>
        <w:tabs>
          <w:tab w:leader="none" w:pos="83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spacing w:after="0" w:line="146" w:lineRule="exact"/>
        <w:rPr>
          <w:rFonts w:ascii="Arial" w:cs="Arial" w:eastAsia="Arial" w:hAnsi="Arial"/>
          <w:sz w:val="16"/>
          <w:szCs w:val="16"/>
          <w:color w:val="auto"/>
        </w:rPr>
      </w:pPr>
    </w:p>
    <w:p>
      <w:pPr>
        <w:jc w:val="both"/>
        <w:ind w:firstLine="552"/>
        <w:spacing w:after="0" w:line="252" w:lineRule="auto"/>
        <w:tabs>
          <w:tab w:leader="none" w:pos="83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Administrator Discretion</w:t>
      </w:r>
      <w:r>
        <w:rPr>
          <w:rFonts w:ascii="Arial" w:cs="Arial" w:eastAsia="Arial" w:hAnsi="Arial"/>
          <w:sz w:val="17"/>
          <w:szCs w:val="17"/>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56" w:lineRule="exact"/>
        <w:rPr>
          <w:rFonts w:ascii="Arial" w:cs="Arial" w:eastAsia="Arial" w:hAnsi="Arial"/>
          <w:sz w:val="17"/>
          <w:szCs w:val="17"/>
          <w:color w:val="auto"/>
        </w:rPr>
      </w:pPr>
    </w:p>
    <w:p>
      <w:pPr>
        <w:ind w:left="820" w:hanging="268"/>
        <w:spacing w:after="0"/>
        <w:tabs>
          <w:tab w:leader="none" w:pos="82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firstLine="829"/>
        <w:spacing w:after="0" w:line="264" w:lineRule="auto"/>
        <w:tabs>
          <w:tab w:leader="none" w:pos="1686"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This Option may be exercised only within the term set out in the Notice of Grant, and may be exercised during such term only in accordance with the Plan and the terms of this Award Agreement.</w:t>
      </w:r>
    </w:p>
    <w:p>
      <w:pPr>
        <w:spacing w:after="0" w:line="146" w:lineRule="exact"/>
        <w:rPr>
          <w:rFonts w:ascii="Arial" w:cs="Arial" w:eastAsia="Arial" w:hAnsi="Arial"/>
          <w:sz w:val="17"/>
          <w:szCs w:val="17"/>
          <w:color w:val="auto"/>
        </w:rPr>
      </w:pPr>
    </w:p>
    <w:p>
      <w:pPr>
        <w:jc w:val="both"/>
        <w:ind w:firstLine="829"/>
        <w:spacing w:after="0" w:line="246" w:lineRule="auto"/>
        <w:tabs>
          <w:tab w:leader="none" w:pos="1696"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This Option is exercisable by delivery of an exercise notice (the “Exercise Notice”) in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5937250" cy="222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17" w:right="1159" w:bottom="1440" w:gutter="0" w:footer="0" w:header="0"/>
        </w:sectPr>
      </w:pPr>
    </w:p>
    <w:bookmarkStart w:id="107" w:name="page108"/>
    <w:bookmarkEnd w:id="107"/>
    <w:p>
      <w:pPr>
        <w:jc w:val="both"/>
        <w:ind w:firstLine="553"/>
        <w:spacing w:after="0" w:line="248" w:lineRule="auto"/>
        <w:rPr>
          <w:sz w:val="20"/>
          <w:szCs w:val="20"/>
          <w:color w:val="auto"/>
        </w:rPr>
      </w:pPr>
      <w:r>
        <w:rPr>
          <w:rFonts w:ascii="Arial" w:cs="Arial" w:eastAsia="Arial" w:hAnsi="Arial"/>
          <w:sz w:val="17"/>
          <w:szCs w:val="17"/>
          <w:color w:val="auto"/>
        </w:rPr>
        <w:t>will be completed by Participant and delivered to the Company. The Exercise Notice will be accompanied by payment of the aggregate Exercise Price as to all Exercised Shares together and of any Tax Obligations (as defined in Section 6(a)). This Option will be deemed to be exercised upon receipt by the Company of such fully executed Exercise Notice accompanied by the aggregate Exercise Price.</w:t>
      </w:r>
    </w:p>
    <w:p>
      <w:pPr>
        <w:spacing w:after="0" w:line="160" w:lineRule="exact"/>
        <w:rPr>
          <w:sz w:val="20"/>
          <w:szCs w:val="20"/>
          <w:color w:val="auto"/>
        </w:rPr>
      </w:pPr>
    </w:p>
    <w:p>
      <w:pPr>
        <w:ind w:firstLine="552"/>
        <w:spacing w:after="0" w:line="264" w:lineRule="auto"/>
        <w:tabs>
          <w:tab w:leader="none" w:pos="83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Payment of the aggregate Exercise Price will be by any of the following, or a combination thereof, at the election of Participant:</w:t>
      </w:r>
    </w:p>
    <w:p>
      <w:pPr>
        <w:spacing w:after="0" w:line="146" w:lineRule="exact"/>
        <w:rPr>
          <w:rFonts w:ascii="Arial" w:cs="Arial" w:eastAsia="Arial" w:hAnsi="Arial"/>
          <w:sz w:val="17"/>
          <w:szCs w:val="17"/>
          <w:color w:val="auto"/>
        </w:rPr>
      </w:pPr>
    </w:p>
    <w:p>
      <w:pPr>
        <w:ind w:left="1680" w:hanging="851"/>
        <w:spacing w:after="0"/>
        <w:tabs>
          <w:tab w:leader="none" w:pos="16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cash;</w:t>
      </w:r>
    </w:p>
    <w:p>
      <w:pPr>
        <w:spacing w:after="0" w:line="184" w:lineRule="exact"/>
        <w:rPr>
          <w:rFonts w:ascii="Arial" w:cs="Arial" w:eastAsia="Arial" w:hAnsi="Arial"/>
          <w:sz w:val="17"/>
          <w:szCs w:val="17"/>
          <w:color w:val="auto"/>
        </w:rPr>
      </w:pPr>
    </w:p>
    <w:p>
      <w:pPr>
        <w:ind w:left="1700" w:hanging="871"/>
        <w:spacing w:after="0"/>
        <w:tabs>
          <w:tab w:leader="none" w:pos="17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check;</w:t>
      </w:r>
    </w:p>
    <w:p>
      <w:pPr>
        <w:spacing w:after="0" w:line="184" w:lineRule="exact"/>
        <w:rPr>
          <w:rFonts w:ascii="Arial" w:cs="Arial" w:eastAsia="Arial" w:hAnsi="Arial"/>
          <w:sz w:val="17"/>
          <w:szCs w:val="17"/>
          <w:color w:val="auto"/>
        </w:rPr>
      </w:pPr>
    </w:p>
    <w:p>
      <w:pPr>
        <w:ind w:firstLine="829"/>
        <w:spacing w:after="0" w:line="264" w:lineRule="auto"/>
        <w:tabs>
          <w:tab w:leader="none" w:pos="1686" w:val="left"/>
        </w:tabs>
        <w:numPr>
          <w:ilvl w:val="1"/>
          <w:numId w:val="51"/>
        </w:numPr>
        <w:rPr>
          <w:rFonts w:ascii="Arial" w:cs="Arial" w:eastAsia="Arial" w:hAnsi="Arial"/>
          <w:sz w:val="17"/>
          <w:szCs w:val="17"/>
          <w:color w:val="auto"/>
        </w:rPr>
      </w:pPr>
      <w:r>
        <w:rPr>
          <w:rFonts w:ascii="Arial" w:cs="Arial" w:eastAsia="Arial" w:hAnsi="Arial"/>
          <w:sz w:val="17"/>
          <w:szCs w:val="17"/>
          <w:color w:val="auto"/>
        </w:rPr>
        <w:t>consideration received by the Company under a formal cashless exercise program adopted by the Company in connection with the Plan; or</w:t>
      </w:r>
    </w:p>
    <w:p>
      <w:pPr>
        <w:spacing w:after="0" w:line="146" w:lineRule="exact"/>
        <w:rPr>
          <w:rFonts w:ascii="Arial" w:cs="Arial" w:eastAsia="Arial" w:hAnsi="Arial"/>
          <w:sz w:val="17"/>
          <w:szCs w:val="17"/>
          <w:color w:val="auto"/>
        </w:rPr>
      </w:pPr>
    </w:p>
    <w:p>
      <w:pPr>
        <w:jc w:val="both"/>
        <w:ind w:firstLine="829"/>
        <w:spacing w:after="0" w:line="252" w:lineRule="auto"/>
        <w:tabs>
          <w:tab w:leader="none" w:pos="1696" w:val="left"/>
        </w:tabs>
        <w:numPr>
          <w:ilvl w:val="1"/>
          <w:numId w:val="51"/>
        </w:numPr>
        <w:rPr>
          <w:rFonts w:ascii="Arial" w:cs="Arial" w:eastAsia="Arial" w:hAnsi="Arial"/>
          <w:sz w:val="17"/>
          <w:szCs w:val="17"/>
          <w:color w:val="auto"/>
        </w:rPr>
      </w:pPr>
      <w:r>
        <w:rPr>
          <w:rFonts w:ascii="Arial" w:cs="Arial" w:eastAsia="Arial" w:hAnsi="Arial"/>
          <w:sz w:val="17"/>
          <w:szCs w:val="17"/>
          <w:color w:val="auto"/>
        </w:rPr>
        <w:t>if Participant is a U.S. employee, surrender of other Shares which have a Fair Market Value on the date of surrender equal to the aggregate Exercise Price of the Exercised Shares, provided that accepting such Shares, in the sole discretion of the Administrator, will not result in any adverse accounting consequences to the Company.</w:t>
      </w:r>
    </w:p>
    <w:p>
      <w:pPr>
        <w:spacing w:after="0" w:line="156" w:lineRule="exact"/>
        <w:rPr>
          <w:rFonts w:ascii="Arial" w:cs="Arial" w:eastAsia="Arial" w:hAnsi="Arial"/>
          <w:sz w:val="17"/>
          <w:szCs w:val="17"/>
          <w:color w:val="auto"/>
        </w:rPr>
      </w:pPr>
    </w:p>
    <w:p>
      <w:pPr>
        <w:ind w:left="820" w:hanging="268"/>
        <w:spacing w:after="0"/>
        <w:tabs>
          <w:tab w:leader="none" w:pos="82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Tax Obligations</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firstLine="829"/>
        <w:spacing w:after="0" w:line="257" w:lineRule="auto"/>
        <w:tabs>
          <w:tab w:leader="none" w:pos="1686" w:val="left"/>
        </w:tabs>
        <w:numPr>
          <w:ilvl w:val="1"/>
          <w:numId w:val="51"/>
        </w:numPr>
        <w:rPr>
          <w:rFonts w:ascii="Arial" w:cs="Arial" w:eastAsia="Arial" w:hAnsi="Arial"/>
          <w:sz w:val="16"/>
          <w:szCs w:val="16"/>
          <w:color w:val="auto"/>
        </w:rPr>
      </w:pPr>
      <w:r>
        <w:rPr>
          <w:rFonts w:ascii="Arial" w:cs="Arial" w:eastAsia="Arial" w:hAnsi="Arial"/>
          <w:sz w:val="16"/>
          <w:szCs w:val="16"/>
          <w:color w:val="auto"/>
        </w:rPr>
        <w:t>Participant acknowledges that, regardless of any action taken by the Company or, if different, Participant’s employer (the “Employer”), the ultimate liability for any tax and/or social insurance liability obligations and requirements in connection with the Option, including, without limitation, (a) all federal, state, and local taxes (including the Participant’s Federal Insurance Contributions Act (FICA) obligation) that are required to be withheld by the Company or the Employer or other payment of tax-related items related to Participant’s participation in the Plan and legally applicable to Participant, (b) the Participant’s and, to the extent required by the Company (or Employer), the Company’s (or Employer’s) fringe benefit tax liability, if any, associated with the grant, vesting, or exercise of the Option or sale of Shares, and (c) any other Company (or Employer) taxes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Employer. Participant further acknowledges that the Company and/or the Employer (i) make no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(ii)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Employer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64" w:lineRule="exact"/>
        <w:rPr>
          <w:rFonts w:ascii="Arial" w:cs="Arial" w:eastAsia="Arial" w:hAnsi="Arial"/>
          <w:sz w:val="16"/>
          <w:szCs w:val="16"/>
          <w:color w:val="auto"/>
        </w:rPr>
      </w:pPr>
    </w:p>
    <w:p>
      <w:pPr>
        <w:jc w:val="both"/>
        <w:ind w:firstLine="829"/>
        <w:spacing w:after="0" w:line="248" w:lineRule="auto"/>
        <w:tabs>
          <w:tab w:leader="none" w:pos="1696"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When the Option is exercised,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Employer shall withhold the minimum</w:t>
      </w:r>
    </w:p>
    <w:p>
      <w:pPr>
        <w:spacing w:after="0" w:line="156" w:lineRule="exact"/>
        <w:rPr>
          <w:rFonts w:ascii="Arial" w:cs="Arial" w:eastAsia="Arial" w:hAnsi="Arial"/>
          <w:sz w:val="17"/>
          <w:szCs w:val="17"/>
          <w:color w:val="auto"/>
        </w:rPr>
      </w:pPr>
    </w:p>
    <w:p>
      <w:pPr>
        <w:ind w:left="4620" w:hanging="157"/>
        <w:spacing w:after="0"/>
        <w:tabs>
          <w:tab w:leader="none" w:pos="4620" w:val="left"/>
        </w:tabs>
        <w:numPr>
          <w:ilvl w:val="2"/>
          <w:numId w:val="51"/>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5937250" cy="222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108" w:name="page109"/>
    <w:bookmarkEnd w:id="108"/>
    <w:p>
      <w:pPr>
        <w:jc w:val="both"/>
        <w:spacing w:after="0" w:line="258" w:lineRule="auto"/>
        <w:rPr>
          <w:sz w:val="20"/>
          <w:szCs w:val="20"/>
          <w:color w:val="auto"/>
        </w:rPr>
      </w:pPr>
      <w:r>
        <w:rPr>
          <w:rFonts w:ascii="Arial" w:cs="Arial" w:eastAsia="Arial" w:hAnsi="Arial"/>
          <w:sz w:val="16"/>
          <w:szCs w:val="16"/>
          <w:color w:val="auto"/>
        </w:rPr>
        <w:t>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(a) paying cash, (b) electing to have the Company withhold otherwise deliverable Shares having a Fair Market Value equal to the amount of such Tax Obligations, (c) withholding the amount of such Tax Obligations from Participant’s wages or other cash compensation paid to Participant by the company and/or the Employer, (d) delivering to the Company already vested and owned Shares having a Fair Market Value equal to such Tax Obligations, or (e) selling a sufficient number of such Shares otherwise deliverable to Participant through such means as the Company may determine in its sole discretion (whether through a broker or otherwise) equal to the amount of the Tax Obligations. To the extent determined appropriate by the Company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Employer (and/or former employer, as applicable) may be required to withhold or account for tax in more than one jurisdiction.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158" w:lineRule="exact"/>
        <w:rPr>
          <w:sz w:val="20"/>
          <w:szCs w:val="20"/>
          <w:color w:val="auto"/>
        </w:rPr>
      </w:pPr>
    </w:p>
    <w:p>
      <w:pPr>
        <w:jc w:val="both"/>
        <w:ind w:firstLine="829"/>
        <w:spacing w:after="0" w:line="246" w:lineRule="auto"/>
        <w:tabs>
          <w:tab w:leader="none" w:pos="1686"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Notice of Disqualifying Disposition of ISO Shares</w:t>
      </w:r>
      <w:r>
        <w:rPr>
          <w:rFonts w:ascii="Arial" w:cs="Arial" w:eastAsia="Arial" w:hAnsi="Arial"/>
          <w:sz w:val="17"/>
          <w:szCs w:val="17"/>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162" w:lineRule="exact"/>
        <w:rPr>
          <w:rFonts w:ascii="Arial" w:cs="Arial" w:eastAsia="Arial" w:hAnsi="Arial"/>
          <w:sz w:val="17"/>
          <w:szCs w:val="17"/>
          <w:color w:val="auto"/>
        </w:rPr>
      </w:pPr>
    </w:p>
    <w:p>
      <w:pPr>
        <w:jc w:val="both"/>
        <w:ind w:firstLine="829"/>
        <w:spacing w:after="0" w:line="260" w:lineRule="auto"/>
        <w:tabs>
          <w:tab w:leader="none" w:pos="1696"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charges to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spacing w:after="0" w:line="151" w:lineRule="exact"/>
        <w:rPr>
          <w:rFonts w:ascii="Arial" w:cs="Arial" w:eastAsia="Arial" w:hAnsi="Arial"/>
          <w:sz w:val="16"/>
          <w:szCs w:val="16"/>
          <w:color w:val="auto"/>
        </w:rPr>
      </w:pPr>
    </w:p>
    <w:p>
      <w:pPr>
        <w:jc w:val="both"/>
        <w:ind w:firstLine="552"/>
        <w:spacing w:after="0" w:line="245" w:lineRule="auto"/>
        <w:tabs>
          <w:tab w:leader="none" w:pos="83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63" w:lineRule="exact"/>
        <w:rPr>
          <w:rFonts w:ascii="Arial" w:cs="Arial" w:eastAsia="Arial" w:hAnsi="Arial"/>
          <w:sz w:val="17"/>
          <w:szCs w:val="17"/>
          <w:color w:val="auto"/>
        </w:rPr>
      </w:pPr>
    </w:p>
    <w:p>
      <w:pPr>
        <w:jc w:val="both"/>
        <w:ind w:firstLine="552"/>
        <w:spacing w:after="0" w:line="252" w:lineRule="auto"/>
        <w:tabs>
          <w:tab w:leader="none" w:pos="83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SHARES PURSUANT TO THE VESTING SCHEDULE HEREOF IS EARNED ONLY BY CONTINUING AS A SERVICE PROVIDER AT THE WILL OF THE COMPANY (OR THE</w:t>
      </w:r>
    </w:p>
    <w:p>
      <w:pPr>
        <w:spacing w:after="0" w:line="152" w:lineRule="exact"/>
        <w:rPr>
          <w:rFonts w:ascii="Arial" w:cs="Arial" w:eastAsia="Arial" w:hAnsi="Arial"/>
          <w:sz w:val="17"/>
          <w:szCs w:val="17"/>
          <w:color w:val="auto"/>
        </w:rPr>
      </w:pPr>
    </w:p>
    <w:p>
      <w:pPr>
        <w:ind w:left="4620" w:hanging="157"/>
        <w:spacing w:after="0"/>
        <w:tabs>
          <w:tab w:leader="none" w:pos="46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5937250" cy="222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109" w:name="page110"/>
    <w:bookmarkEnd w:id="109"/>
    <w:p>
      <w:pPr>
        <w:jc w:val="both"/>
        <w:spacing w:after="0" w:line="244" w:lineRule="auto"/>
        <w:rPr>
          <w:sz w:val="20"/>
          <w:szCs w:val="20"/>
          <w:color w:val="auto"/>
        </w:rPr>
      </w:pPr>
      <w:r>
        <w:rPr>
          <w:rFonts w:ascii="Arial" w:cs="Arial" w:eastAsia="Arial" w:hAnsi="Arial"/>
          <w:sz w:val="17"/>
          <w:szCs w:val="17"/>
          <w:color w:val="auto"/>
        </w:rPr>
        <w:t>EMPLOYER) AND NOT THROUGH THE ACT OF BEING HIRED, BEING GRANTED THIS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EMPLOYER) TO TERMINATE PARTICIPANT’S RELATIONSHIP AS A SERVICE PROVIDER AT ANY TIME, WITH OR WITHOUT CAUSE.</w:t>
      </w:r>
    </w:p>
    <w:p>
      <w:pPr>
        <w:spacing w:after="0" w:line="165" w:lineRule="exact"/>
        <w:rPr>
          <w:sz w:val="20"/>
          <w:szCs w:val="20"/>
          <w:color w:val="auto"/>
        </w:rPr>
      </w:pPr>
    </w:p>
    <w:p>
      <w:pPr>
        <w:ind w:left="820" w:hanging="268"/>
        <w:spacing w:after="0"/>
        <w:tabs>
          <w:tab w:leader="none" w:pos="82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In accepting the Option, Participant acknowledges, understands and agrees that:</w:t>
      </w:r>
    </w:p>
    <w:p>
      <w:pPr>
        <w:spacing w:after="0" w:line="184" w:lineRule="exact"/>
        <w:rPr>
          <w:rFonts w:ascii="Arial" w:cs="Arial" w:eastAsia="Arial" w:hAnsi="Arial"/>
          <w:sz w:val="17"/>
          <w:szCs w:val="17"/>
          <w:color w:val="auto"/>
        </w:rPr>
      </w:pPr>
    </w:p>
    <w:p>
      <w:pPr>
        <w:ind w:firstLine="829"/>
        <w:spacing w:after="0" w:line="264" w:lineRule="auto"/>
        <w:tabs>
          <w:tab w:leader="none" w:pos="1686" w:val="left"/>
        </w:tabs>
        <w:numPr>
          <w:ilvl w:val="1"/>
          <w:numId w:val="54"/>
        </w:numPr>
        <w:rPr>
          <w:rFonts w:ascii="Arial" w:cs="Arial" w:eastAsia="Arial" w:hAnsi="Arial"/>
          <w:sz w:val="17"/>
          <w:szCs w:val="17"/>
          <w:color w:val="auto"/>
        </w:rPr>
      </w:pPr>
      <w:r>
        <w:rPr>
          <w:rFonts w:ascii="Arial" w:cs="Arial" w:eastAsia="Arial" w:hAnsi="Arial"/>
          <w:sz w:val="17"/>
          <w:szCs w:val="17"/>
          <w:color w:val="auto"/>
        </w:rPr>
        <w:t>the grant of the Option is voluntary and occasional and does not create any contractual or other right to receive future grants of options, or benefits in lieu of options, even if options have been granted in the past;</w:t>
      </w:r>
    </w:p>
    <w:p>
      <w:pPr>
        <w:spacing w:after="0" w:line="146" w:lineRule="exact"/>
        <w:rPr>
          <w:rFonts w:ascii="Arial" w:cs="Arial" w:eastAsia="Arial" w:hAnsi="Arial"/>
          <w:sz w:val="17"/>
          <w:szCs w:val="17"/>
          <w:color w:val="auto"/>
        </w:rPr>
      </w:pPr>
    </w:p>
    <w:p>
      <w:pPr>
        <w:ind w:left="1700" w:hanging="871"/>
        <w:spacing w:after="0"/>
        <w:tabs>
          <w:tab w:leader="none" w:pos="1700" w:val="left"/>
        </w:tabs>
        <w:numPr>
          <w:ilvl w:val="1"/>
          <w:numId w:val="54"/>
        </w:numPr>
        <w:rPr>
          <w:rFonts w:ascii="Arial" w:cs="Arial" w:eastAsia="Arial" w:hAnsi="Arial"/>
          <w:sz w:val="15"/>
          <w:szCs w:val="15"/>
          <w:color w:val="auto"/>
        </w:rPr>
      </w:pPr>
      <w:r>
        <w:rPr>
          <w:rFonts w:ascii="Arial" w:cs="Arial" w:eastAsia="Arial" w:hAnsi="Arial"/>
          <w:sz w:val="15"/>
          <w:szCs w:val="15"/>
          <w:color w:val="auto"/>
        </w:rPr>
        <w:t>all decisions with respect to future option or other grants, if any, will be at the sole discretion of the Company;</w:t>
      </w:r>
    </w:p>
    <w:p>
      <w:pPr>
        <w:spacing w:after="0" w:line="207" w:lineRule="exact"/>
        <w:rPr>
          <w:rFonts w:ascii="Arial" w:cs="Arial" w:eastAsia="Arial" w:hAnsi="Arial"/>
          <w:sz w:val="15"/>
          <w:szCs w:val="15"/>
          <w:color w:val="auto"/>
        </w:rPr>
      </w:pPr>
    </w:p>
    <w:p>
      <w:pPr>
        <w:ind w:left="1680" w:hanging="851"/>
        <w:spacing w:after="0"/>
        <w:tabs>
          <w:tab w:leader="none" w:pos="16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Participant is voluntarily participating in the Plan;</w:t>
      </w:r>
    </w:p>
    <w:p>
      <w:pPr>
        <w:spacing w:after="0" w:line="184" w:lineRule="exact"/>
        <w:rPr>
          <w:rFonts w:ascii="Arial" w:cs="Arial" w:eastAsia="Arial" w:hAnsi="Arial"/>
          <w:sz w:val="17"/>
          <w:szCs w:val="17"/>
          <w:color w:val="auto"/>
        </w:rPr>
      </w:pPr>
    </w:p>
    <w:p>
      <w:pPr>
        <w:ind w:left="1700" w:hanging="871"/>
        <w:spacing w:after="0"/>
        <w:tabs>
          <w:tab w:leader="none" w:pos="17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the Option and any Shares acquired under the Plan are not intended to replace any pension rights or</w:t>
      </w:r>
    </w:p>
    <w:p>
      <w:pPr>
        <w:spacing w:after="0" w:line="1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compensation;</w:t>
      </w:r>
    </w:p>
    <w:p>
      <w:pPr>
        <w:spacing w:after="0" w:line="170" w:lineRule="exact"/>
        <w:rPr>
          <w:rFonts w:ascii="Arial" w:cs="Arial" w:eastAsia="Arial" w:hAnsi="Arial"/>
          <w:sz w:val="17"/>
          <w:szCs w:val="17"/>
          <w:color w:val="auto"/>
        </w:rPr>
      </w:pPr>
    </w:p>
    <w:p>
      <w:pPr>
        <w:jc w:val="both"/>
        <w:ind w:firstLine="829"/>
        <w:spacing w:after="0" w:line="275" w:lineRule="auto"/>
        <w:tabs>
          <w:tab w:leader="none" w:pos="1686"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39" w:lineRule="exact"/>
        <w:rPr>
          <w:rFonts w:ascii="Arial" w:cs="Arial" w:eastAsia="Arial" w:hAnsi="Arial"/>
          <w:sz w:val="16"/>
          <w:szCs w:val="16"/>
          <w:color w:val="auto"/>
        </w:rPr>
      </w:pPr>
    </w:p>
    <w:p>
      <w:pPr>
        <w:ind w:left="1660" w:hanging="831"/>
        <w:spacing w:after="0"/>
        <w:tabs>
          <w:tab w:leader="none" w:pos="1660" w:val="left"/>
        </w:tabs>
        <w:numPr>
          <w:ilvl w:val="1"/>
          <w:numId w:val="54"/>
        </w:numPr>
        <w:rPr>
          <w:rFonts w:ascii="Arial" w:cs="Arial" w:eastAsia="Arial" w:hAnsi="Arial"/>
          <w:sz w:val="15"/>
          <w:szCs w:val="15"/>
          <w:color w:val="auto"/>
        </w:rPr>
      </w:pPr>
      <w:r>
        <w:rPr>
          <w:rFonts w:ascii="Arial" w:cs="Arial" w:eastAsia="Arial" w:hAnsi="Arial"/>
          <w:sz w:val="15"/>
          <w:szCs w:val="15"/>
          <w:color w:val="auto"/>
        </w:rPr>
        <w:t>the future value of the Shares underlying the Option is unknown, indeterminable, and cannot be predicted with</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certainty;</w:t>
      </w:r>
    </w:p>
    <w:p>
      <w:pPr>
        <w:spacing w:after="0" w:line="170" w:lineRule="exact"/>
        <w:rPr>
          <w:rFonts w:ascii="Arial" w:cs="Arial" w:eastAsia="Arial" w:hAnsi="Arial"/>
          <w:sz w:val="15"/>
          <w:szCs w:val="15"/>
          <w:color w:val="auto"/>
        </w:rPr>
      </w:pPr>
    </w:p>
    <w:p>
      <w:pPr>
        <w:ind w:left="1700" w:hanging="871"/>
        <w:spacing w:after="0"/>
        <w:tabs>
          <w:tab w:leader="none" w:pos="17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if the underlying Shares do not increase in value, the Option will have no value;</w:t>
      </w:r>
    </w:p>
    <w:p>
      <w:pPr>
        <w:spacing w:after="0" w:line="184" w:lineRule="exact"/>
        <w:rPr>
          <w:rFonts w:ascii="Arial" w:cs="Arial" w:eastAsia="Arial" w:hAnsi="Arial"/>
          <w:sz w:val="17"/>
          <w:szCs w:val="17"/>
          <w:color w:val="auto"/>
        </w:rPr>
      </w:pPr>
    </w:p>
    <w:p>
      <w:pPr>
        <w:ind w:firstLine="829"/>
        <w:spacing w:after="0" w:line="264" w:lineRule="auto"/>
        <w:tabs>
          <w:tab w:leader="none" w:pos="1696" w:val="left"/>
        </w:tabs>
        <w:numPr>
          <w:ilvl w:val="1"/>
          <w:numId w:val="54"/>
        </w:numPr>
        <w:rPr>
          <w:rFonts w:ascii="Arial" w:cs="Arial" w:eastAsia="Arial" w:hAnsi="Arial"/>
          <w:sz w:val="17"/>
          <w:szCs w:val="17"/>
          <w:color w:val="auto"/>
        </w:rPr>
      </w:pPr>
      <w:r>
        <w:rPr>
          <w:rFonts w:ascii="Arial" w:cs="Arial" w:eastAsia="Arial" w:hAnsi="Arial"/>
          <w:sz w:val="17"/>
          <w:szCs w:val="17"/>
          <w:color w:val="auto"/>
        </w:rPr>
        <w:t>if Participant exercises the Option and acquires Shares, the value of such Shares may increase or decrease in value, even below the Exercise Price;</w:t>
      </w:r>
    </w:p>
    <w:p>
      <w:pPr>
        <w:spacing w:after="0" w:line="146" w:lineRule="exact"/>
        <w:rPr>
          <w:rFonts w:ascii="Arial" w:cs="Arial" w:eastAsia="Arial" w:hAnsi="Arial"/>
          <w:sz w:val="17"/>
          <w:szCs w:val="17"/>
          <w:color w:val="auto"/>
        </w:rPr>
      </w:pPr>
    </w:p>
    <w:p>
      <w:pPr>
        <w:jc w:val="both"/>
        <w:ind w:firstLine="829"/>
        <w:spacing w:after="0" w:line="259" w:lineRule="auto"/>
        <w:tabs>
          <w:tab w:leader="none" w:pos="1658" w:val="left"/>
        </w:tabs>
        <w:numPr>
          <w:ilvl w:val="1"/>
          <w:numId w:val="54"/>
        </w:numPr>
        <w:rPr>
          <w:rFonts w:ascii="Arial" w:cs="Arial" w:eastAsia="Arial" w:hAnsi="Arial"/>
          <w:sz w:val="16"/>
          <w:szCs w:val="16"/>
          <w:color w:val="auto"/>
        </w:rPr>
      </w:pPr>
      <w:r>
        <w:rPr>
          <w:rFonts w:ascii="Arial" w:cs="Arial" w:eastAsia="Arial" w:hAnsi="Arial"/>
          <w:sz w:val="16"/>
          <w:szCs w:val="16"/>
          <w:color w:val="auto"/>
        </w:rPr>
        <w:t>for purposes of the Option, Participant’s engagement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Arial" w:cs="Arial" w:eastAsia="Arial" w:hAnsi="Arial"/>
          <w:sz w:val="16"/>
          <w:szCs w:val="16"/>
          <w:i w:val="1"/>
          <w:iCs w:val="1"/>
          <w:color w:val="auto"/>
        </w:rPr>
        <w:t>e.g</w:t>
      </w:r>
      <w:r>
        <w:rPr>
          <w:rFonts w:ascii="Arial" w:cs="Arial" w:eastAsia="Arial" w:hAnsi="Arial"/>
          <w:sz w:val="16"/>
          <w:szCs w:val="16"/>
          <w:color w:val="auto"/>
        </w:rPr>
        <w:t>.,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w:t>
      </w:r>
    </w:p>
    <w:p>
      <w:pPr>
        <w:spacing w:after="0" w:line="152" w:lineRule="exact"/>
        <w:rPr>
          <w:rFonts w:ascii="Arial" w:cs="Arial" w:eastAsia="Arial" w:hAnsi="Arial"/>
          <w:sz w:val="16"/>
          <w:szCs w:val="16"/>
          <w:color w:val="auto"/>
        </w:rPr>
      </w:pPr>
    </w:p>
    <w:p>
      <w:pPr>
        <w:ind w:left="4620" w:hanging="157"/>
        <w:spacing w:after="0"/>
        <w:tabs>
          <w:tab w:leader="none" w:pos="46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5937250" cy="222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110" w:name="page111"/>
    <w:bookmarkEnd w:id="110"/>
    <w:p>
      <w:pPr>
        <w:jc w:val="both"/>
        <w:ind w:firstLine="553"/>
        <w:spacing w:after="0" w:line="270" w:lineRule="auto"/>
        <w:rPr>
          <w:sz w:val="20"/>
          <w:szCs w:val="20"/>
          <w:color w:val="auto"/>
        </w:rPr>
      </w:pPr>
      <w:r>
        <w:rPr>
          <w:rFonts w:ascii="Arial" w:cs="Arial" w:eastAsia="Arial" w:hAnsi="Arial"/>
          <w:sz w:val="17"/>
          <w:szCs w:val="17"/>
          <w:color w:val="auto"/>
        </w:rPr>
        <w:t>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w:t>
      </w:r>
    </w:p>
    <w:p>
      <w:pPr>
        <w:spacing w:after="0" w:line="139" w:lineRule="exact"/>
        <w:rPr>
          <w:sz w:val="20"/>
          <w:szCs w:val="20"/>
          <w:color w:val="auto"/>
        </w:rPr>
      </w:pPr>
    </w:p>
    <w:p>
      <w:pPr>
        <w:jc w:val="both"/>
        <w:ind w:firstLine="829"/>
        <w:spacing w:after="0" w:line="301" w:lineRule="auto"/>
        <w:tabs>
          <w:tab w:leader="none" w:pos="1658" w:val="left"/>
        </w:tabs>
        <w:numPr>
          <w:ilvl w:val="1"/>
          <w:numId w:val="55"/>
        </w:numPr>
        <w:rPr>
          <w:rFonts w:ascii="Arial" w:cs="Arial" w:eastAsia="Arial" w:hAnsi="Arial"/>
          <w:sz w:val="15"/>
          <w:szCs w:val="15"/>
          <w:color w:val="auto"/>
        </w:rPr>
      </w:pPr>
      <w:r>
        <w:rPr>
          <w:rFonts w:ascii="Arial" w:cs="Arial" w:eastAsia="Arial" w:hAnsi="Arial"/>
          <w:sz w:val="15"/>
          <w:szCs w:val="15"/>
          <w:color w:val="auto"/>
        </w:rPr>
        <w:t>unless otherwise provided in the Plan or by the Company in its discretion, the Option and the benefits evidenced by this Award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23" w:lineRule="exact"/>
        <w:rPr>
          <w:rFonts w:ascii="Arial" w:cs="Arial" w:eastAsia="Arial" w:hAnsi="Arial"/>
          <w:sz w:val="15"/>
          <w:szCs w:val="15"/>
          <w:color w:val="auto"/>
        </w:rPr>
      </w:pPr>
    </w:p>
    <w:p>
      <w:pPr>
        <w:ind w:left="1700" w:hanging="871"/>
        <w:spacing w:after="0"/>
        <w:tabs>
          <w:tab w:leader="none" w:pos="17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the following provisions apply only if Participant is providing services outside the United States:</w:t>
      </w:r>
    </w:p>
    <w:p>
      <w:pPr>
        <w:spacing w:after="0" w:line="184" w:lineRule="exact"/>
        <w:rPr>
          <w:rFonts w:ascii="Arial" w:cs="Arial" w:eastAsia="Arial" w:hAnsi="Arial"/>
          <w:sz w:val="17"/>
          <w:szCs w:val="17"/>
          <w:color w:val="auto"/>
        </w:rPr>
      </w:pPr>
    </w:p>
    <w:p>
      <w:pPr>
        <w:ind w:left="1520" w:hanging="414"/>
        <w:spacing w:after="0" w:line="264" w:lineRule="auto"/>
        <w:tabs>
          <w:tab w:leader="none" w:pos="1518" w:val="left"/>
        </w:tabs>
        <w:numPr>
          <w:ilvl w:val="2"/>
          <w:numId w:val="55"/>
        </w:numPr>
        <w:rPr>
          <w:rFonts w:ascii="Arial" w:cs="Arial" w:eastAsia="Arial" w:hAnsi="Arial"/>
          <w:sz w:val="17"/>
          <w:szCs w:val="17"/>
          <w:color w:val="auto"/>
        </w:rPr>
      </w:pPr>
      <w:r>
        <w:rPr>
          <w:rFonts w:ascii="Arial" w:cs="Arial" w:eastAsia="Arial" w:hAnsi="Arial"/>
          <w:sz w:val="17"/>
          <w:szCs w:val="17"/>
          <w:color w:val="auto"/>
        </w:rPr>
        <w:t>the Option and the Shares subject to the Option are not part of normal or expected compensation or salary for any purpose;</w:t>
      </w:r>
    </w:p>
    <w:p>
      <w:pPr>
        <w:spacing w:after="0" w:line="146" w:lineRule="exact"/>
        <w:rPr>
          <w:rFonts w:ascii="Arial" w:cs="Arial" w:eastAsia="Arial" w:hAnsi="Arial"/>
          <w:sz w:val="17"/>
          <w:szCs w:val="17"/>
          <w:color w:val="auto"/>
        </w:rPr>
      </w:pPr>
    </w:p>
    <w:p>
      <w:pPr>
        <w:jc w:val="both"/>
        <w:ind w:left="1520" w:hanging="414"/>
        <w:spacing w:after="0" w:line="268" w:lineRule="auto"/>
        <w:tabs>
          <w:tab w:leader="none" w:pos="1519" w:val="left"/>
        </w:tabs>
        <w:numPr>
          <w:ilvl w:val="2"/>
          <w:numId w:val="55"/>
        </w:numPr>
        <w:rPr>
          <w:rFonts w:ascii="Arial" w:cs="Arial" w:eastAsia="Arial" w:hAnsi="Arial"/>
          <w:sz w:val="16"/>
          <w:szCs w:val="16"/>
          <w:color w:val="auto"/>
        </w:rPr>
      </w:pPr>
      <w:r>
        <w:rPr>
          <w:rFonts w:ascii="Arial" w:cs="Arial" w:eastAsia="Arial" w:hAnsi="Arial"/>
          <w:sz w:val="16"/>
          <w:szCs w:val="16"/>
          <w:color w:val="auto"/>
        </w:rPr>
        <w:t>Participant acknowledges and agrees that none of the Company, the Employer, or any Parent or Subsidiary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46" w:lineRule="exact"/>
        <w:rPr>
          <w:rFonts w:ascii="Arial" w:cs="Arial" w:eastAsia="Arial" w:hAnsi="Arial"/>
          <w:sz w:val="16"/>
          <w:szCs w:val="16"/>
          <w:color w:val="auto"/>
        </w:rPr>
      </w:pPr>
    </w:p>
    <w:p>
      <w:pPr>
        <w:jc w:val="both"/>
        <w:ind w:left="1520" w:hanging="414"/>
        <w:spacing w:after="0" w:line="279" w:lineRule="auto"/>
        <w:tabs>
          <w:tab w:leader="none" w:pos="1520" w:val="left"/>
        </w:tabs>
        <w:numPr>
          <w:ilvl w:val="2"/>
          <w:numId w:val="55"/>
        </w:numPr>
        <w:rPr>
          <w:rFonts w:ascii="Arial" w:cs="Arial" w:eastAsia="Arial" w:hAnsi="Arial"/>
          <w:sz w:val="15"/>
          <w:szCs w:val="15"/>
          <w:color w:val="auto"/>
        </w:rPr>
      </w:pPr>
      <w:r>
        <w:rPr>
          <w:rFonts w:ascii="Arial" w:cs="Arial" w:eastAsia="Arial" w:hAnsi="Arial"/>
          <w:sz w:val="15"/>
          <w:szCs w:val="15"/>
          <w:color w:val="auto"/>
        </w:rPr>
        <w:t>no claim or entitlement to compensation or damages shall arise from forfeiture of the Option resulting from the termination of Participant’s engagement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the Company, any Parent, any Subsidiary or the Employer, waives his or her ability, if any, to bring any such claim, and releases the Company, any Parent or Subsidiary and the Employer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39" w:lineRule="exact"/>
        <w:rPr>
          <w:rFonts w:ascii="Arial" w:cs="Arial" w:eastAsia="Arial" w:hAnsi="Arial"/>
          <w:sz w:val="15"/>
          <w:szCs w:val="15"/>
          <w:color w:val="auto"/>
        </w:rPr>
      </w:pPr>
    </w:p>
    <w:p>
      <w:pPr>
        <w:jc w:val="both"/>
        <w:ind w:firstLine="552"/>
        <w:spacing w:after="0" w:line="248" w:lineRule="auto"/>
        <w:tabs>
          <w:tab w:leader="none" w:pos="834"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No Advice Regarding Grant</w:t>
      </w:r>
      <w:r>
        <w:rPr>
          <w:rFonts w:ascii="Arial" w:cs="Arial" w:eastAsia="Arial" w:hAnsi="Arial"/>
          <w:sz w:val="17"/>
          <w:szCs w:val="17"/>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56" w:lineRule="exact"/>
        <w:rPr>
          <w:rFonts w:ascii="Arial" w:cs="Arial" w:eastAsia="Arial" w:hAnsi="Arial"/>
          <w:sz w:val="17"/>
          <w:szCs w:val="17"/>
          <w:color w:val="auto"/>
        </w:rPr>
      </w:pPr>
    </w:p>
    <w:p>
      <w:pPr>
        <w:jc w:val="both"/>
        <w:ind w:firstLine="552"/>
        <w:spacing w:after="0" w:line="270" w:lineRule="auto"/>
        <w:tabs>
          <w:tab w:leader="none" w:pos="850" w:val="left"/>
        </w:tabs>
        <w:numPr>
          <w:ilvl w:val="0"/>
          <w:numId w:val="56"/>
        </w:numPr>
        <w:rPr>
          <w:rFonts w:ascii="Arial" w:cs="Arial" w:eastAsia="Arial" w:hAnsi="Arial"/>
          <w:sz w:val="16"/>
          <w:szCs w:val="16"/>
          <w:color w:val="auto"/>
        </w:rPr>
      </w:pPr>
      <w:r>
        <w:rPr>
          <w:rFonts w:ascii="Arial" w:cs="Arial" w:eastAsia="Arial" w:hAnsi="Arial"/>
          <w:sz w:val="16"/>
          <w:szCs w:val="16"/>
          <w:b w:val="1"/>
          <w:bCs w:val="1"/>
          <w:u w:val="single" w:color="auto"/>
          <w:color w:val="auto"/>
        </w:rPr>
        <w:t>Data Privacy</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Participant hereby explicitly and unambiguously consents to the collection, use and transfer, in electronic</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or other form, of Participant’s personal data as described in this Award Agreement and any other Option grant materials by and among, as applicable, the Employer, the Company and any Parent or Subsidiary for the exclusive purpose of implementing, administering and managing Participant’s participation in the Plan.</w:t>
      </w:r>
    </w:p>
    <w:p>
      <w:pPr>
        <w:spacing w:after="0" w:line="140" w:lineRule="exact"/>
        <w:rPr>
          <w:rFonts w:ascii="Arial" w:cs="Arial" w:eastAsia="Arial" w:hAnsi="Arial"/>
          <w:sz w:val="16"/>
          <w:szCs w:val="16"/>
          <w:color w:val="auto"/>
        </w:rPr>
      </w:pPr>
    </w:p>
    <w:p>
      <w:pPr>
        <w:ind w:left="4620" w:hanging="157"/>
        <w:spacing w:after="0"/>
        <w:tabs>
          <w:tab w:leader="none" w:pos="4620" w:val="left"/>
        </w:tabs>
        <w:numPr>
          <w:ilvl w:val="3"/>
          <w:numId w:val="56"/>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5937250" cy="222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5" w:right="1159" w:bottom="1440" w:gutter="0" w:footer="0" w:header="0"/>
        </w:sectPr>
      </w:pPr>
    </w:p>
    <w:bookmarkStart w:id="111" w:name="page112"/>
    <w:bookmarkEnd w:id="111"/>
    <w:p>
      <w:pPr>
        <w:jc w:val="both"/>
        <w:ind w:firstLine="553"/>
        <w:spacing w:after="0" w:line="287" w:lineRule="auto"/>
        <w:rPr>
          <w:sz w:val="20"/>
          <w:szCs w:val="20"/>
          <w:color w:val="auto"/>
        </w:rPr>
      </w:pPr>
      <w:r>
        <w:rPr>
          <w:rFonts w:ascii="Arial" w:cs="Arial" w:eastAsia="Arial" w:hAnsi="Arial"/>
          <w:sz w:val="15"/>
          <w:szCs w:val="15"/>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(“Data”), for the exclusive purpose of implementing, administering and managing the Plan.</w:t>
      </w:r>
    </w:p>
    <w:p>
      <w:pPr>
        <w:spacing w:after="0" w:line="133" w:lineRule="exact"/>
        <w:rPr>
          <w:sz w:val="20"/>
          <w:szCs w:val="20"/>
          <w:color w:val="auto"/>
        </w:rPr>
      </w:pPr>
    </w:p>
    <w:p>
      <w:pPr>
        <w:jc w:val="both"/>
        <w:ind w:firstLine="553"/>
        <w:spacing w:after="0" w:line="275" w:lineRule="auto"/>
        <w:rPr>
          <w:sz w:val="20"/>
          <w:szCs w:val="20"/>
          <w:color w:val="auto"/>
        </w:rPr>
      </w:pPr>
      <w:r>
        <w:rPr>
          <w:rFonts w:ascii="Arial" w:cs="Arial" w:eastAsia="Arial" w:hAnsi="Arial"/>
          <w:sz w:val="15"/>
          <w:szCs w:val="15"/>
          <w:b w:val="1"/>
          <w:bCs w:val="1"/>
          <w:i w:val="1"/>
          <w:iCs w:val="1"/>
          <w:color w:val="auto"/>
        </w:rPr>
        <w:t>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engagement as a Service Provider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51" w:lineRule="exact"/>
        <w:rPr>
          <w:sz w:val="20"/>
          <w:szCs w:val="20"/>
          <w:color w:val="auto"/>
        </w:rPr>
      </w:pPr>
    </w:p>
    <w:p>
      <w:pPr>
        <w:jc w:val="both"/>
        <w:ind w:firstLine="552"/>
        <w:spacing w:after="0" w:line="252" w:lineRule="auto"/>
        <w:tabs>
          <w:tab w:leader="none" w:pos="834"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Address for Notices</w:t>
      </w:r>
      <w:r>
        <w:rPr>
          <w:rFonts w:ascii="Arial" w:cs="Arial" w:eastAsia="Arial" w:hAnsi="Arial"/>
          <w:sz w:val="17"/>
          <w:szCs w:val="17"/>
          <w:color w:val="auto"/>
        </w:rPr>
        <w:t>. Any notice to be given to the Company under the terms of this Award Agreement will be addressed to the Company at Pulse Biosciences, Inc., 3957 Point Eden Way, Hayward, CA 94545, or at such other address as the Company may hereafter designate in writing.</w:t>
      </w:r>
    </w:p>
    <w:p>
      <w:pPr>
        <w:spacing w:after="0" w:line="156" w:lineRule="exact"/>
        <w:rPr>
          <w:rFonts w:ascii="Arial" w:cs="Arial" w:eastAsia="Arial" w:hAnsi="Arial"/>
          <w:sz w:val="17"/>
          <w:szCs w:val="17"/>
          <w:color w:val="auto"/>
        </w:rPr>
      </w:pPr>
    </w:p>
    <w:p>
      <w:pPr>
        <w:ind w:firstLine="552"/>
        <w:spacing w:after="0" w:line="264" w:lineRule="auto"/>
        <w:tabs>
          <w:tab w:leader="none" w:pos="834"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 This Option may not be transferred in any manner otherwise than by will or by the laws of descent or distribution and may be exercised during the lifetime of Participant only by Participant.</w:t>
      </w:r>
    </w:p>
    <w:p>
      <w:pPr>
        <w:spacing w:after="0" w:line="146" w:lineRule="exact"/>
        <w:rPr>
          <w:rFonts w:ascii="Arial" w:cs="Arial" w:eastAsia="Arial" w:hAnsi="Arial"/>
          <w:sz w:val="17"/>
          <w:szCs w:val="17"/>
          <w:color w:val="auto"/>
        </w:rPr>
      </w:pPr>
    </w:p>
    <w:p>
      <w:pPr>
        <w:jc w:val="both"/>
        <w:ind w:firstLine="552"/>
        <w:spacing w:after="0" w:line="246" w:lineRule="auto"/>
        <w:tabs>
          <w:tab w:leader="none" w:pos="834"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62" w:lineRule="exact"/>
        <w:rPr>
          <w:rFonts w:ascii="Arial" w:cs="Arial" w:eastAsia="Arial" w:hAnsi="Arial"/>
          <w:sz w:val="17"/>
          <w:szCs w:val="17"/>
          <w:color w:val="auto"/>
        </w:rPr>
      </w:pPr>
    </w:p>
    <w:p>
      <w:pPr>
        <w:ind w:firstLine="552"/>
        <w:spacing w:after="0" w:line="264" w:lineRule="auto"/>
        <w:tabs>
          <w:tab w:leader="none" w:pos="834"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qualification or rule compliance of the Shares upon any securities</w:t>
      </w:r>
    </w:p>
    <w:p>
      <w:pPr>
        <w:spacing w:after="0" w:line="142" w:lineRule="exact"/>
        <w:rPr>
          <w:rFonts w:ascii="Arial" w:cs="Arial" w:eastAsia="Arial" w:hAnsi="Arial"/>
          <w:sz w:val="17"/>
          <w:szCs w:val="17"/>
          <w:color w:val="auto"/>
        </w:rPr>
      </w:pPr>
    </w:p>
    <w:p>
      <w:pPr>
        <w:ind w:left="4620" w:hanging="157"/>
        <w:spacing w:after="0"/>
        <w:tabs>
          <w:tab w:leader="none" w:pos="4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5937250" cy="222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112" w:name="page113"/>
    <w:bookmarkEnd w:id="112"/>
    <w:p>
      <w:pPr>
        <w:jc w:val="both"/>
        <w:ind w:firstLine="553"/>
        <w:spacing w:after="0" w:line="260" w:lineRule="auto"/>
        <w:rPr>
          <w:sz w:val="20"/>
          <w:szCs w:val="20"/>
          <w:color w:val="auto"/>
        </w:rPr>
      </w:pPr>
      <w:r>
        <w:rPr>
          <w:rFonts w:ascii="Arial" w:cs="Arial" w:eastAsia="Arial" w:hAnsi="Arial"/>
          <w:sz w:val="16"/>
          <w:szCs w:val="16"/>
          <w:color w:val="auto"/>
        </w:rPr>
        <w:t>exchange or under any state, federal or foreign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purchase by, or issuance of Shares, to Participant (or his or her estate) hereunder, such purchase or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exercise of the Option as the Administrator may establish from time to time for reasons of administrative convenience.</w:t>
      </w:r>
    </w:p>
    <w:p>
      <w:pPr>
        <w:spacing w:after="0" w:line="154" w:lineRule="exact"/>
        <w:rPr>
          <w:sz w:val="20"/>
          <w:szCs w:val="20"/>
          <w:color w:val="auto"/>
        </w:rPr>
      </w:pPr>
    </w:p>
    <w:p>
      <w:pPr>
        <w:jc w:val="both"/>
        <w:ind w:firstLine="552"/>
        <w:spacing w:after="0" w:line="252" w:lineRule="auto"/>
        <w:tabs>
          <w:tab w:leader="none" w:pos="834"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56" w:lineRule="exact"/>
        <w:rPr>
          <w:rFonts w:ascii="Arial" w:cs="Arial" w:eastAsia="Arial" w:hAnsi="Arial"/>
          <w:sz w:val="17"/>
          <w:szCs w:val="17"/>
          <w:color w:val="auto"/>
        </w:rPr>
      </w:pPr>
    </w:p>
    <w:p>
      <w:pPr>
        <w:jc w:val="both"/>
        <w:ind w:firstLine="552"/>
        <w:spacing w:after="0" w:line="263" w:lineRule="auto"/>
        <w:tabs>
          <w:tab w:leader="none" w:pos="834"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50" w:lineRule="exact"/>
        <w:rPr>
          <w:rFonts w:ascii="Arial" w:cs="Arial" w:eastAsia="Arial" w:hAnsi="Arial"/>
          <w:sz w:val="16"/>
          <w:szCs w:val="16"/>
          <w:color w:val="auto"/>
        </w:rPr>
      </w:pPr>
    </w:p>
    <w:p>
      <w:pPr>
        <w:jc w:val="both"/>
        <w:ind w:firstLine="552"/>
        <w:spacing w:after="0" w:line="246" w:lineRule="auto"/>
        <w:tabs>
          <w:tab w:leader="none" w:pos="834"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62" w:lineRule="exact"/>
        <w:rPr>
          <w:rFonts w:ascii="Arial" w:cs="Arial" w:eastAsia="Arial" w:hAnsi="Arial"/>
          <w:sz w:val="17"/>
          <w:szCs w:val="17"/>
          <w:color w:val="auto"/>
        </w:rPr>
      </w:pPr>
    </w:p>
    <w:p>
      <w:pPr>
        <w:ind w:firstLine="552"/>
        <w:spacing w:after="0" w:line="264" w:lineRule="auto"/>
        <w:tabs>
          <w:tab w:leader="none" w:pos="834"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provided herein are for convenience only and are not to serve as a basis for interpretation or construction of this Award Agreement.</w:t>
      </w:r>
    </w:p>
    <w:p>
      <w:pPr>
        <w:spacing w:after="0" w:line="146" w:lineRule="exact"/>
        <w:rPr>
          <w:rFonts w:ascii="Arial" w:cs="Arial" w:eastAsia="Arial" w:hAnsi="Arial"/>
          <w:sz w:val="17"/>
          <w:szCs w:val="17"/>
          <w:color w:val="auto"/>
        </w:rPr>
      </w:pPr>
    </w:p>
    <w:p>
      <w:pPr>
        <w:jc w:val="both"/>
        <w:ind w:firstLine="552"/>
        <w:spacing w:after="0" w:line="252" w:lineRule="auto"/>
        <w:tabs>
          <w:tab w:leader="none" w:pos="834"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56" w:lineRule="exact"/>
        <w:rPr>
          <w:rFonts w:ascii="Arial" w:cs="Arial" w:eastAsia="Arial" w:hAnsi="Arial"/>
          <w:sz w:val="17"/>
          <w:szCs w:val="17"/>
          <w:color w:val="auto"/>
        </w:rPr>
      </w:pPr>
    </w:p>
    <w:p>
      <w:pPr>
        <w:jc w:val="both"/>
        <w:ind w:firstLine="552"/>
        <w:spacing w:after="0" w:line="275" w:lineRule="auto"/>
        <w:tabs>
          <w:tab w:leader="none" w:pos="834"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Amendment, Suspension or Termination of the Plan</w:t>
      </w:r>
      <w:r>
        <w:rPr>
          <w:rFonts w:ascii="Arial" w:cs="Arial" w:eastAsia="Arial" w:hAnsi="Arial"/>
          <w:sz w:val="16"/>
          <w:szCs w:val="16"/>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39" w:lineRule="exact"/>
        <w:rPr>
          <w:rFonts w:ascii="Arial" w:cs="Arial" w:eastAsia="Arial" w:hAnsi="Arial"/>
          <w:sz w:val="16"/>
          <w:szCs w:val="16"/>
          <w:color w:val="auto"/>
        </w:rPr>
      </w:pPr>
    </w:p>
    <w:p>
      <w:pPr>
        <w:jc w:val="both"/>
        <w:ind w:firstLine="552"/>
        <w:spacing w:after="0" w:line="246" w:lineRule="auto"/>
        <w:tabs>
          <w:tab w:leader="none" w:pos="834"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Award Agreement will be governed by the laws of California, without giving effect to the conflict of law principles thereof. For purposes of litigating any dispute that arises under this Option or this Award Agreement, the parties hereby submit to and consent to the jurisdiction of the State of California, and agree that such litigation will be conducted in the courts of San Francisco, California, or the federal courts for the United States for the Northern District of California, and no other courts, where this Option is made and/or to be performed.</w:t>
      </w:r>
    </w:p>
    <w:p>
      <w:pPr>
        <w:spacing w:after="0" w:line="158" w:lineRule="exact"/>
        <w:rPr>
          <w:rFonts w:ascii="Arial" w:cs="Arial" w:eastAsia="Arial" w:hAnsi="Arial"/>
          <w:sz w:val="17"/>
          <w:szCs w:val="17"/>
          <w:color w:val="auto"/>
        </w:rPr>
      </w:pPr>
    </w:p>
    <w:p>
      <w:pPr>
        <w:ind w:left="4620" w:hanging="157"/>
        <w:spacing w:after="0"/>
        <w:tabs>
          <w:tab w:leader="none" w:pos="4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5937250" cy="222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113" w:name="page114"/>
    <w:bookmarkEnd w:id="113"/>
    <w:p>
      <w:pPr>
        <w:jc w:val="both"/>
        <w:ind w:left="-20" w:firstLine="552"/>
        <w:spacing w:after="0" w:line="265" w:lineRule="auto"/>
        <w:tabs>
          <w:tab w:leader="none" w:pos="814"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Country Addendum</w:t>
      </w:r>
      <w:r>
        <w:rPr>
          <w:rFonts w:ascii="Arial" w:cs="Arial" w:eastAsia="Arial" w:hAnsi="Arial"/>
          <w:sz w:val="16"/>
          <w:szCs w:val="16"/>
          <w:color w:val="auto"/>
        </w:rPr>
        <w:t>. Notwithstanding any provisions in this Award Agreement, this Option shall be subject to any special terms and conditions set forth in any appendix to this Award Agreement for Participant’s country (the “Country Addendum”). Moreover, if Participant relocates to one of the countries included in the Country Addendum,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48" w:lineRule="exact"/>
        <w:rPr>
          <w:rFonts w:ascii="Arial" w:cs="Arial" w:eastAsia="Arial" w:hAnsi="Arial"/>
          <w:sz w:val="16"/>
          <w:szCs w:val="16"/>
          <w:color w:val="auto"/>
        </w:rPr>
      </w:pPr>
    </w:p>
    <w:p>
      <w:pPr>
        <w:jc w:val="both"/>
        <w:ind w:left="-20" w:firstLine="552"/>
        <w:spacing w:after="0" w:line="282" w:lineRule="auto"/>
        <w:tabs>
          <w:tab w:leader="none" w:pos="814"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Modifications to the Agreement</w:t>
      </w:r>
      <w:r>
        <w:rPr>
          <w:rFonts w:ascii="Arial" w:cs="Arial" w:eastAsia="Arial" w:hAnsi="Arial"/>
          <w:sz w:val="15"/>
          <w:szCs w:val="15"/>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137" w:lineRule="exact"/>
        <w:rPr>
          <w:rFonts w:ascii="Arial" w:cs="Arial" w:eastAsia="Arial" w:hAnsi="Arial"/>
          <w:sz w:val="15"/>
          <w:szCs w:val="15"/>
          <w:color w:val="auto"/>
        </w:rPr>
      </w:pPr>
    </w:p>
    <w:p>
      <w:pPr>
        <w:jc w:val="both"/>
        <w:ind w:left="-20" w:firstLine="552"/>
        <w:spacing w:after="0" w:line="248" w:lineRule="auto"/>
        <w:tabs>
          <w:tab w:leader="none" w:pos="814"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60" w:lineRule="exact"/>
        <w:rPr>
          <w:rFonts w:ascii="Arial" w:cs="Arial" w:eastAsia="Arial" w:hAnsi="Arial"/>
          <w:sz w:val="17"/>
          <w:szCs w:val="17"/>
          <w:color w:val="auto"/>
        </w:rPr>
      </w:pPr>
    </w:p>
    <w:p>
      <w:pPr>
        <w:jc w:val="both"/>
        <w:ind w:left="-20" w:firstLine="552"/>
        <w:spacing w:after="0" w:line="265" w:lineRule="auto"/>
        <w:tabs>
          <w:tab w:leader="none" w:pos="814"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Tax Consequences</w:t>
      </w:r>
      <w:r>
        <w:rPr>
          <w:rFonts w:ascii="Arial" w:cs="Arial" w:eastAsia="Arial" w:hAnsi="Arial"/>
          <w:sz w:val="16"/>
          <w:szCs w:val="16"/>
          <w:color w:val="auto"/>
        </w:rPr>
        <w:t>. Participant has reviewed with its own tax advisors the U.S. federal, state, local and foreign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4600" w:hanging="157"/>
        <w:spacing w:after="0"/>
        <w:tabs>
          <w:tab w:leader="none" w:pos="46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71120</wp:posOffset>
            </wp:positionV>
            <wp:extent cx="5937250" cy="222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309" w:right="115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COUNTRY ADDENDUM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Country Addendum includes additional terms and conditions that govern the Option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Option, the Company will, in its discretion, determine the extent to which the terms and conditions contained herein will be applicable to Participant.</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Certain capitalized terms used but not defined in this Country Addendum shall have the meanings set forth in the Plan, the and/or the Award Agreement to which this Country Addendum is attached.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This Country Addendum also includes notifications relating to exchange control and other issues of which Participant should be aware with respect to his or her participation in the Plan. The information is based on the exchange control, securities and other laws in effect in the countries listed in this Country Addendum, as of May 16, 2017.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exercises the Option or sells Shares acquired under the Plan.</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Finally, if Participant is a citizen or resident of a country other than the one in which Participant is currently working (or is considered as such for local law purposes) or if Participant moves to another country after the Option is granted, the information contained herein may not be applicable to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533400</wp:posOffset>
            </wp:positionV>
            <wp:extent cx="5937250" cy="222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EXERCISE NOTICE</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Pulse Biosciences, Inc.</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3957 Point Eden Way,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Hayward, CA 94545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Attention: Stock Administration</w:t>
      </w:r>
    </w:p>
    <w:p>
      <w:pPr>
        <w:spacing w:after="0" w:line="367" w:lineRule="exact"/>
        <w:rPr>
          <w:sz w:val="20"/>
          <w:szCs w:val="20"/>
          <w:color w:val="auto"/>
        </w:rPr>
      </w:pPr>
    </w:p>
    <w:p>
      <w:pPr>
        <w:jc w:val="both"/>
        <w:ind w:firstLine="552"/>
        <w:spacing w:after="0" w:line="265" w:lineRule="auto"/>
        <w:tabs>
          <w:tab w:leader="none" w:pos="83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Effective as of today, ________________, _____, the undersigned (“Purchaser”) hereby elects to purchase ______________ shares (the “Shares”) of the Common Stock of Pulse Biosciences, Inc. (the “Company”) under and pursuant to the 2017 Equity Incentive Plan (the “Plan”) and the Stock Option Agreement, dated ________ and including the Notice of Grant, the Terms and Conditions of Stock Option Grant, and appendices and exhibits attached thereto (the “Award Agreement”). The purchase price for the Shares will be $_____________, as required by the Award Agreement.</w:t>
      </w:r>
    </w:p>
    <w:p>
      <w:pPr>
        <w:spacing w:after="0" w:line="148" w:lineRule="exact"/>
        <w:rPr>
          <w:rFonts w:ascii="Arial" w:cs="Arial" w:eastAsia="Arial" w:hAnsi="Arial"/>
          <w:sz w:val="16"/>
          <w:szCs w:val="16"/>
          <w:color w:val="auto"/>
        </w:rPr>
      </w:pPr>
    </w:p>
    <w:p>
      <w:pPr>
        <w:ind w:firstLine="552"/>
        <w:spacing w:after="0" w:line="295" w:lineRule="auto"/>
        <w:tabs>
          <w:tab w:leader="none" w:pos="83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Delivery of Payment</w:t>
      </w:r>
      <w:r>
        <w:rPr>
          <w:rFonts w:ascii="Arial" w:cs="Arial" w:eastAsia="Arial" w:hAnsi="Arial"/>
          <w:sz w:val="16"/>
          <w:szCs w:val="16"/>
          <w:color w:val="auto"/>
        </w:rPr>
        <w:t>. Purchaser herewith delivers to the Company the full purchase price of the Shares and any Tax Obligations (as defined in Section 7(a) of the Award Agreement) to be paid in connection with the exercise of the Option.</w:t>
      </w:r>
    </w:p>
    <w:p>
      <w:pPr>
        <w:spacing w:after="0" w:line="124" w:lineRule="exact"/>
        <w:rPr>
          <w:rFonts w:ascii="Arial" w:cs="Arial" w:eastAsia="Arial" w:hAnsi="Arial"/>
          <w:sz w:val="16"/>
          <w:szCs w:val="16"/>
          <w:color w:val="auto"/>
        </w:rPr>
      </w:pPr>
    </w:p>
    <w:p>
      <w:pPr>
        <w:ind w:firstLine="552"/>
        <w:spacing w:after="0" w:line="264" w:lineRule="auto"/>
        <w:tabs>
          <w:tab w:leader="none" w:pos="83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Representations of Purchaser</w:t>
      </w:r>
      <w:r>
        <w:rPr>
          <w:rFonts w:ascii="Arial" w:cs="Arial" w:eastAsia="Arial" w:hAnsi="Arial"/>
          <w:sz w:val="17"/>
          <w:szCs w:val="17"/>
          <w:color w:val="auto"/>
        </w:rPr>
        <w:t>. Purchaser acknowledges that Purchaser has received, read and understood the Plan and the Award Agreement and agrees to abide by and be bound by their terms and conditions.</w:t>
      </w:r>
    </w:p>
    <w:p>
      <w:pPr>
        <w:spacing w:after="0" w:line="146" w:lineRule="exact"/>
        <w:rPr>
          <w:rFonts w:ascii="Arial" w:cs="Arial" w:eastAsia="Arial" w:hAnsi="Arial"/>
          <w:sz w:val="17"/>
          <w:szCs w:val="17"/>
          <w:color w:val="auto"/>
        </w:rPr>
      </w:pPr>
    </w:p>
    <w:p>
      <w:pPr>
        <w:jc w:val="both"/>
        <w:ind w:firstLine="552"/>
        <w:spacing w:after="0" w:line="265" w:lineRule="auto"/>
        <w:tabs>
          <w:tab w:leader="none" w:pos="83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15 of the Plan.</w:t>
      </w:r>
    </w:p>
    <w:p>
      <w:pPr>
        <w:spacing w:after="0" w:line="148" w:lineRule="exact"/>
        <w:rPr>
          <w:rFonts w:ascii="Arial" w:cs="Arial" w:eastAsia="Arial" w:hAnsi="Arial"/>
          <w:sz w:val="16"/>
          <w:szCs w:val="16"/>
          <w:color w:val="auto"/>
        </w:rPr>
      </w:pPr>
    </w:p>
    <w:p>
      <w:pPr>
        <w:jc w:val="both"/>
        <w:ind w:firstLine="552"/>
        <w:spacing w:after="0" w:line="248" w:lineRule="auto"/>
        <w:tabs>
          <w:tab w:leader="none" w:pos="83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60" w:lineRule="exact"/>
        <w:rPr>
          <w:rFonts w:ascii="Arial" w:cs="Arial" w:eastAsia="Arial" w:hAnsi="Arial"/>
          <w:sz w:val="17"/>
          <w:szCs w:val="17"/>
          <w:color w:val="auto"/>
        </w:rPr>
      </w:pPr>
    </w:p>
    <w:p>
      <w:pPr>
        <w:jc w:val="both"/>
        <w:ind w:firstLine="552"/>
        <w:spacing w:after="0" w:line="265" w:lineRule="auto"/>
        <w:tabs>
          <w:tab w:leader="none" w:pos="83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652780</wp:posOffset>
            </wp:positionV>
            <wp:extent cx="5937250" cy="222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116" w:name="page117"/>
    <w:bookmarkEnd w:id="116"/>
    <w:p>
      <w:pPr>
        <w:ind w:left="80"/>
        <w:spacing w:after="0"/>
        <w:rPr>
          <w:sz w:val="20"/>
          <w:szCs w:val="20"/>
          <w:color w:val="auto"/>
        </w:rPr>
      </w:pPr>
      <w:r>
        <w:rPr>
          <w:rFonts w:ascii="Arial" w:cs="Arial" w:eastAsia="Arial" w:hAnsi="Arial"/>
          <w:sz w:val="16"/>
          <w:szCs w:val="16"/>
          <w:color w:val="auto"/>
        </w:rPr>
        <w:t>Submitted by:</w:t>
      </w:r>
    </w:p>
    <w:p>
      <w:pPr>
        <w:spacing w:after="0" w:line="93" w:lineRule="exact"/>
        <w:rPr>
          <w:sz w:val="20"/>
          <w:szCs w:val="20"/>
          <w:color w:val="auto"/>
        </w:rPr>
      </w:pPr>
    </w:p>
    <w:p>
      <w:pPr>
        <w:ind w:left="80"/>
        <w:spacing w:after="0"/>
        <w:rPr>
          <w:sz w:val="20"/>
          <w:szCs w:val="20"/>
          <w:color w:val="auto"/>
        </w:rPr>
      </w:pPr>
      <w:r>
        <w:rPr>
          <w:rFonts w:ascii="Arial" w:cs="Arial" w:eastAsia="Arial" w:hAnsi="Arial"/>
          <w:sz w:val="15"/>
          <w:szCs w:val="15"/>
          <w:color w:val="auto"/>
        </w:rPr>
        <w:t>PURCHASER</w:t>
      </w:r>
    </w:p>
    <w:p>
      <w:pPr>
        <w:spacing w:after="0" w:line="200" w:lineRule="exact"/>
        <w:rPr>
          <w:sz w:val="20"/>
          <w:szCs w:val="20"/>
          <w:color w:val="auto"/>
        </w:rPr>
      </w:pPr>
    </w:p>
    <w:p>
      <w:pPr>
        <w:spacing w:after="0" w:line="388" w:lineRule="exact"/>
        <w:rPr>
          <w:sz w:val="20"/>
          <w:szCs w:val="20"/>
          <w:color w:val="auto"/>
        </w:rPr>
      </w:pPr>
    </w:p>
    <w:p>
      <w:pPr>
        <w:ind w:left="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-121285</wp:posOffset>
            </wp:positionV>
            <wp:extent cx="426085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4260850" cy="7620"/>
                    </a:xfrm>
                    <a:prstGeom prst="rect">
                      <a:avLst/>
                    </a:prstGeom>
                    <a:noFill/>
                  </pic:spPr>
                </pic:pic>
              </a:graphicData>
            </a:graphic>
          </wp:anchor>
        </w:drawing>
      </w:r>
    </w:p>
    <w:p>
      <w:pPr>
        <w:spacing w:after="0" w:line="338" w:lineRule="exact"/>
        <w:rPr>
          <w:sz w:val="20"/>
          <w:szCs w:val="20"/>
          <w:color w:val="auto"/>
        </w:rPr>
      </w:pPr>
    </w:p>
    <w:p>
      <w:pPr>
        <w:ind w:left="8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-121285</wp:posOffset>
            </wp:positionV>
            <wp:extent cx="426085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4260850" cy="7620"/>
                    </a:xfrm>
                    <a:prstGeom prst="rect">
                      <a:avLst/>
                    </a:prstGeom>
                    <a:noFill/>
                  </pic:spPr>
                </pic:pic>
              </a:graphicData>
            </a:graphic>
          </wp:anchor>
        </w:drawing>
      </w:r>
    </w:p>
    <w:p>
      <w:pPr>
        <w:spacing w:after="0" w:line="130" w:lineRule="exact"/>
        <w:rPr>
          <w:sz w:val="20"/>
          <w:szCs w:val="20"/>
          <w:color w:val="auto"/>
        </w:rPr>
      </w:pPr>
    </w:p>
    <w:p>
      <w:pPr>
        <w:ind w:left="80"/>
        <w:spacing w:after="0"/>
        <w:rPr>
          <w:sz w:val="20"/>
          <w:szCs w:val="20"/>
          <w:color w:val="auto"/>
        </w:rPr>
      </w:pPr>
      <w:r>
        <w:rPr>
          <w:rFonts w:ascii="Arial" w:cs="Arial" w:eastAsia="Arial" w:hAnsi="Arial"/>
          <w:sz w:val="17"/>
          <w:szCs w:val="17"/>
          <w:u w:val="single" w:color="auto"/>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361315</wp:posOffset>
            </wp:positionV>
            <wp:extent cx="426085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4260850" cy="762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185420</wp:posOffset>
            </wp:positionV>
            <wp:extent cx="426085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42608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Accepted by:</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PULSE BIOSCIENCES, INC.</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-121285</wp:posOffset>
            </wp:positionV>
            <wp:extent cx="187642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1876425" cy="762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-121285</wp:posOffset>
            </wp:positionV>
            <wp:extent cx="187642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18764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-121285</wp:posOffset>
            </wp:positionV>
            <wp:extent cx="187642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1876425" cy="7620"/>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836930</wp:posOffset>
            </wp:positionV>
            <wp:extent cx="5937250" cy="222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2">
            <w:col w:w="6640" w:space="720"/>
            <w:col w:w="2080"/>
          </w:cols>
          <w:pgMar w:left="1440" w:top="205" w:right="101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20"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STOCK OPTION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PARTICIPANTS SUBJECT TO TAX IN CANADA</w:t>
      </w:r>
    </w:p>
    <w:p>
      <w:pPr>
        <w:spacing w:after="0" w:line="381"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u w:val="single" w:color="auto"/>
          <w:color w:val="auto"/>
        </w:rPr>
        <w:t>NOTICE OF STOCK OPTION GRANT</w:t>
      </w:r>
    </w:p>
    <w:p>
      <w:pPr>
        <w:spacing w:after="0" w:line="189" w:lineRule="exact"/>
        <w:rPr>
          <w:sz w:val="20"/>
          <w:szCs w:val="20"/>
          <w:color w:val="auto"/>
        </w:rPr>
      </w:pPr>
    </w:p>
    <w:p>
      <w:pPr>
        <w:jc w:val="both"/>
        <w:ind w:firstLine="553"/>
        <w:spacing w:after="0" w:line="301" w:lineRule="auto"/>
        <w:rPr>
          <w:sz w:val="20"/>
          <w:szCs w:val="20"/>
          <w:color w:val="auto"/>
        </w:rPr>
      </w:pPr>
      <w:r>
        <w:rPr>
          <w:rFonts w:ascii="Arial" w:cs="Arial" w:eastAsia="Arial" w:hAnsi="Arial"/>
          <w:sz w:val="15"/>
          <w:szCs w:val="15"/>
          <w:color w:val="auto"/>
        </w:rPr>
        <w:t>Unless otherwise defined herein, the terms defined in the Pulse Biosciences, Inc. 2017 Equity Incentive Plan (the “Plan”) will have the same defined meanings in this Stock Option Agreement including the Notice of Stock Option Grant (the “Notice of Grant”), the Terms and Conditions of Stock Option Grant, and the appendices and exhibits attached thereto (all together, the “Award Agreement”).</w:t>
      </w:r>
    </w:p>
    <w:p>
      <w:pPr>
        <w:spacing w:after="0" w:line="119" w:lineRule="exact"/>
        <w:rPr>
          <w:sz w:val="20"/>
          <w:szCs w:val="20"/>
          <w:color w:val="auto"/>
        </w:rPr>
      </w:pPr>
    </w:p>
    <w:p>
      <w:pPr>
        <w:ind w:left="560"/>
        <w:spacing w:after="0"/>
        <w:tabs>
          <w:tab w:leader="none" w:pos="2700" w:val="left"/>
        </w:tabs>
        <w:rPr>
          <w:sz w:val="20"/>
          <w:szCs w:val="20"/>
          <w:color w:val="auto"/>
        </w:rPr>
      </w:pPr>
      <w:r>
        <w:rPr>
          <w:rFonts w:ascii="Arial" w:cs="Arial" w:eastAsia="Arial" w:hAnsi="Arial"/>
          <w:sz w:val="17"/>
          <w:szCs w:val="17"/>
          <w:b w:val="1"/>
          <w:bCs w:val="1"/>
          <w:color w:val="auto"/>
        </w:rPr>
        <w:t>Name (“Participant”):</w:t>
      </w:r>
      <w:r>
        <w:rPr>
          <w:sz w:val="20"/>
          <w:szCs w:val="20"/>
          <w:color w:val="auto"/>
        </w:rPr>
        <w:tab/>
      </w:r>
      <w:r>
        <w:rPr>
          <w:rFonts w:ascii="Arial" w:cs="Arial" w:eastAsia="Arial" w:hAnsi="Arial"/>
          <w:sz w:val="17"/>
          <w:szCs w:val="17"/>
          <w:color w:val="auto"/>
        </w:rPr>
        <w:t>[[</w:t>
      </w:r>
      <w:r>
        <w:rPr>
          <w:rFonts w:ascii="Arial" w:cs="Arial" w:eastAsia="Arial" w:hAnsi="Arial"/>
          <w:sz w:val="17"/>
          <w:szCs w:val="17"/>
          <w:color w:val="2B2105"/>
        </w:rPr>
        <w:t>FIRSTNAME]] [[LASTNAME]]</w:t>
      </w:r>
    </w:p>
    <w:p>
      <w:pPr>
        <w:spacing w:after="0" w:line="185" w:lineRule="exact"/>
        <w:rPr>
          <w:sz w:val="20"/>
          <w:szCs w:val="20"/>
          <w:color w:val="auto"/>
        </w:rPr>
      </w:pPr>
    </w:p>
    <w:p>
      <w:pPr>
        <w:ind w:left="560"/>
        <w:spacing w:after="0"/>
        <w:tabs>
          <w:tab w:leader="none" w:pos="2840" w:val="left"/>
        </w:tabs>
        <w:rPr>
          <w:sz w:val="20"/>
          <w:szCs w:val="20"/>
          <w:color w:val="auto"/>
        </w:rPr>
      </w:pPr>
      <w:r>
        <w:rPr>
          <w:rFonts w:ascii="Arial" w:cs="Arial" w:eastAsia="Arial" w:hAnsi="Arial"/>
          <w:sz w:val="17"/>
          <w:szCs w:val="17"/>
          <w:b w:val="1"/>
          <w:bCs w:val="1"/>
          <w:color w:val="auto"/>
        </w:rPr>
        <w:t>Address:</w:t>
      </w:r>
      <w:r>
        <w:rPr>
          <w:sz w:val="20"/>
          <w:szCs w:val="20"/>
          <w:color w:val="auto"/>
        </w:rPr>
        <w:tab/>
      </w:r>
      <w:r>
        <w:rPr>
          <w:rFonts w:ascii="Arial" w:cs="Arial" w:eastAsia="Arial" w:hAnsi="Arial"/>
          <w:sz w:val="17"/>
          <w:szCs w:val="17"/>
          <w:color w:val="auto"/>
        </w:rPr>
        <w:t>[[</w:t>
      </w:r>
      <w:r>
        <w:rPr>
          <w:rFonts w:ascii="Arial" w:cs="Arial" w:eastAsia="Arial" w:hAnsi="Arial"/>
          <w:sz w:val="17"/>
          <w:szCs w:val="17"/>
          <w:color w:val="2B2105"/>
        </w:rPr>
        <w:t>RESADDR1]]</w:t>
      </w:r>
    </w:p>
    <w:p>
      <w:pPr>
        <w:spacing w:after="0" w:line="19" w:lineRule="exact"/>
        <w:rPr>
          <w:sz w:val="20"/>
          <w:szCs w:val="20"/>
          <w:color w:val="auto"/>
        </w:rPr>
      </w:pPr>
    </w:p>
    <w:p>
      <w:pPr>
        <w:ind w:left="2760"/>
        <w:spacing w:after="0"/>
        <w:rPr>
          <w:sz w:val="20"/>
          <w:szCs w:val="20"/>
          <w:color w:val="auto"/>
        </w:rPr>
      </w:pPr>
      <w:r>
        <w:rPr>
          <w:rFonts w:ascii="Arial" w:cs="Arial" w:eastAsia="Arial" w:hAnsi="Arial"/>
          <w:sz w:val="17"/>
          <w:szCs w:val="17"/>
          <w:color w:val="2B2105"/>
        </w:rPr>
        <w:t>[[RESADDR2]]</w:t>
      </w:r>
    </w:p>
    <w:p>
      <w:pPr>
        <w:spacing w:after="0" w:line="1" w:lineRule="exact"/>
        <w:rPr>
          <w:sz w:val="20"/>
          <w:szCs w:val="20"/>
          <w:color w:val="auto"/>
        </w:rPr>
      </w:pPr>
    </w:p>
    <w:p>
      <w:pPr>
        <w:jc w:val="center"/>
        <w:ind w:right="-639"/>
        <w:spacing w:after="0"/>
        <w:rPr>
          <w:sz w:val="20"/>
          <w:szCs w:val="20"/>
          <w:color w:val="auto"/>
        </w:rPr>
      </w:pPr>
      <w:r>
        <w:rPr>
          <w:rFonts w:ascii="Arial" w:cs="Arial" w:eastAsia="Arial" w:hAnsi="Arial"/>
          <w:sz w:val="17"/>
          <w:szCs w:val="17"/>
          <w:color w:val="auto"/>
        </w:rPr>
        <w:t>[[RESCITY]],[[</w:t>
      </w:r>
      <w:r>
        <w:rPr>
          <w:rFonts w:ascii="Arial" w:cs="Arial" w:eastAsia="Arial" w:hAnsi="Arial"/>
          <w:sz w:val="17"/>
          <w:szCs w:val="17"/>
          <w:color w:val="2B2105"/>
        </w:rPr>
        <w:t>RESSTATEORPROV]]  [[RESPOSTALCODE]]</w:t>
      </w:r>
    </w:p>
    <w:p>
      <w:pPr>
        <w:spacing w:after="0" w:line="171"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7"/>
          <w:szCs w:val="17"/>
          <w:color w:val="auto"/>
        </w:rPr>
        <w:t>The undersigned Participant has been granted an Option to purchase Common Stock of Pulse Biosciences, Inc. (the “Company”), subject to the terms and conditions of the Plan and this Award Agreement, as follows:</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2280" w:type="dxa"/>
            <w:vAlign w:val="bottom"/>
            <w:gridSpan w:val="2"/>
          </w:tcPr>
          <w:p>
            <w:pPr>
              <w:spacing w:after="0"/>
              <w:rPr>
                <w:sz w:val="20"/>
                <w:szCs w:val="20"/>
                <w:color w:val="auto"/>
              </w:rPr>
            </w:pPr>
            <w:r>
              <w:rPr>
                <w:rFonts w:ascii="Arial" w:cs="Arial" w:eastAsia="Arial" w:hAnsi="Arial"/>
                <w:sz w:val="17"/>
                <w:szCs w:val="17"/>
                <w:color w:val="auto"/>
              </w:rPr>
              <w:t>Grant Number</w:t>
            </w:r>
          </w:p>
        </w:tc>
        <w:tc>
          <w:tcPr>
            <w:tcW w:w="3080" w:type="dxa"/>
            <w:vAlign w:val="bottom"/>
          </w:tcPr>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GRANTNUMBER]]</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Date of Grant</w:t>
            </w:r>
          </w:p>
        </w:tc>
        <w:tc>
          <w:tcPr>
            <w:tcW w:w="3080" w:type="dxa"/>
            <w:vAlign w:val="bottom"/>
          </w:tcPr>
          <w:p>
            <w:pPr>
              <w:ind w:left="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GRANTDATE]]</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w w:val="99"/>
              </w:rPr>
              <w:t>Vesting Commencement Date</w:t>
            </w:r>
          </w:p>
        </w:tc>
        <w:tc>
          <w:tcPr>
            <w:tcW w:w="3080" w:type="dxa"/>
            <w:vAlign w:val="bottom"/>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VESTINGSTARTDATE]]</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Number of Shares Granted</w:t>
            </w:r>
          </w:p>
        </w:tc>
        <w:tc>
          <w:tcPr>
            <w:tcW w:w="3080" w:type="dxa"/>
            <w:vAlign w:val="bottom"/>
          </w:tcPr>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SHARESGRANTED]]</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Exercise Price per Share</w:t>
            </w:r>
          </w:p>
        </w:tc>
        <w:tc>
          <w:tcPr>
            <w:tcW w:w="3080" w:type="dxa"/>
            <w:vAlign w:val="bottom"/>
          </w:tcPr>
          <w:p>
            <w:pPr>
              <w:ind w:left="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GRANTPRICE]]</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Total Exercise Price</w:t>
            </w:r>
          </w:p>
        </w:tc>
        <w:tc>
          <w:tcPr>
            <w:tcW w:w="3080" w:type="dxa"/>
            <w:vAlign w:val="bottom"/>
          </w:tcPr>
          <w:p>
            <w:pPr>
              <w:ind w:left="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MARKETPRICEATAWARD]]</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Term/Expiration Date</w:t>
            </w:r>
          </w:p>
        </w:tc>
        <w:tc>
          <w:tcPr>
            <w:tcW w:w="3080" w:type="dxa"/>
            <w:vAlign w:val="bottom"/>
          </w:tcPr>
          <w:p>
            <w:pPr>
              <w:ind w:left="8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2B2105"/>
                <w:w w:val="97"/>
              </w:rPr>
              <w:t>GRANTEXPIRATIONDATE]]</w:t>
            </w:r>
          </w:p>
        </w:tc>
      </w:tr>
      <w:tr>
        <w:trPr>
          <w:trHeight w:val="342"/>
        </w:trPr>
        <w:tc>
          <w:tcPr>
            <w:tcW w:w="2280" w:type="dxa"/>
            <w:vAlign w:val="bottom"/>
            <w:gridSpan w:val="2"/>
          </w:tcPr>
          <w:p>
            <w:pPr>
              <w:spacing w:after="0"/>
              <w:rPr>
                <w:sz w:val="20"/>
                <w:szCs w:val="20"/>
                <w:color w:val="auto"/>
              </w:rPr>
            </w:pPr>
            <w:r>
              <w:rPr>
                <w:rFonts w:ascii="Arial" w:cs="Arial" w:eastAsia="Arial" w:hAnsi="Arial"/>
                <w:sz w:val="17"/>
                <w:szCs w:val="17"/>
                <w:color w:val="auto"/>
              </w:rPr>
              <w:t>Vesting Schedule:</w:t>
            </w:r>
          </w:p>
        </w:tc>
        <w:tc>
          <w:tcPr>
            <w:tcW w:w="3080" w:type="dxa"/>
            <w:vAlign w:val="bottom"/>
          </w:tcPr>
          <w:p>
            <w:pPr>
              <w:spacing w:after="0"/>
              <w:rPr>
                <w:sz w:val="24"/>
                <w:szCs w:val="24"/>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7"/>
          <w:szCs w:val="17"/>
          <w:color w:val="auto"/>
        </w:rPr>
        <w:t>Subject to accelerated vesting as set forth below or in the Plan, this Option will be exercisable, in whole or in part, in accordance with the following schedule: [[</w:t>
      </w:r>
      <w:r>
        <w:rPr>
          <w:rFonts w:ascii="Arial" w:cs="Arial" w:eastAsia="Arial" w:hAnsi="Arial"/>
          <w:sz w:val="17"/>
          <w:szCs w:val="17"/>
          <w:color w:val="2B2105"/>
        </w:rPr>
        <w:t>VESTINGTEMPLATEDESC]]</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u w:val="single" w:color="auto"/>
          <w:color w:val="auto"/>
        </w:rPr>
        <w:t>Termination Period</w:t>
      </w:r>
      <w:r>
        <w:rPr>
          <w:rFonts w:ascii="Arial" w:cs="Arial" w:eastAsia="Arial" w:hAnsi="Arial"/>
          <w:sz w:val="17"/>
          <w:szCs w:val="17"/>
          <w:color w:val="auto"/>
        </w:rPr>
        <w:t>:</w:t>
      </w:r>
    </w:p>
    <w:p>
      <w:pPr>
        <w:spacing w:after="0" w:line="185" w:lineRule="exact"/>
        <w:rPr>
          <w:sz w:val="20"/>
          <w:szCs w:val="20"/>
          <w:color w:val="auto"/>
        </w:rPr>
      </w:pPr>
    </w:p>
    <w:p>
      <w:pPr>
        <w:jc w:val="both"/>
        <w:ind w:firstLine="553"/>
        <w:spacing w:after="0" w:line="268" w:lineRule="auto"/>
        <w:rPr>
          <w:sz w:val="20"/>
          <w:szCs w:val="20"/>
          <w:color w:val="auto"/>
        </w:rPr>
      </w:pPr>
      <w:r>
        <w:rPr>
          <w:rFonts w:ascii="Arial" w:cs="Arial" w:eastAsia="Arial" w:hAnsi="Arial"/>
          <w:sz w:val="16"/>
          <w:szCs w:val="16"/>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 sentence, in no event may this Option be exercised after the Term/Expiration Date as provided above and may be subject to earlier termination as provided in Section 15 of the Plan.</w:t>
      </w:r>
    </w:p>
    <w:p>
      <w:pPr>
        <w:spacing w:after="0" w:line="147"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7"/>
          <w:szCs w:val="17"/>
          <w:color w:val="auto"/>
        </w:rPr>
        <w:t>Participant acknowledges receipt of a copy of the Plan and represents that he or she is familiar with the terms and provisions thereof, and hereby accepts this Award Agreement subject to all of the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5937250" cy="222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118" w:name="page119"/>
    <w:bookmarkEnd w:id="118"/>
    <w:p>
      <w:pPr>
        <w:jc w:val="both"/>
        <w:spacing w:after="0" w:line="246" w:lineRule="auto"/>
        <w:rPr>
          <w:sz w:val="20"/>
          <w:szCs w:val="20"/>
          <w:color w:val="auto"/>
        </w:rPr>
      </w:pPr>
      <w:r>
        <w:rPr>
          <w:rFonts w:ascii="Arial" w:cs="Arial" w:eastAsia="Arial" w:hAnsi="Arial"/>
          <w:sz w:val="17"/>
          <w:szCs w:val="17"/>
          <w:color w:val="auto"/>
        </w:rPr>
        <w:t>provisions thereof. Participant has reviewed the Plan and this Award Agreement in their entirety, has had an opportunity to obtain the advice of counsel prior to executing this Award Agreement and fully understands all provisions of this Award Agreement. Participant hereby agrees to accept as binding, conclusive and final all decisions or interpretations of the Administrator upon any questions arising under the Plan or this Award Agreement. Participant further agrees to notify the Company upon any change in the residence address indicated below.</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PULSE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1317625" cy="402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131762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Sandra Gardiner, Chief Financial Officer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PARTICIPANT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ACCEPTED: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rPr>
          <w:sz w:val="20"/>
          <w:szCs w:val="20"/>
          <w:color w:val="auto"/>
        </w:rPr>
      </w:pPr>
      <w:r>
        <w:rPr>
          <w:rFonts w:ascii="Arial" w:cs="Arial" w:eastAsia="Arial" w:hAnsi="Arial"/>
          <w:sz w:val="17"/>
          <w:szCs w:val="17"/>
          <w:color w:val="auto"/>
        </w:rPr>
        <w:t>Signature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[[SIGNATURE_DATE]]</w:t>
      </w:r>
    </w:p>
    <w:p>
      <w:pPr>
        <w:spacing w:after="0"/>
        <w:rPr>
          <w:sz w:val="20"/>
          <w:szCs w:val="20"/>
          <w:color w:val="auto"/>
        </w:rPr>
      </w:pPr>
      <w:r>
        <w:rPr>
          <w:rFonts w:ascii="Arial" w:cs="Arial" w:eastAsia="Arial" w:hAnsi="Arial"/>
          <w:sz w:val="17"/>
          <w:szCs w:val="17"/>
          <w:color w:val="auto"/>
        </w:rPr>
        <w:t>Date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u w:val="single" w:color="auto"/>
          <w:color w:val="2B2105"/>
        </w:rPr>
        <w:t>FIRSTNAME]] [[LASTNAME]]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Print Name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RESADDR1]]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B2105"/>
        </w:rPr>
        <w:t>[[RESADDR2]]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[[RESCITY]], [[</w:t>
      </w:r>
      <w:r>
        <w:rPr>
          <w:rFonts w:ascii="Arial" w:cs="Arial" w:eastAsia="Arial" w:hAnsi="Arial"/>
          <w:sz w:val="17"/>
          <w:szCs w:val="17"/>
          <w:color w:val="2B2105"/>
        </w:rPr>
        <w:t>RESSTATEORPROV]] [[RESPOSTALCODE]]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791210</wp:posOffset>
            </wp:positionV>
            <wp:extent cx="5937250" cy="222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20"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STOCK OPTION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PARTICIPANTS SUBJECT TO TAX IN CANADA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TERMS AND CONDITIONS OF STOCK OPTION GRANT</w:t>
      </w:r>
    </w:p>
    <w:p>
      <w:pPr>
        <w:spacing w:after="0" w:line="189" w:lineRule="exact"/>
        <w:rPr>
          <w:sz w:val="20"/>
          <w:szCs w:val="20"/>
          <w:color w:val="auto"/>
        </w:rPr>
      </w:pPr>
    </w:p>
    <w:p>
      <w:pPr>
        <w:jc w:val="both"/>
        <w:ind w:firstLine="552"/>
        <w:spacing w:after="0" w:line="284" w:lineRule="auto"/>
        <w:tabs>
          <w:tab w:leader="none" w:pos="884" w:val="left"/>
        </w:tabs>
        <w:numPr>
          <w:ilvl w:val="0"/>
          <w:numId w:val="61"/>
        </w:numPr>
        <w:rPr>
          <w:rFonts w:ascii="Arial" w:cs="Arial" w:eastAsia="Arial" w:hAnsi="Arial"/>
          <w:sz w:val="15"/>
          <w:szCs w:val="15"/>
          <w:color w:val="auto"/>
        </w:rPr>
      </w:pPr>
      <w:r>
        <w:rPr>
          <w:rFonts w:ascii="Arial" w:cs="Arial" w:eastAsia="Arial" w:hAnsi="Arial"/>
          <w:sz w:val="15"/>
          <w:szCs w:val="15"/>
          <w:u w:val="single" w:color="auto"/>
          <w:color w:val="auto"/>
        </w:rPr>
        <w:t>Grant of Option</w:t>
      </w:r>
      <w:r>
        <w:rPr>
          <w:rFonts w:ascii="Arial" w:cs="Arial" w:eastAsia="Arial" w:hAnsi="Arial"/>
          <w:sz w:val="15"/>
          <w:szCs w:val="15"/>
          <w:color w:val="auto"/>
        </w:rPr>
        <w:t>. The Company hereby grants to the individual (the “Participant”) named in the Notice of Stock Option Grant of this Award Agreement (the “Notice of Grant”) an option (the “Option”) to purchase the number of Shares, as set forth in the Notice of Grant, at the exercise price per Share set forth in the Notice of Grant (the “Exercise Price”), which is not less than the Fair Market Value per Share on the Date of Grant of the Option, subject to all of the terms and conditions in this Award Agreement and the Plan, which is incorporated herein by reference. Subject to Section 20(c) of the Plan, in the event of a conflict between the terms and conditions of the Plan and the terms and conditions of this Award Agreement, the terms and conditions of the Plan will prevail.</w:t>
      </w:r>
    </w:p>
    <w:p>
      <w:pPr>
        <w:spacing w:after="0" w:line="135" w:lineRule="exact"/>
        <w:rPr>
          <w:rFonts w:ascii="Arial" w:cs="Arial" w:eastAsia="Arial" w:hAnsi="Arial"/>
          <w:sz w:val="15"/>
          <w:szCs w:val="15"/>
          <w:color w:val="auto"/>
        </w:rPr>
      </w:pPr>
    </w:p>
    <w:p>
      <w:pPr>
        <w:jc w:val="both"/>
        <w:ind w:firstLine="552"/>
        <w:spacing w:after="0" w:line="268" w:lineRule="auto"/>
        <w:tabs>
          <w:tab w:leader="none" w:pos="872"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spacing w:after="0" w:line="146" w:lineRule="exact"/>
        <w:rPr>
          <w:rFonts w:ascii="Arial" w:cs="Arial" w:eastAsia="Arial" w:hAnsi="Arial"/>
          <w:sz w:val="16"/>
          <w:szCs w:val="16"/>
          <w:color w:val="auto"/>
        </w:rPr>
      </w:pPr>
    </w:p>
    <w:p>
      <w:pPr>
        <w:jc w:val="both"/>
        <w:ind w:firstLine="552"/>
        <w:spacing w:after="0" w:line="252" w:lineRule="auto"/>
        <w:tabs>
          <w:tab w:leader="none" w:pos="884"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Administrator Discretion</w:t>
      </w:r>
      <w:r>
        <w:rPr>
          <w:rFonts w:ascii="Arial" w:cs="Arial" w:eastAsia="Arial" w:hAnsi="Arial"/>
          <w:sz w:val="17"/>
          <w:szCs w:val="17"/>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56" w:lineRule="exact"/>
        <w:rPr>
          <w:rFonts w:ascii="Arial" w:cs="Arial" w:eastAsia="Arial" w:hAnsi="Arial"/>
          <w:sz w:val="17"/>
          <w:szCs w:val="17"/>
          <w:color w:val="auto"/>
        </w:rPr>
      </w:pPr>
    </w:p>
    <w:p>
      <w:pPr>
        <w:ind w:left="880" w:hanging="328"/>
        <w:spacing w:after="0"/>
        <w:tabs>
          <w:tab w:leader="none" w:pos="88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firstLine="829"/>
        <w:spacing w:after="0" w:line="264" w:lineRule="auto"/>
        <w:tabs>
          <w:tab w:leader="none" w:pos="1175"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This Option may be exercised only within the term set out in the Notice of Grant, and may be exercised during such term only in accordance with the Plan and the terms of this Award Agreement.</w:t>
      </w:r>
    </w:p>
    <w:p>
      <w:pPr>
        <w:spacing w:after="0" w:line="146" w:lineRule="exact"/>
        <w:rPr>
          <w:rFonts w:ascii="Arial" w:cs="Arial" w:eastAsia="Arial" w:hAnsi="Arial"/>
          <w:sz w:val="17"/>
          <w:szCs w:val="17"/>
          <w:color w:val="auto"/>
        </w:rPr>
      </w:pPr>
    </w:p>
    <w:p>
      <w:pPr>
        <w:jc w:val="both"/>
        <w:ind w:firstLine="829"/>
        <w:spacing w:after="0" w:line="282" w:lineRule="auto"/>
        <w:tabs>
          <w:tab w:leader="none" w:pos="1173" w:val="left"/>
        </w:tabs>
        <w:numPr>
          <w:ilvl w:val="1"/>
          <w:numId w:val="61"/>
        </w:numPr>
        <w:rPr>
          <w:rFonts w:ascii="Arial" w:cs="Arial" w:eastAsia="Arial" w:hAnsi="Arial"/>
          <w:sz w:val="15"/>
          <w:szCs w:val="15"/>
          <w:color w:val="auto"/>
        </w:rPr>
      </w:pPr>
      <w:r>
        <w:rPr>
          <w:rFonts w:ascii="Arial" w:cs="Arial" w:eastAsia="Arial" w:hAnsi="Arial"/>
          <w:sz w:val="15"/>
          <w:szCs w:val="15"/>
          <w:u w:val="single" w:color="auto"/>
          <w:color w:val="auto"/>
        </w:rPr>
        <w:t>Method of Exercise</w:t>
      </w:r>
      <w:r>
        <w:rPr>
          <w:rFonts w:ascii="Arial" w:cs="Arial" w:eastAsia="Arial" w:hAnsi="Arial"/>
          <w:sz w:val="15"/>
          <w:szCs w:val="15"/>
          <w:color w:val="auto"/>
        </w:rPr>
        <w:t xml:space="preserve">. This Option is exercisable by delivery of an exercise notice (the “Exercise Notice”) in the form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and of any Tax Obligations (as defined in Section 6(a)). This Option will be deemed to be exercised upon receipt by the Company of such fully executed Exercise Notice accompanied by the aggregate Exercise Price.</w:t>
      </w:r>
    </w:p>
    <w:p>
      <w:pPr>
        <w:spacing w:after="0" w:line="137" w:lineRule="exact"/>
        <w:rPr>
          <w:rFonts w:ascii="Arial" w:cs="Arial" w:eastAsia="Arial" w:hAnsi="Arial"/>
          <w:sz w:val="15"/>
          <w:szCs w:val="15"/>
          <w:color w:val="auto"/>
        </w:rPr>
      </w:pPr>
    </w:p>
    <w:p>
      <w:pPr>
        <w:ind w:firstLine="552"/>
        <w:spacing w:after="0" w:line="264" w:lineRule="auto"/>
        <w:tabs>
          <w:tab w:leader="none" w:pos="872"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Payment of the aggregate Exercise Price will be by any of the following, or a combination thereof, at the election of Participant:</w:t>
      </w:r>
    </w:p>
    <w:p>
      <w:pPr>
        <w:spacing w:after="0" w:line="146" w:lineRule="exact"/>
        <w:rPr>
          <w:rFonts w:ascii="Arial" w:cs="Arial" w:eastAsia="Arial" w:hAnsi="Arial"/>
          <w:sz w:val="17"/>
          <w:szCs w:val="17"/>
          <w:color w:val="auto"/>
        </w:rPr>
      </w:pPr>
    </w:p>
    <w:p>
      <w:pPr>
        <w:ind w:left="1160" w:hanging="331"/>
        <w:spacing w:after="0"/>
        <w:tabs>
          <w:tab w:leader="none" w:pos="11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cash;</w:t>
      </w:r>
    </w:p>
    <w:p>
      <w:pPr>
        <w:spacing w:after="0" w:line="184" w:lineRule="exact"/>
        <w:rPr>
          <w:rFonts w:ascii="Arial" w:cs="Arial" w:eastAsia="Arial" w:hAnsi="Arial"/>
          <w:sz w:val="17"/>
          <w:szCs w:val="17"/>
          <w:color w:val="auto"/>
        </w:rPr>
      </w:pPr>
    </w:p>
    <w:p>
      <w:pPr>
        <w:ind w:left="1160" w:hanging="331"/>
        <w:spacing w:after="0"/>
        <w:tabs>
          <w:tab w:leader="none" w:pos="11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check;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5937250" cy="222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120" w:name="page121"/>
    <w:bookmarkEnd w:id="120"/>
    <w:p>
      <w:pPr>
        <w:ind w:left="-20" w:firstLine="829"/>
        <w:spacing w:after="0" w:line="263" w:lineRule="auto"/>
        <w:tabs>
          <w:tab w:leader="none" w:pos="1178" w:val="left"/>
        </w:tabs>
        <w:numPr>
          <w:ilvl w:val="1"/>
          <w:numId w:val="62"/>
        </w:numPr>
        <w:rPr>
          <w:rFonts w:ascii="Arial" w:cs="Arial" w:eastAsia="Arial" w:hAnsi="Arial"/>
          <w:sz w:val="17"/>
          <w:szCs w:val="17"/>
          <w:color w:val="auto"/>
        </w:rPr>
      </w:pPr>
      <w:r>
        <w:rPr>
          <w:rFonts w:ascii="Arial" w:cs="Arial" w:eastAsia="Arial" w:hAnsi="Arial"/>
          <w:sz w:val="17"/>
          <w:szCs w:val="17"/>
          <w:color w:val="auto"/>
        </w:rPr>
        <w:t>consideration received by the Company under a formal cashless exercise program adopted by the Company in connection with the Plan.</w:t>
      </w:r>
    </w:p>
    <w:p>
      <w:pPr>
        <w:spacing w:after="0" w:line="147" w:lineRule="exact"/>
        <w:rPr>
          <w:rFonts w:ascii="Arial" w:cs="Arial" w:eastAsia="Arial" w:hAnsi="Arial"/>
          <w:sz w:val="17"/>
          <w:szCs w:val="17"/>
          <w:color w:val="auto"/>
        </w:rPr>
      </w:pPr>
    </w:p>
    <w:p>
      <w:pPr>
        <w:ind w:left="860" w:hanging="328"/>
        <w:spacing w:after="0"/>
        <w:tabs>
          <w:tab w:leader="none" w:pos="86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Tax Obligations</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left="-20" w:firstLine="829"/>
        <w:spacing w:after="0" w:line="277" w:lineRule="auto"/>
        <w:tabs>
          <w:tab w:leader="none" w:pos="1143" w:val="left"/>
        </w:tabs>
        <w:numPr>
          <w:ilvl w:val="1"/>
          <w:numId w:val="63"/>
        </w:numPr>
        <w:rPr>
          <w:rFonts w:ascii="Arial" w:cs="Arial" w:eastAsia="Arial" w:hAnsi="Arial"/>
          <w:sz w:val="15"/>
          <w:szCs w:val="15"/>
          <w:color w:val="auto"/>
        </w:rPr>
      </w:pPr>
      <w:r>
        <w:rPr>
          <w:rFonts w:ascii="Arial" w:cs="Arial" w:eastAsia="Arial" w:hAnsi="Arial"/>
          <w:sz w:val="15"/>
          <w:szCs w:val="15"/>
          <w:color w:val="auto"/>
        </w:rPr>
        <w:t>Participant acknowledges that, regardless of any action taken by the Company or, if different, Participant’s employer (the “Employer”), the ultimate liability for any tax or other jurisdictional obligations (e.g., social taxes, welfare taxes, etc.),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Employer. Participant further acknowledges that the Company and/or the Employer (i) make no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(ii)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Employer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41" w:lineRule="exact"/>
        <w:rPr>
          <w:rFonts w:ascii="Arial" w:cs="Arial" w:eastAsia="Arial" w:hAnsi="Arial"/>
          <w:sz w:val="15"/>
          <w:szCs w:val="15"/>
          <w:color w:val="auto"/>
        </w:rPr>
      </w:pPr>
    </w:p>
    <w:p>
      <w:pPr>
        <w:jc w:val="both"/>
        <w:ind w:left="-20" w:firstLine="829"/>
        <w:spacing w:after="0" w:line="275" w:lineRule="auto"/>
        <w:tabs>
          <w:tab w:leader="none" w:pos="1164" w:val="left"/>
        </w:tabs>
        <w:numPr>
          <w:ilvl w:val="1"/>
          <w:numId w:val="63"/>
        </w:numPr>
        <w:rPr>
          <w:rFonts w:ascii="Arial" w:cs="Arial" w:eastAsia="Arial" w:hAnsi="Arial"/>
          <w:sz w:val="15"/>
          <w:szCs w:val="15"/>
          <w:color w:val="auto"/>
        </w:rPr>
      </w:pPr>
      <w:r>
        <w:rPr>
          <w:rFonts w:ascii="Arial" w:cs="Arial" w:eastAsia="Arial" w:hAnsi="Arial"/>
          <w:sz w:val="15"/>
          <w:szCs w:val="15"/>
          <w:u w:val="single" w:color="auto"/>
          <w:color w:val="auto"/>
        </w:rPr>
        <w:t>Tax Withholding</w:t>
      </w:r>
      <w:r>
        <w:rPr>
          <w:rFonts w:ascii="Arial" w:cs="Arial" w:eastAsia="Arial" w:hAnsi="Arial"/>
          <w:sz w:val="15"/>
          <w:szCs w:val="15"/>
          <w:color w:val="auto"/>
        </w:rPr>
        <w:t>. When, under applicable tax laws, a Participant incurs a liability to tax, duties or social security contributions in connection with the exercise of any Option that is subject to tax withholding, the Participant is obligated to either enter into an arrangement (as described herein) for the purpose of ensuring the employer or former employer has sufficient funds to discharge the liability or reimburse the employer or former employer the amount required to be paid to the applicable tax authorities. Pursuant to such procedures as the Administrator may specify from time to time, the Company and/or Employer shall withhold the minimum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(a) paying cash, (b) electing to have the Company withhold otherwise deliverable Shares having a Fair Market Value equal to the amount of such Tax Obligations, (c) withholding the amount of such Tax Obligations from Participant’s wages or other cash compensation paid to Participant by the company and/or the Employer, (d) selling a sufficient number of such Shares otherwise deliverable to Participant through such means as the Company may determine in its sole discretion (whether through a broker or otherwise) equal to the amount of the Tax Obligations. To the extent determined appropriate by the Company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Employer (and/or former employer, as applicable) may be required to withhold or account for tax in more than one jurisdiction. Exercise of the Option is conditional upon the Participant having entered into arrangements for this purpose which are satisfactory to the Participant’s employer or former employer.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288290</wp:posOffset>
            </wp:positionV>
            <wp:extent cx="5937250" cy="222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125" w:right="1159" w:bottom="1440" w:gutter="0" w:footer="0" w:header="0"/>
        </w:sectPr>
      </w:pPr>
    </w:p>
    <w:bookmarkStart w:id="121" w:name="page122"/>
    <w:bookmarkEnd w:id="121"/>
    <w:p>
      <w:pPr>
        <w:jc w:val="both"/>
        <w:ind w:left="-20" w:firstLine="552"/>
        <w:spacing w:after="0" w:line="245" w:lineRule="auto"/>
        <w:tabs>
          <w:tab w:leader="none" w:pos="852"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62" w:lineRule="exact"/>
        <w:rPr>
          <w:rFonts w:ascii="Arial" w:cs="Arial" w:eastAsia="Arial" w:hAnsi="Arial"/>
          <w:sz w:val="17"/>
          <w:szCs w:val="17"/>
          <w:color w:val="auto"/>
        </w:rPr>
      </w:pPr>
    </w:p>
    <w:p>
      <w:pPr>
        <w:jc w:val="both"/>
        <w:ind w:left="-20" w:firstLine="552"/>
        <w:spacing w:after="0" w:line="260" w:lineRule="auto"/>
        <w:tabs>
          <w:tab w:leader="none" w:pos="87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No Guarantee of Continued Service</w:t>
      </w:r>
      <w:r>
        <w:rPr>
          <w:rFonts w:ascii="Arial" w:cs="Arial" w:eastAsia="Arial" w:hAnsi="Arial"/>
          <w:sz w:val="16"/>
          <w:szCs w:val="16"/>
          <w:color w:val="auto"/>
        </w:rPr>
        <w:t>. PARTICIPANT ACKNOWLEDGES AND AGREES THAT THE VESTING OF SHARES PURSUANT TO THE VESTING SCHEDULE HEREOF IS EARNED ONLY BY CONTINUING AS A SERVICE PROVIDER AT THE WILL OF THE COMPANY (OR THE EMPLOYER) AND NOT THROUGH THE ACT OF BEING HIRED, BEING GRANTED THIS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EMPLOYER) TO TERMINATE PARTICIPANT’S RELATIONSHIP AS A SERVICE PROVIDER AT ANY TIME, WITH OR WITHOUT CAUSE.</w:t>
      </w:r>
    </w:p>
    <w:p>
      <w:pPr>
        <w:spacing w:after="0" w:line="154" w:lineRule="exact"/>
        <w:rPr>
          <w:rFonts w:ascii="Arial" w:cs="Arial" w:eastAsia="Arial" w:hAnsi="Arial"/>
          <w:sz w:val="16"/>
          <w:szCs w:val="16"/>
          <w:color w:val="auto"/>
        </w:rPr>
      </w:pPr>
    </w:p>
    <w:p>
      <w:pPr>
        <w:ind w:left="860" w:hanging="328"/>
        <w:spacing w:after="0"/>
        <w:tabs>
          <w:tab w:leader="none" w:pos="86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In accepting the Option, Participant acknowledges, understands and agrees that:</w:t>
      </w:r>
    </w:p>
    <w:p>
      <w:pPr>
        <w:spacing w:after="0" w:line="184" w:lineRule="exact"/>
        <w:rPr>
          <w:rFonts w:ascii="Arial" w:cs="Arial" w:eastAsia="Arial" w:hAnsi="Arial"/>
          <w:sz w:val="17"/>
          <w:szCs w:val="17"/>
          <w:color w:val="auto"/>
        </w:rPr>
      </w:pPr>
    </w:p>
    <w:p>
      <w:pPr>
        <w:ind w:left="-20" w:firstLine="829"/>
        <w:spacing w:after="0" w:line="264" w:lineRule="auto"/>
        <w:tabs>
          <w:tab w:leader="none" w:pos="1143"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grant of the Option is voluntary and occasional and does not create any contractual or other right to receive future grants of options, or benefits in lieu of options, even if options have been granted in the past;</w:t>
      </w:r>
    </w:p>
    <w:p>
      <w:pPr>
        <w:spacing w:after="0" w:line="146" w:lineRule="exact"/>
        <w:rPr>
          <w:rFonts w:ascii="Arial" w:cs="Arial" w:eastAsia="Arial" w:hAnsi="Arial"/>
          <w:sz w:val="17"/>
          <w:szCs w:val="17"/>
          <w:color w:val="auto"/>
        </w:rPr>
      </w:pPr>
    </w:p>
    <w:p>
      <w:pPr>
        <w:ind w:left="1140" w:hanging="331"/>
        <w:spacing w:after="0"/>
        <w:tabs>
          <w:tab w:leader="none" w:pos="11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decisions with respect to future option or other grants, if any, will be at the sole discretion of the Company;</w:t>
      </w:r>
    </w:p>
    <w:p>
      <w:pPr>
        <w:spacing w:after="0" w:line="196" w:lineRule="exact"/>
        <w:rPr>
          <w:rFonts w:ascii="Arial" w:cs="Arial" w:eastAsia="Arial" w:hAnsi="Arial"/>
          <w:sz w:val="16"/>
          <w:szCs w:val="16"/>
          <w:color w:val="auto"/>
        </w:rPr>
      </w:pPr>
    </w:p>
    <w:p>
      <w:pPr>
        <w:ind w:left="1140" w:hanging="331"/>
        <w:spacing w:after="0"/>
        <w:tabs>
          <w:tab w:leader="none" w:pos="11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Participant is voluntarily participating in the Plan;</w:t>
      </w:r>
    </w:p>
    <w:p>
      <w:pPr>
        <w:spacing w:after="0" w:line="184" w:lineRule="exact"/>
        <w:rPr>
          <w:rFonts w:ascii="Arial" w:cs="Arial" w:eastAsia="Arial" w:hAnsi="Arial"/>
          <w:sz w:val="17"/>
          <w:szCs w:val="17"/>
          <w:color w:val="auto"/>
        </w:rPr>
      </w:pPr>
    </w:p>
    <w:p>
      <w:pPr>
        <w:ind w:left="1140" w:hanging="331"/>
        <w:spacing w:after="0"/>
        <w:tabs>
          <w:tab w:leader="none" w:pos="1140" w:val="left"/>
        </w:tabs>
        <w:numPr>
          <w:ilvl w:val="1"/>
          <w:numId w:val="64"/>
        </w:numPr>
        <w:rPr>
          <w:rFonts w:ascii="Arial" w:cs="Arial" w:eastAsia="Arial" w:hAnsi="Arial"/>
          <w:sz w:val="15"/>
          <w:szCs w:val="15"/>
          <w:color w:val="auto"/>
        </w:rPr>
      </w:pPr>
      <w:r>
        <w:rPr>
          <w:rFonts w:ascii="Arial" w:cs="Arial" w:eastAsia="Arial" w:hAnsi="Arial"/>
          <w:sz w:val="15"/>
          <w:szCs w:val="15"/>
          <w:color w:val="auto"/>
        </w:rPr>
        <w:t>the Option and any Shares acquired under the Plan are not intended to replace any pension rights or compensation;</w:t>
      </w:r>
    </w:p>
    <w:p>
      <w:pPr>
        <w:spacing w:after="0" w:line="207" w:lineRule="exact"/>
        <w:rPr>
          <w:rFonts w:ascii="Arial" w:cs="Arial" w:eastAsia="Arial" w:hAnsi="Arial"/>
          <w:sz w:val="15"/>
          <w:szCs w:val="15"/>
          <w:color w:val="auto"/>
        </w:rPr>
      </w:pPr>
    </w:p>
    <w:p>
      <w:pPr>
        <w:jc w:val="both"/>
        <w:ind w:left="-20" w:firstLine="829"/>
        <w:spacing w:after="0" w:line="252" w:lineRule="auto"/>
        <w:tabs>
          <w:tab w:leader="none" w:pos="1143"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56" w:lineRule="exact"/>
        <w:rPr>
          <w:rFonts w:ascii="Arial" w:cs="Arial" w:eastAsia="Arial" w:hAnsi="Arial"/>
          <w:sz w:val="17"/>
          <w:szCs w:val="17"/>
          <w:color w:val="auto"/>
        </w:rPr>
      </w:pPr>
    </w:p>
    <w:p>
      <w:pPr>
        <w:ind w:left="1120" w:hanging="311"/>
        <w:spacing w:after="0"/>
        <w:tabs>
          <w:tab w:leader="none" w:pos="1120" w:val="left"/>
        </w:tabs>
        <w:numPr>
          <w:ilvl w:val="1"/>
          <w:numId w:val="64"/>
        </w:numPr>
        <w:rPr>
          <w:rFonts w:ascii="Arial" w:cs="Arial" w:eastAsia="Arial" w:hAnsi="Arial"/>
          <w:sz w:val="15"/>
          <w:szCs w:val="15"/>
          <w:color w:val="auto"/>
        </w:rPr>
      </w:pPr>
      <w:r>
        <w:rPr>
          <w:rFonts w:ascii="Arial" w:cs="Arial" w:eastAsia="Arial" w:hAnsi="Arial"/>
          <w:sz w:val="15"/>
          <w:szCs w:val="15"/>
          <w:color w:val="auto"/>
        </w:rPr>
        <w:t>the future value of the Shares underlying the Option is unknown, indeterminable, and cannot be predicted with certainty;</w:t>
      </w:r>
    </w:p>
    <w:p>
      <w:pPr>
        <w:spacing w:after="0" w:line="207" w:lineRule="exact"/>
        <w:rPr>
          <w:rFonts w:ascii="Arial" w:cs="Arial" w:eastAsia="Arial" w:hAnsi="Arial"/>
          <w:sz w:val="15"/>
          <w:szCs w:val="15"/>
          <w:color w:val="auto"/>
        </w:rPr>
      </w:pPr>
    </w:p>
    <w:p>
      <w:pPr>
        <w:ind w:left="1140" w:hanging="331"/>
        <w:spacing w:after="0"/>
        <w:tabs>
          <w:tab w:leader="none" w:pos="11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if the underlying Shares do not increase in value, the Option will have no value;</w:t>
      </w:r>
    </w:p>
    <w:p>
      <w:pPr>
        <w:spacing w:after="0" w:line="184" w:lineRule="exact"/>
        <w:rPr>
          <w:rFonts w:ascii="Arial" w:cs="Arial" w:eastAsia="Arial" w:hAnsi="Arial"/>
          <w:sz w:val="17"/>
          <w:szCs w:val="17"/>
          <w:color w:val="auto"/>
        </w:rPr>
      </w:pPr>
    </w:p>
    <w:p>
      <w:pPr>
        <w:ind w:left="-20" w:firstLine="829"/>
        <w:spacing w:after="0" w:line="264" w:lineRule="auto"/>
        <w:tabs>
          <w:tab w:leader="none" w:pos="1141" w:val="left"/>
        </w:tabs>
        <w:numPr>
          <w:ilvl w:val="1"/>
          <w:numId w:val="64"/>
        </w:numPr>
        <w:rPr>
          <w:rFonts w:ascii="Arial" w:cs="Arial" w:eastAsia="Arial" w:hAnsi="Arial"/>
          <w:sz w:val="17"/>
          <w:szCs w:val="17"/>
          <w:color w:val="auto"/>
        </w:rPr>
      </w:pPr>
      <w:r>
        <w:rPr>
          <w:rFonts w:ascii="Arial" w:cs="Arial" w:eastAsia="Arial" w:hAnsi="Arial"/>
          <w:sz w:val="17"/>
          <w:szCs w:val="17"/>
          <w:color w:val="auto"/>
        </w:rPr>
        <w:t>if Participant exercises the Option and acquires Shares, the value of such Shares may increase or decrease in value, even below the Exercise Price;</w:t>
      </w:r>
    </w:p>
    <w:p>
      <w:pPr>
        <w:spacing w:after="0" w:line="142" w:lineRule="exact"/>
        <w:rPr>
          <w:rFonts w:ascii="Arial" w:cs="Arial" w:eastAsia="Arial" w:hAnsi="Arial"/>
          <w:sz w:val="17"/>
          <w:szCs w:val="17"/>
          <w:color w:val="auto"/>
        </w:rPr>
      </w:pPr>
    </w:p>
    <w:p>
      <w:pPr>
        <w:ind w:left="-20" w:firstLine="829"/>
        <w:spacing w:after="0" w:line="272" w:lineRule="auto"/>
        <w:tabs>
          <w:tab w:leader="none" w:pos="1145" w:val="left"/>
        </w:tabs>
        <w:numPr>
          <w:ilvl w:val="1"/>
          <w:numId w:val="64"/>
        </w:numPr>
        <w:rPr>
          <w:rFonts w:ascii="Arial" w:cs="Arial" w:eastAsia="Arial" w:hAnsi="Arial"/>
          <w:sz w:val="18"/>
          <w:szCs w:val="18"/>
          <w:color w:val="auto"/>
        </w:rPr>
      </w:pPr>
      <w:r>
        <w:rPr>
          <w:rFonts w:ascii="Arial" w:cs="Arial" w:eastAsia="Arial" w:hAnsi="Arial"/>
          <w:sz w:val="18"/>
          <w:szCs w:val="18"/>
          <w:color w:val="auto"/>
        </w:rPr>
        <w:t>for purposes of the Option, Participant’s engagement as a Service Provider will be considered terminated as of the date Participant is no longer actively providing services to the Company or any Parent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277495</wp:posOffset>
            </wp:positionV>
            <wp:extent cx="5937250" cy="222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125" w:right="1159" w:bottom="1440" w:gutter="0" w:footer="0" w:header="0"/>
        </w:sectPr>
      </w:pPr>
    </w:p>
    <w:bookmarkStart w:id="122" w:name="page123"/>
    <w:bookmarkEnd w:id="122"/>
    <w:p>
      <w:pPr>
        <w:jc w:val="both"/>
        <w:spacing w:after="0" w:line="258" w:lineRule="auto"/>
        <w:rPr>
          <w:sz w:val="20"/>
          <w:szCs w:val="20"/>
          <w:color w:val="auto"/>
        </w:rPr>
      </w:pPr>
      <w:r>
        <w:rPr>
          <w:rFonts w:ascii="Arial" w:cs="Arial" w:eastAsia="Arial" w:hAnsi="Arial"/>
          <w:sz w:val="17"/>
          <w:szCs w:val="17"/>
          <w:color w:val="auto"/>
        </w:rPr>
        <w:t>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w:t>
      </w:r>
    </w:p>
    <w:p>
      <w:pPr>
        <w:spacing w:after="0" w:line="151" w:lineRule="exact"/>
        <w:rPr>
          <w:sz w:val="20"/>
          <w:szCs w:val="20"/>
          <w:color w:val="auto"/>
        </w:rPr>
      </w:pPr>
    </w:p>
    <w:p>
      <w:pPr>
        <w:jc w:val="both"/>
        <w:ind w:firstLine="829"/>
        <w:spacing w:after="0" w:line="275" w:lineRule="auto"/>
        <w:tabs>
          <w:tab w:leader="none" w:pos="1147" w:val="left"/>
        </w:tabs>
        <w:numPr>
          <w:ilvl w:val="2"/>
          <w:numId w:val="65"/>
        </w:numPr>
        <w:rPr>
          <w:rFonts w:ascii="Arial" w:cs="Arial" w:eastAsia="Arial" w:hAnsi="Arial"/>
          <w:sz w:val="16"/>
          <w:szCs w:val="16"/>
          <w:color w:val="auto"/>
        </w:rPr>
      </w:pPr>
      <w:r>
        <w:rPr>
          <w:rFonts w:ascii="Arial" w:cs="Arial" w:eastAsia="Arial" w:hAnsi="Arial"/>
          <w:sz w:val="16"/>
          <w:szCs w:val="16"/>
          <w:color w:val="auto"/>
        </w:rPr>
        <w:t>unless otherwise provided in the Plan or by the Company in its discretion, the Option and the benefits evidenced by this Award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39" w:lineRule="exact"/>
        <w:rPr>
          <w:rFonts w:ascii="Arial" w:cs="Arial" w:eastAsia="Arial" w:hAnsi="Arial"/>
          <w:sz w:val="16"/>
          <w:szCs w:val="16"/>
          <w:color w:val="auto"/>
        </w:rPr>
      </w:pPr>
    </w:p>
    <w:p>
      <w:pPr>
        <w:ind w:left="1560" w:hanging="800"/>
        <w:spacing w:after="0"/>
        <w:tabs>
          <w:tab w:leader="none" w:pos="1560" w:val="left"/>
        </w:tabs>
        <w:numPr>
          <w:ilvl w:val="1"/>
          <w:numId w:val="66"/>
        </w:numPr>
        <w:rPr>
          <w:rFonts w:ascii="Arial" w:cs="Arial" w:eastAsia="Arial" w:hAnsi="Arial"/>
          <w:sz w:val="15"/>
          <w:szCs w:val="15"/>
          <w:color w:val="auto"/>
        </w:rPr>
      </w:pPr>
      <w:r>
        <w:rPr>
          <w:rFonts w:ascii="Arial" w:cs="Arial" w:eastAsia="Arial" w:hAnsi="Arial"/>
          <w:sz w:val="15"/>
          <w:szCs w:val="15"/>
          <w:color w:val="auto"/>
        </w:rPr>
        <w:t>the Option and the Shares subject to the Option are not part of normal or expected compensation or salary for any</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purpose;</w:t>
      </w:r>
    </w:p>
    <w:p>
      <w:pPr>
        <w:spacing w:after="0" w:line="170" w:lineRule="exact"/>
        <w:rPr>
          <w:rFonts w:ascii="Arial" w:cs="Arial" w:eastAsia="Arial" w:hAnsi="Arial"/>
          <w:sz w:val="15"/>
          <w:szCs w:val="15"/>
          <w:color w:val="auto"/>
        </w:rPr>
      </w:pPr>
    </w:p>
    <w:p>
      <w:pPr>
        <w:jc w:val="both"/>
        <w:ind w:firstLine="760"/>
        <w:spacing w:after="0" w:line="248" w:lineRule="auto"/>
        <w:tabs>
          <w:tab w:leader="none" w:pos="15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Participant acknowledges and agrees that none of the Company, the Employer, or any Parent or Subsidiary shall be liable for any foreign exchange rate fluctuation between the Canadian Dollar and the United States Dollar that may affect the value of the Option or of any amounts due to Participant pursuant to the exercise of the Option or the subsequent sale of any Shares acquired upon exercise; and</w:t>
      </w:r>
    </w:p>
    <w:p>
      <w:pPr>
        <w:spacing w:after="0" w:line="160" w:lineRule="exact"/>
        <w:rPr>
          <w:rFonts w:ascii="Arial" w:cs="Arial" w:eastAsia="Arial" w:hAnsi="Arial"/>
          <w:sz w:val="17"/>
          <w:szCs w:val="17"/>
          <w:color w:val="auto"/>
        </w:rPr>
      </w:pPr>
    </w:p>
    <w:p>
      <w:pPr>
        <w:jc w:val="both"/>
        <w:ind w:firstLine="760"/>
        <w:spacing w:after="0" w:line="260" w:lineRule="auto"/>
        <w:tabs>
          <w:tab w:leader="none" w:pos="1165" w:val="left"/>
        </w:tabs>
        <w:numPr>
          <w:ilvl w:val="1"/>
          <w:numId w:val="66"/>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 resulting from the termination of Participant’s engagement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the Company, any Parent, any Subsidiary or the Employer, waives his or her ability, if any, to bring any such claim, and releases the Company, any Parent or Subsidiary and the Employer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54" w:lineRule="exact"/>
        <w:rPr>
          <w:rFonts w:ascii="Arial" w:cs="Arial" w:eastAsia="Arial" w:hAnsi="Arial"/>
          <w:sz w:val="16"/>
          <w:szCs w:val="16"/>
          <w:color w:val="auto"/>
        </w:rPr>
      </w:pPr>
    </w:p>
    <w:p>
      <w:pPr>
        <w:jc w:val="both"/>
        <w:ind w:firstLine="552"/>
        <w:spacing w:after="0" w:line="248" w:lineRule="auto"/>
        <w:tabs>
          <w:tab w:leader="none" w:pos="876"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No Advice Regarding Grant</w:t>
      </w:r>
      <w:r>
        <w:rPr>
          <w:rFonts w:ascii="Arial" w:cs="Arial" w:eastAsia="Arial" w:hAnsi="Arial"/>
          <w:sz w:val="17"/>
          <w:szCs w:val="17"/>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60" w:lineRule="exact"/>
        <w:rPr>
          <w:rFonts w:ascii="Arial" w:cs="Arial" w:eastAsia="Arial" w:hAnsi="Arial"/>
          <w:sz w:val="17"/>
          <w:szCs w:val="17"/>
          <w:color w:val="auto"/>
        </w:rPr>
      </w:pPr>
    </w:p>
    <w:p>
      <w:pPr>
        <w:jc w:val="both"/>
        <w:ind w:firstLine="552"/>
        <w:spacing w:after="0" w:line="252" w:lineRule="auto"/>
        <w:tabs>
          <w:tab w:leader="none" w:pos="893"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Data Privacy</w:t>
      </w:r>
      <w:r>
        <w:rPr>
          <w:rFonts w:ascii="Arial" w:cs="Arial" w:eastAsia="Arial" w:hAnsi="Arial"/>
          <w:sz w:val="17"/>
          <w:szCs w:val="17"/>
          <w:color w:val="auto"/>
        </w:rPr>
        <w:t>. Participant hereby explicitly and unambiguously consents to the collection, use and transfer, in electronic or other form, of Participant’s personal data as described in this Award Agreement and any other Option grant materials by and among, as applicable, the Employer, the Company and any Parent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5937250" cy="222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1" w:right="1159" w:bottom="1440" w:gutter="0" w:footer="0" w:header="0"/>
        </w:sectPr>
      </w:pPr>
    </w:p>
    <w:bookmarkStart w:id="123" w:name="page124"/>
    <w:bookmarkEnd w:id="123"/>
    <w:p>
      <w:pPr>
        <w:jc w:val="both"/>
        <w:spacing w:after="0" w:line="275" w:lineRule="auto"/>
        <w:rPr>
          <w:sz w:val="20"/>
          <w:szCs w:val="20"/>
          <w:color w:val="auto"/>
        </w:rPr>
      </w:pPr>
      <w:r>
        <w:rPr>
          <w:rFonts w:ascii="Arial" w:cs="Arial" w:eastAsia="Arial" w:hAnsi="Arial"/>
          <w:sz w:val="15"/>
          <w:szCs w:val="15"/>
          <w:color w:val="auto"/>
        </w:rPr>
        <w:t>Subsidiary for the exclusive purpose of implementing, administering and managing Participant’s participation in the Plan.Participant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(“Data”), for the exclusive purpose of implementing, administering and managing the Plan. 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he or she may request a list with the names and addresses of any potential recipients of the Data by contacting his or her local human resources representative.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engagement as a Service Provider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48" w:lineRule="exact"/>
        <w:rPr>
          <w:sz w:val="20"/>
          <w:szCs w:val="20"/>
          <w:color w:val="auto"/>
        </w:rPr>
      </w:pPr>
    </w:p>
    <w:p>
      <w:pPr>
        <w:jc w:val="both"/>
        <w:ind w:firstLine="552"/>
        <w:spacing w:after="0" w:line="252" w:lineRule="auto"/>
        <w:tabs>
          <w:tab w:leader="none" w:pos="876"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Address for Notices</w:t>
      </w:r>
      <w:r>
        <w:rPr>
          <w:rFonts w:ascii="Arial" w:cs="Arial" w:eastAsia="Arial" w:hAnsi="Arial"/>
          <w:sz w:val="17"/>
          <w:szCs w:val="17"/>
          <w:color w:val="auto"/>
        </w:rPr>
        <w:t>. Any notice to be given to the Company under the terms of this Award Agreement will be addressed to the Company at Pulse Biosciences, Inc., 849 Mitten Rd. #104, Burlingame, CA 94010, or at such other address as the Company may hereafter designate in writing.</w:t>
      </w:r>
    </w:p>
    <w:p>
      <w:pPr>
        <w:spacing w:after="0" w:line="156" w:lineRule="exact"/>
        <w:rPr>
          <w:rFonts w:ascii="Arial" w:cs="Arial" w:eastAsia="Arial" w:hAnsi="Arial"/>
          <w:sz w:val="17"/>
          <w:szCs w:val="17"/>
          <w:color w:val="auto"/>
        </w:rPr>
      </w:pPr>
    </w:p>
    <w:p>
      <w:pPr>
        <w:ind w:firstLine="552"/>
        <w:spacing w:after="0" w:line="264" w:lineRule="auto"/>
        <w:tabs>
          <w:tab w:leader="none" w:pos="876"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 This Option may not be transferred in any manner otherwise than by will or by the laws of descent or distribution and may be exercised during the lifetime of Participant only by Participant.</w:t>
      </w:r>
    </w:p>
    <w:p>
      <w:pPr>
        <w:spacing w:after="0" w:line="146" w:lineRule="exact"/>
        <w:rPr>
          <w:rFonts w:ascii="Arial" w:cs="Arial" w:eastAsia="Arial" w:hAnsi="Arial"/>
          <w:sz w:val="17"/>
          <w:szCs w:val="17"/>
          <w:color w:val="auto"/>
        </w:rPr>
      </w:pPr>
    </w:p>
    <w:p>
      <w:pPr>
        <w:jc w:val="both"/>
        <w:ind w:firstLine="552"/>
        <w:spacing w:after="0" w:line="246" w:lineRule="auto"/>
        <w:tabs>
          <w:tab w:leader="none" w:pos="899"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62" w:lineRule="exact"/>
        <w:rPr>
          <w:rFonts w:ascii="Arial" w:cs="Arial" w:eastAsia="Arial" w:hAnsi="Arial"/>
          <w:sz w:val="17"/>
          <w:szCs w:val="17"/>
          <w:color w:val="auto"/>
        </w:rPr>
      </w:pPr>
    </w:p>
    <w:p>
      <w:pPr>
        <w:jc w:val="both"/>
        <w:ind w:firstLine="552"/>
        <w:spacing w:after="0" w:line="246" w:lineRule="auto"/>
        <w:tabs>
          <w:tab w:leader="none" w:pos="887"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qualification or rule compliance of the Shares upon any applicable law, governmental regulatory body or the clearance, consent or approval of the United States Securities and Exchange Commission or any other governmental regulatory authority is necessary or desirable as a condition to the purchase by, or issuance of Shares, to Participant (or his or her estate) hereunder, such purchase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295910</wp:posOffset>
            </wp:positionV>
            <wp:extent cx="5937250" cy="222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4" w:right="1159" w:bottom="1440" w:gutter="0" w:footer="0" w:header="0"/>
        </w:sectPr>
      </w:pPr>
    </w:p>
    <w:bookmarkStart w:id="124" w:name="page125"/>
    <w:bookmarkEnd w:id="124"/>
    <w:p>
      <w:pPr>
        <w:jc w:val="both"/>
        <w:spacing w:after="0" w:line="246" w:lineRule="auto"/>
        <w:rPr>
          <w:sz w:val="20"/>
          <w:szCs w:val="20"/>
          <w:color w:val="auto"/>
        </w:rPr>
      </w:pPr>
      <w:r>
        <w:rPr>
          <w:rFonts w:ascii="Arial" w:cs="Arial" w:eastAsia="Arial" w:hAnsi="Arial"/>
          <w:sz w:val="17"/>
          <w:szCs w:val="17"/>
          <w:color w:val="auto"/>
        </w:rPr>
        <w:t>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exercise of the Option as the Administrator may establish from time to time for reasons of administrative convenience.</w:t>
      </w:r>
    </w:p>
    <w:p>
      <w:pPr>
        <w:spacing w:after="0" w:line="162" w:lineRule="exact"/>
        <w:rPr>
          <w:sz w:val="20"/>
          <w:szCs w:val="20"/>
          <w:color w:val="auto"/>
        </w:rPr>
      </w:pPr>
    </w:p>
    <w:p>
      <w:pPr>
        <w:jc w:val="both"/>
        <w:ind w:firstLine="552"/>
        <w:spacing w:after="0" w:line="252" w:lineRule="auto"/>
        <w:tabs>
          <w:tab w:leader="none" w:pos="887"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56" w:lineRule="exact"/>
        <w:rPr>
          <w:rFonts w:ascii="Arial" w:cs="Arial" w:eastAsia="Arial" w:hAnsi="Arial"/>
          <w:sz w:val="17"/>
          <w:szCs w:val="17"/>
          <w:color w:val="auto"/>
        </w:rPr>
      </w:pPr>
    </w:p>
    <w:p>
      <w:pPr>
        <w:jc w:val="both"/>
        <w:ind w:firstLine="552"/>
        <w:spacing w:after="0" w:line="263" w:lineRule="auto"/>
        <w:tabs>
          <w:tab w:leader="none" w:pos="887"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50" w:lineRule="exact"/>
        <w:rPr>
          <w:rFonts w:ascii="Arial" w:cs="Arial" w:eastAsia="Arial" w:hAnsi="Arial"/>
          <w:sz w:val="16"/>
          <w:szCs w:val="16"/>
          <w:color w:val="auto"/>
        </w:rPr>
      </w:pPr>
    </w:p>
    <w:p>
      <w:pPr>
        <w:jc w:val="both"/>
        <w:ind w:firstLine="552"/>
        <w:spacing w:after="0" w:line="246" w:lineRule="auto"/>
        <w:tabs>
          <w:tab w:leader="none" w:pos="876"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62" w:lineRule="exact"/>
        <w:rPr>
          <w:rFonts w:ascii="Arial" w:cs="Arial" w:eastAsia="Arial" w:hAnsi="Arial"/>
          <w:sz w:val="17"/>
          <w:szCs w:val="17"/>
          <w:color w:val="auto"/>
        </w:rPr>
      </w:pPr>
    </w:p>
    <w:p>
      <w:pPr>
        <w:ind w:firstLine="552"/>
        <w:spacing w:after="0" w:line="264" w:lineRule="auto"/>
        <w:tabs>
          <w:tab w:leader="none" w:pos="910"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provided herein are for convenience only and are not to serve as a basis for interpretation or construction of this Award Agreement.</w:t>
      </w:r>
    </w:p>
    <w:p>
      <w:pPr>
        <w:spacing w:after="0" w:line="146" w:lineRule="exact"/>
        <w:rPr>
          <w:rFonts w:ascii="Arial" w:cs="Arial" w:eastAsia="Arial" w:hAnsi="Arial"/>
          <w:sz w:val="17"/>
          <w:szCs w:val="17"/>
          <w:color w:val="auto"/>
        </w:rPr>
      </w:pPr>
    </w:p>
    <w:p>
      <w:pPr>
        <w:jc w:val="both"/>
        <w:ind w:firstLine="552"/>
        <w:spacing w:after="0" w:line="252" w:lineRule="auto"/>
        <w:tabs>
          <w:tab w:leader="none" w:pos="876"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56" w:lineRule="exact"/>
        <w:rPr>
          <w:rFonts w:ascii="Arial" w:cs="Arial" w:eastAsia="Arial" w:hAnsi="Arial"/>
          <w:sz w:val="17"/>
          <w:szCs w:val="17"/>
          <w:color w:val="auto"/>
        </w:rPr>
      </w:pPr>
    </w:p>
    <w:p>
      <w:pPr>
        <w:jc w:val="both"/>
        <w:ind w:firstLine="552"/>
        <w:spacing w:after="0" w:line="275" w:lineRule="auto"/>
        <w:tabs>
          <w:tab w:leader="none" w:pos="876"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Amendment, Suspension or Termination of the Plan</w:t>
      </w:r>
      <w:r>
        <w:rPr>
          <w:rFonts w:ascii="Arial" w:cs="Arial" w:eastAsia="Arial" w:hAnsi="Arial"/>
          <w:sz w:val="16"/>
          <w:szCs w:val="16"/>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39" w:lineRule="exact"/>
        <w:rPr>
          <w:rFonts w:ascii="Arial" w:cs="Arial" w:eastAsia="Arial" w:hAnsi="Arial"/>
          <w:sz w:val="16"/>
          <w:szCs w:val="16"/>
          <w:color w:val="auto"/>
        </w:rPr>
      </w:pPr>
    </w:p>
    <w:p>
      <w:pPr>
        <w:jc w:val="both"/>
        <w:ind w:firstLine="552"/>
        <w:spacing w:after="0" w:line="246" w:lineRule="auto"/>
        <w:tabs>
          <w:tab w:leader="none" w:pos="876"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Award Agreement will be governed by the laws of California, without giving effect to the conflict of law principles thereof. For purposes of litigating any dispute that arises under this Option or this Award Agreement, the parties hereby submit to and consent to the jurisdiction of the State of California, and agree that such litigation will be conducted in the courts of San Francisco, California, or the federal courts for the United States for the Northern District of California, and no other courts, where this Option is made and/or to be performed.</w:t>
      </w:r>
    </w:p>
    <w:p>
      <w:pPr>
        <w:spacing w:after="0" w:line="162" w:lineRule="exact"/>
        <w:rPr>
          <w:rFonts w:ascii="Arial" w:cs="Arial" w:eastAsia="Arial" w:hAnsi="Arial"/>
          <w:sz w:val="17"/>
          <w:szCs w:val="17"/>
          <w:color w:val="auto"/>
        </w:rPr>
      </w:pPr>
    </w:p>
    <w:p>
      <w:pPr>
        <w:jc w:val="both"/>
        <w:ind w:firstLine="552"/>
        <w:spacing w:after="0" w:line="248" w:lineRule="auto"/>
        <w:tabs>
          <w:tab w:leader="none" w:pos="876"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Country Addendum</w:t>
      </w:r>
      <w:r>
        <w:rPr>
          <w:rFonts w:ascii="Arial" w:cs="Arial" w:eastAsia="Arial" w:hAnsi="Arial"/>
          <w:sz w:val="17"/>
          <w:szCs w:val="17"/>
          <w:color w:val="auto"/>
        </w:rPr>
        <w:t>. Notwithstanding any provisions in this Award Agreement, this Option shall be subject to any special terms and conditions set forth in any appendix to this Award Agreement for Participant’s country (the “Country Addendum”). Moreover, if Participant relocates to one of the countries included in the Country Addendum, the special terms and conditions for such country will apply to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5937250" cy="222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5" w:right="1159" w:bottom="1440" w:gutter="0" w:footer="0" w:header="0"/>
        </w:sectPr>
      </w:pPr>
    </w:p>
    <w:bookmarkStart w:id="125" w:name="page126"/>
    <w:bookmarkEnd w:id="125"/>
    <w:p>
      <w:pPr>
        <w:spacing w:after="0" w:line="263" w:lineRule="auto"/>
        <w:rPr>
          <w:sz w:val="20"/>
          <w:szCs w:val="20"/>
          <w:color w:val="auto"/>
        </w:rPr>
      </w:pPr>
      <w:r>
        <w:rPr>
          <w:rFonts w:ascii="Arial" w:cs="Arial" w:eastAsia="Arial" w:hAnsi="Arial"/>
          <w:sz w:val="17"/>
          <w:szCs w:val="17"/>
          <w:color w:val="auto"/>
        </w:rPr>
        <w:t>to the extent the Company determines that the application of such terms and conditions is necessary or advisable for legal or administrative reasons. The Country Addendum constitutes part of this Award Agreement.</w:t>
      </w:r>
    </w:p>
    <w:p>
      <w:pPr>
        <w:spacing w:after="0" w:line="147" w:lineRule="exact"/>
        <w:rPr>
          <w:sz w:val="20"/>
          <w:szCs w:val="20"/>
          <w:color w:val="auto"/>
        </w:rPr>
      </w:pPr>
    </w:p>
    <w:p>
      <w:pPr>
        <w:jc w:val="both"/>
        <w:ind w:firstLine="552"/>
        <w:spacing w:after="0" w:line="248" w:lineRule="auto"/>
        <w:tabs>
          <w:tab w:leader="none" w:pos="876"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Modifications to the Agreement</w:t>
      </w:r>
      <w:r>
        <w:rPr>
          <w:rFonts w:ascii="Arial" w:cs="Arial" w:eastAsia="Arial" w:hAnsi="Arial"/>
          <w:sz w:val="17"/>
          <w:szCs w:val="17"/>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w:t>
      </w:r>
    </w:p>
    <w:p>
      <w:pPr>
        <w:spacing w:after="0" w:line="160" w:lineRule="exact"/>
        <w:rPr>
          <w:rFonts w:ascii="Arial" w:cs="Arial" w:eastAsia="Arial" w:hAnsi="Arial"/>
          <w:sz w:val="17"/>
          <w:szCs w:val="17"/>
          <w:color w:val="auto"/>
        </w:rPr>
      </w:pPr>
    </w:p>
    <w:p>
      <w:pPr>
        <w:jc w:val="both"/>
        <w:ind w:firstLine="552"/>
        <w:spacing w:after="0" w:line="248" w:lineRule="auto"/>
        <w:tabs>
          <w:tab w:leader="none" w:pos="876"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60" w:lineRule="exact"/>
        <w:rPr>
          <w:rFonts w:ascii="Arial" w:cs="Arial" w:eastAsia="Arial" w:hAnsi="Arial"/>
          <w:sz w:val="17"/>
          <w:szCs w:val="17"/>
          <w:color w:val="auto"/>
        </w:rPr>
      </w:pPr>
    </w:p>
    <w:p>
      <w:pPr>
        <w:jc w:val="both"/>
        <w:ind w:firstLine="552"/>
        <w:spacing w:after="0" w:line="246" w:lineRule="auto"/>
        <w:tabs>
          <w:tab w:leader="none" w:pos="887"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Tax Consequences</w:t>
      </w:r>
      <w:r>
        <w:rPr>
          <w:rFonts w:ascii="Arial" w:cs="Arial" w:eastAsia="Arial" w:hAnsi="Arial"/>
          <w:sz w:val="17"/>
          <w:szCs w:val="17"/>
          <w:color w:val="auto"/>
        </w:rPr>
        <w:t>. Participant has reviewed with its own tax advisors the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544830</wp:posOffset>
            </wp:positionV>
            <wp:extent cx="5937250" cy="222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6" w:right="115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COUNTRY ADDENDUM</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Country Addendum includes additional terms and conditions that govern the Option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Option, the Company will, in its discretion, determine the extent to which the terms and conditions contained herein will be applicable to Participant.</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Certain capitalized terms used but not defined in this Country Addendum shall have the meanings set forth in the Plan, the and/or the Award Agreement to which this Country Addendum is attached.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Country Addendum also includes notifications relating to exchange control and other issues of which Participant should be aware with respect to his or her participation in the Plan.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exercises the Option or sells Shares acquired under the Plan.</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Finally, if Participant is a citizen or resident of a country other than the one in which Participant is currently working (or is considered as such for local law purposes) or if Participant moves to another country after the Option is granted, the information contained herein may not be applicable to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2107565</wp:posOffset>
            </wp:positionV>
            <wp:extent cx="5937250" cy="222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EXERCISE NOTICE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PARTICIPANTS SUBJECT TO TAX IN CANADA</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Pulse Biosciences, Inc.</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3957 Point Eden Way,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Hayward, CA 94545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Attention: Stock Administration</w:t>
      </w:r>
    </w:p>
    <w:p>
      <w:pPr>
        <w:spacing w:after="0" w:line="367" w:lineRule="exact"/>
        <w:rPr>
          <w:sz w:val="20"/>
          <w:szCs w:val="20"/>
          <w:color w:val="auto"/>
        </w:rPr>
      </w:pPr>
    </w:p>
    <w:p>
      <w:pPr>
        <w:jc w:val="both"/>
        <w:ind w:firstLine="552"/>
        <w:spacing w:after="0" w:line="265" w:lineRule="auto"/>
        <w:tabs>
          <w:tab w:leader="none" w:pos="89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Effective as of today, ________________, _____, the undersigned (“Purchaser”) hereby elects to purchase ______________ shares (the “Shares”) of the Common Stock of Pulse Biosciences, Inc. (the “Company”) under and pursuant to the 2017 Equity Incentive Plan (the “Plan”) and the Stock Option Agreement, dated ________ and including the Notice of Grant, the Terms and Conditions of Stock Option Grant, and appendices and exhibits attached thereto (the “Award Agreement”). The purchase price for the Shares will be $_____________, as required by the Award Agreement.</w:t>
      </w:r>
    </w:p>
    <w:p>
      <w:pPr>
        <w:spacing w:after="0" w:line="148" w:lineRule="exact"/>
        <w:rPr>
          <w:rFonts w:ascii="Arial" w:cs="Arial" w:eastAsia="Arial" w:hAnsi="Arial"/>
          <w:sz w:val="16"/>
          <w:szCs w:val="16"/>
          <w:color w:val="auto"/>
        </w:rPr>
      </w:pPr>
    </w:p>
    <w:p>
      <w:pPr>
        <w:ind w:firstLine="552"/>
        <w:spacing w:after="0" w:line="295" w:lineRule="auto"/>
        <w:tabs>
          <w:tab w:leader="none" w:pos="89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Delivery of Payment</w:t>
      </w:r>
      <w:r>
        <w:rPr>
          <w:rFonts w:ascii="Arial" w:cs="Arial" w:eastAsia="Arial" w:hAnsi="Arial"/>
          <w:sz w:val="16"/>
          <w:szCs w:val="16"/>
          <w:color w:val="auto"/>
        </w:rPr>
        <w:t>. Purchaser herewith delivers to the Company the full purchase price of the Shares and any Tax Obligations (as defined in Section 7(a) of the Award Agreement) to be paid in connection with the exercise of the Option.</w:t>
      </w:r>
    </w:p>
    <w:p>
      <w:pPr>
        <w:spacing w:after="0" w:line="124" w:lineRule="exact"/>
        <w:rPr>
          <w:rFonts w:ascii="Arial" w:cs="Arial" w:eastAsia="Arial" w:hAnsi="Arial"/>
          <w:sz w:val="16"/>
          <w:szCs w:val="16"/>
          <w:color w:val="auto"/>
        </w:rPr>
      </w:pPr>
    </w:p>
    <w:p>
      <w:pPr>
        <w:ind w:firstLine="552"/>
        <w:spacing w:after="0" w:line="264" w:lineRule="auto"/>
        <w:tabs>
          <w:tab w:leader="none" w:pos="884"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Representations of Purchaser</w:t>
      </w:r>
      <w:r>
        <w:rPr>
          <w:rFonts w:ascii="Arial" w:cs="Arial" w:eastAsia="Arial" w:hAnsi="Arial"/>
          <w:sz w:val="17"/>
          <w:szCs w:val="17"/>
          <w:color w:val="auto"/>
        </w:rPr>
        <w:t>. Purchaser acknowledges that Purchaser has received, read and understood the Plan and the Award Agreement and agrees to abide by and be bound by their terms and conditions.</w:t>
      </w:r>
    </w:p>
    <w:p>
      <w:pPr>
        <w:spacing w:after="0" w:line="146" w:lineRule="exact"/>
        <w:rPr>
          <w:rFonts w:ascii="Arial" w:cs="Arial" w:eastAsia="Arial" w:hAnsi="Arial"/>
          <w:sz w:val="17"/>
          <w:szCs w:val="17"/>
          <w:color w:val="auto"/>
        </w:rPr>
      </w:pPr>
    </w:p>
    <w:p>
      <w:pPr>
        <w:jc w:val="both"/>
        <w:ind w:firstLine="552"/>
        <w:spacing w:after="0" w:line="265" w:lineRule="auto"/>
        <w:tabs>
          <w:tab w:leader="none" w:pos="872"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15 of the Plan.</w:t>
      </w:r>
    </w:p>
    <w:p>
      <w:pPr>
        <w:spacing w:after="0" w:line="148" w:lineRule="exact"/>
        <w:rPr>
          <w:rFonts w:ascii="Arial" w:cs="Arial" w:eastAsia="Arial" w:hAnsi="Arial"/>
          <w:sz w:val="16"/>
          <w:szCs w:val="16"/>
          <w:color w:val="auto"/>
        </w:rPr>
      </w:pPr>
    </w:p>
    <w:p>
      <w:pPr>
        <w:jc w:val="both"/>
        <w:ind w:firstLine="552"/>
        <w:spacing w:after="0" w:line="248" w:lineRule="auto"/>
        <w:tabs>
          <w:tab w:leader="none" w:pos="884"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60" w:lineRule="exact"/>
        <w:rPr>
          <w:rFonts w:ascii="Arial" w:cs="Arial" w:eastAsia="Arial" w:hAnsi="Arial"/>
          <w:sz w:val="17"/>
          <w:szCs w:val="17"/>
          <w:color w:val="auto"/>
        </w:rPr>
      </w:pPr>
    </w:p>
    <w:p>
      <w:pPr>
        <w:jc w:val="both"/>
        <w:ind w:firstLine="552"/>
        <w:spacing w:after="0" w:line="265" w:lineRule="auto"/>
        <w:tabs>
          <w:tab w:leader="none" w:pos="884"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pacing w:after="0" w:line="149" w:lineRule="exact"/>
        <w:rPr>
          <w:sz w:val="20"/>
          <w:szCs w:val="20"/>
          <w:color w:val="auto"/>
        </w:rPr>
      </w:pPr>
    </w:p>
    <w:p>
      <w:pPr>
        <w:spacing w:after="0"/>
        <w:tabs>
          <w:tab w:leader="none" w:pos="4260" w:val="left"/>
        </w:tabs>
        <w:rPr>
          <w:sz w:val="20"/>
          <w:szCs w:val="20"/>
          <w:color w:val="auto"/>
        </w:rPr>
      </w:pPr>
      <w:r>
        <w:rPr>
          <w:rFonts w:ascii="Arial" w:cs="Arial" w:eastAsia="Arial" w:hAnsi="Arial"/>
          <w:sz w:val="17"/>
          <w:szCs w:val="17"/>
          <w:color w:val="auto"/>
        </w:rPr>
        <w:t>Submitted by:</w:t>
      </w:r>
      <w:r>
        <w:rPr>
          <w:sz w:val="20"/>
          <w:szCs w:val="20"/>
          <w:color w:val="auto"/>
        </w:rPr>
        <w:tab/>
      </w:r>
      <w:r>
        <w:rPr>
          <w:rFonts w:ascii="Arial" w:cs="Arial" w:eastAsia="Arial" w:hAnsi="Arial"/>
          <w:sz w:val="15"/>
          <w:szCs w:val="15"/>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5937250" cy="222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5"/>
        </w:trPr>
        <w:tc>
          <w:tcPr>
            <w:tcW w:w="2480" w:type="dxa"/>
            <w:vAlign w:val="bottom"/>
            <w:gridSpan w:val="2"/>
          </w:tcPr>
          <w:p>
            <w:pPr>
              <w:spacing w:after="0"/>
              <w:rPr>
                <w:sz w:val="20"/>
                <w:szCs w:val="20"/>
                <w:color w:val="auto"/>
              </w:rPr>
            </w:pPr>
            <w:r>
              <w:rPr>
                <w:rFonts w:ascii="Arial" w:cs="Arial" w:eastAsia="Arial" w:hAnsi="Arial"/>
                <w:sz w:val="17"/>
                <w:szCs w:val="17"/>
                <w:color w:val="auto"/>
              </w:rPr>
              <w:t>PURCHASER</w:t>
            </w:r>
          </w:p>
        </w:tc>
        <w:tc>
          <w:tcPr>
            <w:tcW w:w="3900" w:type="dxa"/>
            <w:vAlign w:val="bottom"/>
          </w:tcPr>
          <w:p>
            <w:pPr>
              <w:ind w:left="1840"/>
              <w:spacing w:after="0"/>
              <w:rPr>
                <w:sz w:val="20"/>
                <w:szCs w:val="20"/>
                <w:color w:val="auto"/>
              </w:rPr>
            </w:pPr>
            <w:r>
              <w:rPr>
                <w:rFonts w:ascii="Arial" w:cs="Arial" w:eastAsia="Arial" w:hAnsi="Arial"/>
                <w:sz w:val="17"/>
                <w:szCs w:val="17"/>
                <w:color w:val="auto"/>
                <w:w w:val="92"/>
              </w:rPr>
              <w:t>PULSE BIOSCIENCES, INC.</w:t>
            </w:r>
          </w:p>
        </w:tc>
      </w:tr>
      <w:tr>
        <w:trPr>
          <w:trHeight w:val="784"/>
        </w:trPr>
        <w:tc>
          <w:tcPr>
            <w:tcW w:w="248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3900" w:type="dxa"/>
            <w:vAlign w:val="bottom"/>
          </w:tcPr>
          <w:p>
            <w:pPr>
              <w:ind w:left="1480"/>
              <w:spacing w:after="0"/>
              <w:rPr>
                <w:sz w:val="20"/>
                <w:szCs w:val="20"/>
                <w:color w:val="auto"/>
              </w:rPr>
            </w:pPr>
            <w:r>
              <w:rPr>
                <w:rFonts w:ascii="Arial" w:cs="Arial" w:eastAsia="Arial" w:hAnsi="Arial"/>
                <w:sz w:val="17"/>
                <w:szCs w:val="17"/>
                <w:color w:val="auto"/>
              </w:rPr>
              <w:t>By</w:t>
            </w:r>
          </w:p>
        </w:tc>
      </w:tr>
      <w:tr>
        <w:trPr>
          <w:trHeight w:val="576"/>
        </w:trPr>
        <w:tc>
          <w:tcPr>
            <w:tcW w:w="2480" w:type="dxa"/>
            <w:vAlign w:val="bottom"/>
            <w:gridSpan w:val="2"/>
          </w:tcPr>
          <w:p>
            <w:pPr>
              <w:spacing w:after="0"/>
              <w:rPr>
                <w:sz w:val="20"/>
                <w:szCs w:val="20"/>
                <w:color w:val="auto"/>
              </w:rPr>
            </w:pPr>
            <w:r>
              <w:rPr>
                <w:rFonts w:ascii="Arial" w:cs="Arial" w:eastAsia="Arial" w:hAnsi="Arial"/>
                <w:sz w:val="17"/>
                <w:szCs w:val="17"/>
                <w:color w:val="auto"/>
              </w:rPr>
              <w:t>Print Name</w:t>
            </w:r>
          </w:p>
        </w:tc>
        <w:tc>
          <w:tcPr>
            <w:tcW w:w="3900" w:type="dxa"/>
            <w:vAlign w:val="bottom"/>
          </w:tcPr>
          <w:p>
            <w:pPr>
              <w:ind w:left="1620"/>
              <w:spacing w:after="0"/>
              <w:rPr>
                <w:sz w:val="20"/>
                <w:szCs w:val="20"/>
                <w:color w:val="auto"/>
              </w:rPr>
            </w:pPr>
            <w:r>
              <w:rPr>
                <w:rFonts w:ascii="Arial" w:cs="Arial" w:eastAsia="Arial" w:hAnsi="Arial"/>
                <w:sz w:val="17"/>
                <w:szCs w:val="17"/>
                <w:color w:val="auto"/>
              </w:rPr>
              <w:t>Its</w:t>
            </w:r>
          </w:p>
        </w:tc>
      </w:tr>
      <w:tr>
        <w:trPr>
          <w:trHeight w:val="342"/>
        </w:trPr>
        <w:tc>
          <w:tcPr>
            <w:tcW w:w="2480" w:type="dxa"/>
            <w:vAlign w:val="bottom"/>
            <w:gridSpan w:val="2"/>
          </w:tcPr>
          <w:p>
            <w:pPr>
              <w:spacing w:after="0"/>
              <w:rPr>
                <w:sz w:val="20"/>
                <w:szCs w:val="20"/>
                <w:color w:val="auto"/>
              </w:rPr>
            </w:pPr>
            <w:r>
              <w:rPr>
                <w:rFonts w:ascii="Arial" w:cs="Arial" w:eastAsia="Arial" w:hAnsi="Arial"/>
                <w:sz w:val="17"/>
                <w:szCs w:val="17"/>
                <w:color w:val="auto"/>
              </w:rPr>
              <w:t>Address:</w:t>
            </w:r>
          </w:p>
        </w:tc>
        <w:tc>
          <w:tcPr>
            <w:tcW w:w="390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3955415</wp:posOffset>
            </wp:positionV>
            <wp:extent cx="5937250" cy="222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039"/>
          </w:cols>
          <w:pgMar w:left="1420" w:top="309" w:right="1440"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PULSE BIOSCIENCES,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spacing w:after="0" w:line="169"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SUB PLAN FOR FRANCE</w:t>
      </w:r>
    </w:p>
    <w:p>
      <w:pPr>
        <w:spacing w:after="0" w:line="185" w:lineRule="exact"/>
        <w:rPr>
          <w:sz w:val="20"/>
          <w:szCs w:val="20"/>
          <w:color w:val="auto"/>
        </w:rPr>
      </w:pPr>
    </w:p>
    <w:p>
      <w:pPr>
        <w:ind w:left="820" w:hanging="268"/>
        <w:spacing w:after="0"/>
        <w:tabs>
          <w:tab w:leader="none" w:pos="82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Purpose of Sub Plan</w:t>
      </w:r>
      <w:r>
        <w:rPr>
          <w:rFonts w:ascii="Arial" w:cs="Arial" w:eastAsia="Arial" w:hAnsi="Arial"/>
          <w:sz w:val="17"/>
          <w:szCs w:val="17"/>
          <w:b w:val="1"/>
          <w:bCs w:val="1"/>
          <w:color w:val="auto"/>
        </w:rPr>
        <w:t>.</w:t>
      </w:r>
    </w:p>
    <w:p>
      <w:pPr>
        <w:spacing w:after="0" w:line="189" w:lineRule="exact"/>
        <w:rPr>
          <w:sz w:val="20"/>
          <w:szCs w:val="20"/>
          <w:color w:val="auto"/>
        </w:rPr>
      </w:pPr>
    </w:p>
    <w:p>
      <w:pPr>
        <w:jc w:val="both"/>
        <w:ind w:firstLine="611"/>
        <w:spacing w:after="0" w:line="263" w:lineRule="auto"/>
        <w:rPr>
          <w:sz w:val="20"/>
          <w:szCs w:val="20"/>
          <w:color w:val="auto"/>
        </w:rPr>
      </w:pPr>
      <w:r>
        <w:rPr>
          <w:rFonts w:ascii="Arial" w:cs="Arial" w:eastAsia="Arial" w:hAnsi="Arial"/>
          <w:sz w:val="16"/>
          <w:szCs w:val="16"/>
          <w:color w:val="auto"/>
        </w:rPr>
        <w:t>This Sub Plan for France (the “</w:t>
      </w:r>
      <w:r>
        <w:rPr>
          <w:rFonts w:ascii="Arial" w:cs="Arial" w:eastAsia="Arial" w:hAnsi="Arial"/>
          <w:sz w:val="16"/>
          <w:szCs w:val="16"/>
          <w:u w:val="single" w:color="auto"/>
          <w:color w:val="auto"/>
        </w:rPr>
        <w:t>Sub Plan</w:t>
      </w:r>
      <w:r>
        <w:rPr>
          <w:rFonts w:ascii="Arial" w:cs="Arial" w:eastAsia="Arial" w:hAnsi="Arial"/>
          <w:sz w:val="16"/>
          <w:szCs w:val="16"/>
          <w:color w:val="auto"/>
        </w:rPr>
        <w:t>”) of the Pulse Biosciences, Inc. 2017 Equity Incentive Plan was established by the Board for the purpose of granting options which qualify for the favorable income tax and social tax treatment in France applicable to options granted under Sections L. 225-177 to L. 225-186 of the French Commercial Code. The additional terms and conditions detailed below are to be read in conjunction with the rules of the Pulse Biosciences, Inc. 2017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To the extent that the terms and conditions of this Sub Plan conflict with the terms and conditions set forth in the Plan or any Notice of Grant or Stock Option Agreement, the terms and conditions of this Sub Plan shall prevail.</w:t>
      </w:r>
    </w:p>
    <w:p>
      <w:pPr>
        <w:spacing w:after="0" w:line="147" w:lineRule="exact"/>
        <w:rPr>
          <w:sz w:val="20"/>
          <w:szCs w:val="20"/>
          <w:color w:val="auto"/>
        </w:rPr>
      </w:pPr>
    </w:p>
    <w:p>
      <w:pPr>
        <w:ind w:left="820" w:hanging="268"/>
        <w:spacing w:after="0"/>
        <w:tabs>
          <w:tab w:leader="none" w:pos="82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Administration</w:t>
      </w:r>
      <w:r>
        <w:rPr>
          <w:rFonts w:ascii="Arial" w:cs="Arial" w:eastAsia="Arial" w:hAnsi="Arial"/>
          <w:sz w:val="17"/>
          <w:szCs w:val="17"/>
          <w:color w:val="auto"/>
        </w:rPr>
        <w:t>.</w:t>
      </w:r>
    </w:p>
    <w:p>
      <w:pPr>
        <w:spacing w:after="0" w:line="189" w:lineRule="exact"/>
        <w:rPr>
          <w:sz w:val="20"/>
          <w:szCs w:val="20"/>
          <w:color w:val="auto"/>
        </w:rPr>
      </w:pPr>
    </w:p>
    <w:p>
      <w:pPr>
        <w:jc w:val="both"/>
        <w:ind w:firstLine="611"/>
        <w:spacing w:after="0" w:line="280" w:lineRule="auto"/>
        <w:rPr>
          <w:sz w:val="20"/>
          <w:szCs w:val="20"/>
          <w:color w:val="auto"/>
        </w:rPr>
      </w:pPr>
      <w:r>
        <w:rPr>
          <w:rFonts w:ascii="Arial" w:cs="Arial" w:eastAsia="Arial" w:hAnsi="Arial"/>
          <w:sz w:val="15"/>
          <w:szCs w:val="15"/>
          <w:color w:val="auto"/>
        </w:rPr>
        <w:t>Notwithstanding any other provision of the Plan, unless otherwise agreed by the Board or the applicable Committee, options will be exercisable under the vesting schedule set out in the Notice of Stock Option Grant for employees subject to the laws in France. Notwithstanding any other provision of the Plan, the Board is authorized to unilaterally accelerate, reduce, lift or cancel vesting of any option granted under this Sub Plan, as may be necessary or desirable to comply with the French applicable social or tax laws. Furthermore, the Board or the applicable Committee has the discretion to impose a restriction of up to three years on the sale of shares issued as a result of an option exercise. Notwithstanding any other provision of the Plan, the exercise price shall remain unchanged. In addition, the exercise price can only be adjusted upon the occurrence of the events specified under the July 24, 1966 corporate law (section 208-5) in accordance with French law, and the total number of options granted and remaining unexercised (outstanding options) will never cover a number of shares exceeding one-third of the share capital of Pulse Biosciences, Inc.</w:t>
      </w:r>
    </w:p>
    <w:p>
      <w:pPr>
        <w:spacing w:after="0" w:line="133" w:lineRule="exact"/>
        <w:rPr>
          <w:sz w:val="20"/>
          <w:szCs w:val="20"/>
          <w:color w:val="auto"/>
        </w:rPr>
      </w:pPr>
    </w:p>
    <w:p>
      <w:pPr>
        <w:ind w:left="780" w:hanging="228"/>
        <w:spacing w:after="0"/>
        <w:tabs>
          <w:tab w:leader="none" w:pos="78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b w:val="1"/>
          <w:bCs w:val="1"/>
          <w:color w:val="auto"/>
        </w:rPr>
        <w:t>.</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purposes of this Sub Plan, a Group company is a company having the following capital links with the granting Company:</w:t>
      </w:r>
    </w:p>
    <w:p>
      <w:pPr>
        <w:spacing w:after="0" w:line="208" w:lineRule="exact"/>
        <w:rPr>
          <w:sz w:val="20"/>
          <w:szCs w:val="20"/>
          <w:color w:val="auto"/>
        </w:rPr>
      </w:pPr>
    </w:p>
    <w:p>
      <w:pPr>
        <w:ind w:left="1520" w:hanging="844"/>
        <w:spacing w:after="0"/>
        <w:tabs>
          <w:tab w:leader="none" w:pos="1520" w:val="left"/>
        </w:tabs>
        <w:numPr>
          <w:ilvl w:val="2"/>
          <w:numId w:val="75"/>
        </w:numPr>
        <w:rPr>
          <w:rFonts w:ascii="Arial" w:cs="Arial" w:eastAsia="Arial" w:hAnsi="Arial"/>
          <w:sz w:val="17"/>
          <w:szCs w:val="17"/>
          <w:color w:val="auto"/>
        </w:rPr>
      </w:pPr>
      <w:r>
        <w:rPr>
          <w:rFonts w:ascii="Arial" w:cs="Arial" w:eastAsia="Arial" w:hAnsi="Arial"/>
          <w:sz w:val="17"/>
          <w:szCs w:val="17"/>
          <w:color w:val="auto"/>
        </w:rPr>
        <w:t>at least 10% of the French subsidiary capital is held, directly or indirectly, by the granting Company,</w:t>
      </w:r>
    </w:p>
    <w:p>
      <w:pPr>
        <w:spacing w:after="0" w:line="184" w:lineRule="exact"/>
        <w:rPr>
          <w:rFonts w:ascii="Arial" w:cs="Arial" w:eastAsia="Arial" w:hAnsi="Arial"/>
          <w:sz w:val="17"/>
          <w:szCs w:val="17"/>
          <w:color w:val="auto"/>
        </w:rPr>
      </w:pPr>
    </w:p>
    <w:p>
      <w:pPr>
        <w:ind w:left="1520" w:hanging="844"/>
        <w:spacing w:after="0"/>
        <w:tabs>
          <w:tab w:leader="none" w:pos="1520" w:val="left"/>
        </w:tabs>
        <w:numPr>
          <w:ilvl w:val="2"/>
          <w:numId w:val="75"/>
        </w:numPr>
        <w:rPr>
          <w:rFonts w:ascii="Arial" w:cs="Arial" w:eastAsia="Arial" w:hAnsi="Arial"/>
          <w:sz w:val="17"/>
          <w:szCs w:val="17"/>
          <w:color w:val="auto"/>
        </w:rPr>
      </w:pPr>
      <w:r>
        <w:rPr>
          <w:rFonts w:ascii="Arial" w:cs="Arial" w:eastAsia="Arial" w:hAnsi="Arial"/>
          <w:sz w:val="17"/>
          <w:szCs w:val="17"/>
          <w:color w:val="auto"/>
        </w:rPr>
        <w:t>the French subsidiary directly or indirectly holds at least 10% of the granting Company’s capital, or</w:t>
      </w:r>
    </w:p>
    <w:p>
      <w:pPr>
        <w:spacing w:after="0" w:line="184" w:lineRule="exact"/>
        <w:rPr>
          <w:rFonts w:ascii="Arial" w:cs="Arial" w:eastAsia="Arial" w:hAnsi="Arial"/>
          <w:sz w:val="17"/>
          <w:szCs w:val="17"/>
          <w:color w:val="auto"/>
        </w:rPr>
      </w:pPr>
    </w:p>
    <w:p>
      <w:pPr>
        <w:ind w:firstLine="610"/>
        <w:spacing w:after="0" w:line="264" w:lineRule="auto"/>
        <w:tabs>
          <w:tab w:leader="none" w:pos="1167" w:val="left"/>
        </w:tabs>
        <w:numPr>
          <w:ilvl w:val="1"/>
          <w:numId w:val="76"/>
        </w:numPr>
        <w:rPr>
          <w:rFonts w:ascii="Arial" w:cs="Arial" w:eastAsia="Arial" w:hAnsi="Arial"/>
          <w:sz w:val="17"/>
          <w:szCs w:val="17"/>
          <w:color w:val="auto"/>
        </w:rPr>
      </w:pPr>
      <w:r>
        <w:rPr>
          <w:rFonts w:ascii="Arial" w:cs="Arial" w:eastAsia="Arial" w:hAnsi="Arial"/>
          <w:sz w:val="17"/>
          <w:szCs w:val="17"/>
          <w:color w:val="auto"/>
        </w:rPr>
        <w:t>at least 50% of the French subsidiary’s capital is held, directly or indirectly by a company which holds, directly or indirectly, at least 50% of the granting Company’s capital.</w:t>
      </w:r>
    </w:p>
    <w:p>
      <w:pPr>
        <w:spacing w:after="0" w:line="142" w:lineRule="exact"/>
        <w:rPr>
          <w:rFonts w:ascii="Arial" w:cs="Arial" w:eastAsia="Arial" w:hAnsi="Arial"/>
          <w:sz w:val="17"/>
          <w:szCs w:val="17"/>
          <w:color w:val="auto"/>
        </w:rPr>
      </w:pPr>
    </w:p>
    <w:p>
      <w:pPr>
        <w:ind w:left="780" w:hanging="228"/>
        <w:spacing w:after="0"/>
        <w:tabs>
          <w:tab w:leader="none" w:pos="78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Eligibility</w:t>
      </w:r>
      <w:r>
        <w:rPr>
          <w:rFonts w:ascii="Arial" w:cs="Arial" w:eastAsia="Arial" w:hAnsi="Arial"/>
          <w:sz w:val="17"/>
          <w:szCs w:val="17"/>
          <w:b w:val="1"/>
          <w:bCs w:val="1"/>
          <w:color w:val="auto"/>
        </w:rPr>
        <w:t>.</w:t>
      </w:r>
    </w:p>
    <w:p>
      <w:pPr>
        <w:spacing w:after="0" w:line="189" w:lineRule="exact"/>
        <w:rPr>
          <w:sz w:val="20"/>
          <w:szCs w:val="20"/>
          <w:color w:val="auto"/>
        </w:rPr>
      </w:pPr>
    </w:p>
    <w:p>
      <w:pPr>
        <w:jc w:val="both"/>
        <w:ind w:firstLine="611"/>
        <w:spacing w:after="0" w:line="252" w:lineRule="auto"/>
        <w:rPr>
          <w:sz w:val="20"/>
          <w:szCs w:val="20"/>
          <w:color w:val="auto"/>
        </w:rPr>
      </w:pPr>
      <w:r>
        <w:rPr>
          <w:rFonts w:ascii="Arial" w:cs="Arial" w:eastAsia="Arial" w:hAnsi="Arial"/>
          <w:sz w:val="17"/>
          <w:szCs w:val="17"/>
          <w:color w:val="auto"/>
        </w:rPr>
        <w:t>Options may not be issued under this Sub Plan of the Plan to employees or executives owning upon the date of grant more than ten percent (10%) of the Company’s capital shares. Notwithstanding any other provision of the Plan, options may only be granted to individuals (hereafter the “beneficiaries” or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5937250" cy="222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15" w:right="1159" w:bottom="1440" w:gutter="0" w:footer="0" w:header="0"/>
        </w:sectPr>
      </w:pPr>
    </w:p>
    <w:bookmarkStart w:id="130" w:name="page131"/>
    <w:bookmarkEnd w:id="130"/>
    <w:p>
      <w:pPr>
        <w:ind w:left="1220" w:hanging="610"/>
        <w:spacing w:after="0"/>
        <w:tabs>
          <w:tab w:leader="none" w:pos="1220" w:val="left"/>
        </w:tabs>
        <w:numPr>
          <w:ilvl w:val="1"/>
          <w:numId w:val="78"/>
        </w:numPr>
        <w:rPr>
          <w:rFonts w:ascii="Arial" w:cs="Arial" w:eastAsia="Arial" w:hAnsi="Arial"/>
          <w:sz w:val="15"/>
          <w:szCs w:val="15"/>
          <w:color w:val="auto"/>
        </w:rPr>
      </w:pPr>
      <w:r>
        <w:rPr>
          <w:rFonts w:ascii="Arial" w:cs="Arial" w:eastAsia="Arial" w:hAnsi="Arial"/>
          <w:sz w:val="15"/>
          <w:szCs w:val="15"/>
          <w:color w:val="auto"/>
        </w:rPr>
        <w:t>having an employment contract with the French subsidiary or a Group company as defined below, upon the date of</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grant; and/or</w:t>
      </w:r>
    </w:p>
    <w:p>
      <w:pPr>
        <w:spacing w:after="0" w:line="170" w:lineRule="exact"/>
        <w:rPr>
          <w:rFonts w:ascii="Arial" w:cs="Arial" w:eastAsia="Arial" w:hAnsi="Arial"/>
          <w:sz w:val="15"/>
          <w:szCs w:val="15"/>
          <w:color w:val="auto"/>
        </w:rPr>
      </w:pPr>
    </w:p>
    <w:p>
      <w:pPr>
        <w:jc w:val="both"/>
        <w:ind w:firstLine="610"/>
        <w:spacing w:after="0" w:line="252" w:lineRule="auto"/>
        <w:tabs>
          <w:tab w:leader="none" w:pos="1196" w:val="left"/>
        </w:tabs>
        <w:numPr>
          <w:ilvl w:val="1"/>
          <w:numId w:val="78"/>
        </w:numPr>
        <w:rPr>
          <w:rFonts w:ascii="Arial" w:cs="Arial" w:eastAsia="Arial" w:hAnsi="Arial"/>
          <w:sz w:val="17"/>
          <w:szCs w:val="17"/>
          <w:color w:val="auto"/>
        </w:rPr>
      </w:pPr>
      <w:r>
        <w:rPr>
          <w:rFonts w:ascii="Arial" w:cs="Arial" w:eastAsia="Arial" w:hAnsi="Arial"/>
          <w:sz w:val="17"/>
          <w:szCs w:val="17"/>
          <w:color w:val="auto"/>
        </w:rPr>
        <w:t>to non-employed directors having a management function (the “président-directeur general,” the “directeur-général,” the “members of the “directoire”) of the French subsidiary or a Group company as defined in Section 3 of this Sub Plan, upon the date of grant.</w:t>
      </w:r>
    </w:p>
    <w:p>
      <w:pPr>
        <w:spacing w:after="0" w:line="152" w:lineRule="exact"/>
        <w:rPr>
          <w:rFonts w:ascii="Arial" w:cs="Arial" w:eastAsia="Arial" w:hAnsi="Arial"/>
          <w:sz w:val="17"/>
          <w:szCs w:val="17"/>
          <w:color w:val="auto"/>
        </w:rPr>
      </w:pPr>
    </w:p>
    <w:p>
      <w:pPr>
        <w:ind w:left="820" w:hanging="268"/>
        <w:spacing w:after="0"/>
        <w:tabs>
          <w:tab w:leader="none" w:pos="820"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Option Price</w:t>
      </w:r>
      <w:r>
        <w:rPr>
          <w:rFonts w:ascii="Arial" w:cs="Arial" w:eastAsia="Arial" w:hAnsi="Arial"/>
          <w:sz w:val="17"/>
          <w:szCs w:val="17"/>
          <w:b w:val="1"/>
          <w:bCs w:val="1"/>
          <w:color w:val="auto"/>
        </w:rPr>
        <w:t>.</w:t>
      </w:r>
    </w:p>
    <w:p>
      <w:pPr>
        <w:spacing w:after="0" w:line="189" w:lineRule="exact"/>
        <w:rPr>
          <w:sz w:val="20"/>
          <w:szCs w:val="20"/>
          <w:color w:val="auto"/>
        </w:rPr>
      </w:pPr>
    </w:p>
    <w:p>
      <w:pPr>
        <w:jc w:val="both"/>
        <w:ind w:firstLine="611"/>
        <w:spacing w:after="0" w:line="301" w:lineRule="auto"/>
        <w:rPr>
          <w:sz w:val="20"/>
          <w:szCs w:val="20"/>
          <w:color w:val="auto"/>
        </w:rPr>
      </w:pPr>
      <w:r>
        <w:rPr>
          <w:rFonts w:ascii="Arial" w:cs="Arial" w:eastAsia="Arial" w:hAnsi="Arial"/>
          <w:sz w:val="15"/>
          <w:szCs w:val="15"/>
          <w:color w:val="auto"/>
        </w:rPr>
        <w:t>Notwithstanding any other provision of the Plan, the Board may set the exercise price of any Options granted under this Sub Plan as the greater of fair market value on the date of grant or 80% of the average stock exchange price during the twenty days preceding the related grant or 80% of the average repurchase price of its own shares held by the Company to be allocated to beneficiaries.</w:t>
      </w:r>
    </w:p>
    <w:p>
      <w:pPr>
        <w:spacing w:after="0" w:line="119" w:lineRule="exact"/>
        <w:rPr>
          <w:sz w:val="20"/>
          <w:szCs w:val="20"/>
          <w:color w:val="auto"/>
        </w:rPr>
      </w:pPr>
    </w:p>
    <w:p>
      <w:pPr>
        <w:ind w:left="820" w:hanging="268"/>
        <w:spacing w:after="0"/>
        <w:tabs>
          <w:tab w:leader="none" w:pos="820"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Timing of Option Grant</w:t>
      </w:r>
      <w:r>
        <w:rPr>
          <w:rFonts w:ascii="Arial" w:cs="Arial" w:eastAsia="Arial" w:hAnsi="Arial"/>
          <w:sz w:val="17"/>
          <w:szCs w:val="17"/>
          <w:b w:val="1"/>
          <w:bCs w:val="1"/>
          <w:color w:val="auto"/>
        </w:rPr>
        <w:t>.</w:t>
      </w:r>
    </w:p>
    <w:p>
      <w:pPr>
        <w:spacing w:after="0" w:line="189" w:lineRule="exact"/>
        <w:rPr>
          <w:sz w:val="20"/>
          <w:szCs w:val="20"/>
          <w:color w:val="auto"/>
        </w:rPr>
      </w:pPr>
    </w:p>
    <w:p>
      <w:pPr>
        <w:ind w:firstLine="611"/>
        <w:spacing w:after="0" w:line="264" w:lineRule="auto"/>
        <w:rPr>
          <w:sz w:val="20"/>
          <w:szCs w:val="20"/>
          <w:color w:val="auto"/>
        </w:rPr>
      </w:pPr>
      <w:r>
        <w:rPr>
          <w:rFonts w:ascii="Arial" w:cs="Arial" w:eastAsia="Arial" w:hAnsi="Arial"/>
          <w:sz w:val="17"/>
          <w:szCs w:val="17"/>
          <w:color w:val="auto"/>
        </w:rPr>
        <w:t>Notwithstanding any other provision of the Plan, options granted within the following time periods shall be deemed not to have been granted under this Sub Plan:</w:t>
      </w:r>
    </w:p>
    <w:p>
      <w:pPr>
        <w:spacing w:after="0" w:line="146" w:lineRule="exact"/>
        <w:rPr>
          <w:sz w:val="20"/>
          <w:szCs w:val="20"/>
          <w:color w:val="auto"/>
        </w:rPr>
      </w:pPr>
    </w:p>
    <w:p>
      <w:pPr>
        <w:ind w:firstLine="610"/>
        <w:spacing w:after="0" w:line="264" w:lineRule="auto"/>
        <w:tabs>
          <w:tab w:leader="none" w:pos="141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twenty (20) day period following a distribution of dividends or a capital increase of the Company shall not be deemed to have been granted under this Sub Plan,</w:t>
      </w:r>
    </w:p>
    <w:p>
      <w:pPr>
        <w:spacing w:after="0" w:line="146" w:lineRule="exact"/>
        <w:rPr>
          <w:rFonts w:ascii="Arial" w:cs="Arial" w:eastAsia="Arial" w:hAnsi="Arial"/>
          <w:sz w:val="17"/>
          <w:szCs w:val="17"/>
          <w:color w:val="auto"/>
        </w:rPr>
      </w:pPr>
    </w:p>
    <w:p>
      <w:pPr>
        <w:ind w:firstLine="610"/>
        <w:spacing w:after="0" w:line="264" w:lineRule="auto"/>
        <w:tabs>
          <w:tab w:leader="none" w:pos="1419" w:val="left"/>
        </w:tabs>
        <w:numPr>
          <w:ilvl w:val="0"/>
          <w:numId w:val="81"/>
        </w:numPr>
        <w:rPr>
          <w:rFonts w:ascii="Arial" w:cs="Arial" w:eastAsia="Arial" w:hAnsi="Arial"/>
          <w:sz w:val="17"/>
          <w:szCs w:val="17"/>
          <w:color w:val="auto"/>
        </w:rPr>
      </w:pPr>
      <w:r>
        <w:rPr>
          <w:rFonts w:ascii="Arial" w:cs="Arial" w:eastAsia="Arial" w:hAnsi="Arial"/>
          <w:sz w:val="17"/>
          <w:szCs w:val="17"/>
          <w:color w:val="auto"/>
        </w:rPr>
        <w:t>during the period of time between the ten stock exchange sessions preceding and following the date consolidated accounts are made public, or if no consolidated accounts, the date of publication of annual accounts, and</w:t>
      </w:r>
    </w:p>
    <w:p>
      <w:pPr>
        <w:spacing w:after="0" w:line="180" w:lineRule="exact"/>
        <w:rPr>
          <w:rFonts w:ascii="Arial" w:cs="Arial" w:eastAsia="Arial" w:hAnsi="Arial"/>
          <w:sz w:val="17"/>
          <w:szCs w:val="17"/>
          <w:color w:val="auto"/>
        </w:rPr>
      </w:pPr>
    </w:p>
    <w:p>
      <w:pPr>
        <w:jc w:val="both"/>
        <w:ind w:firstLine="610"/>
        <w:spacing w:after="0" w:line="248" w:lineRule="auto"/>
        <w:tabs>
          <w:tab w:leader="none" w:pos="141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during the period of time between the date the Company becomes aware of information which would have a significant impact on the Company’s shares and the date after the end of ten stock exchange sessions following the date upon which the information is made public (pursuant to Article 70 of the bill modifying the last paragraph of Article 208-1 of law 66-537 of 24 July 1966).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865505</wp:posOffset>
            </wp:positionV>
            <wp:extent cx="5937250" cy="222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20"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STOCK OPTION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PARTICIPANTS SUBJECT TO TAX IN FRANCE</w:t>
      </w:r>
    </w:p>
    <w:p>
      <w:pPr>
        <w:spacing w:after="0" w:line="381"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u w:val="single" w:color="auto"/>
          <w:color w:val="auto"/>
        </w:rPr>
        <w:t>NOTICE OF STOCK OPTION GRANT</w:t>
      </w:r>
    </w:p>
    <w:p>
      <w:pPr>
        <w:spacing w:after="0" w:line="189" w:lineRule="exact"/>
        <w:rPr>
          <w:sz w:val="20"/>
          <w:szCs w:val="20"/>
          <w:color w:val="auto"/>
        </w:rPr>
      </w:pPr>
    </w:p>
    <w:p>
      <w:pPr>
        <w:jc w:val="both"/>
        <w:ind w:firstLine="553"/>
        <w:spacing w:after="0" w:line="248" w:lineRule="auto"/>
        <w:rPr>
          <w:sz w:val="20"/>
          <w:szCs w:val="20"/>
          <w:color w:val="auto"/>
        </w:rPr>
      </w:pPr>
      <w:r>
        <w:rPr>
          <w:rFonts w:ascii="Arial" w:cs="Arial" w:eastAsia="Arial" w:hAnsi="Arial"/>
          <w:sz w:val="17"/>
          <w:szCs w:val="17"/>
          <w:color w:val="auto"/>
        </w:rPr>
        <w:t>Unless otherwise defined herein, the terms defined in the Pulse Biosciences, Inc. 2017 Equity Incentive Plan (the “Plan”) and Sub Plan for France (the “Sub Plan”) will have the same defined meanings in this Stock Option Agreement including the Notice of Stock Option Grant (the “Notice of Grant”), the Terms and Conditions of Stock Option Grant, and the appendices and exhibits attached thereto (all together, the “Award Agreement”).</w:t>
      </w:r>
    </w:p>
    <w:p>
      <w:pPr>
        <w:spacing w:after="0" w:line="156" w:lineRule="exact"/>
        <w:rPr>
          <w:sz w:val="20"/>
          <w:szCs w:val="20"/>
          <w:color w:val="auto"/>
        </w:rPr>
      </w:pPr>
    </w:p>
    <w:p>
      <w:pPr>
        <w:ind w:left="560"/>
        <w:spacing w:after="0"/>
        <w:tabs>
          <w:tab w:leader="none" w:pos="2700" w:val="left"/>
        </w:tabs>
        <w:rPr>
          <w:sz w:val="20"/>
          <w:szCs w:val="20"/>
          <w:color w:val="auto"/>
        </w:rPr>
      </w:pPr>
      <w:r>
        <w:rPr>
          <w:rFonts w:ascii="Arial" w:cs="Arial" w:eastAsia="Arial" w:hAnsi="Arial"/>
          <w:sz w:val="17"/>
          <w:szCs w:val="17"/>
          <w:b w:val="1"/>
          <w:bCs w:val="1"/>
          <w:color w:val="auto"/>
        </w:rPr>
        <w:t>Name (“Participant”):</w:t>
      </w:r>
      <w:r>
        <w:rPr>
          <w:sz w:val="20"/>
          <w:szCs w:val="20"/>
          <w:color w:val="auto"/>
        </w:rPr>
        <w:tab/>
      </w:r>
      <w:r>
        <w:rPr>
          <w:rFonts w:ascii="Arial" w:cs="Arial" w:eastAsia="Arial" w:hAnsi="Arial"/>
          <w:sz w:val="17"/>
          <w:szCs w:val="17"/>
          <w:color w:val="auto"/>
        </w:rPr>
        <w:t>[[</w:t>
      </w:r>
      <w:r>
        <w:rPr>
          <w:rFonts w:ascii="Arial" w:cs="Arial" w:eastAsia="Arial" w:hAnsi="Arial"/>
          <w:sz w:val="17"/>
          <w:szCs w:val="17"/>
          <w:color w:val="2B2105"/>
        </w:rPr>
        <w:t>FIRSTNAME]] [[LASTNAME]]</w:t>
      </w:r>
    </w:p>
    <w:p>
      <w:pPr>
        <w:spacing w:after="0" w:line="185" w:lineRule="exact"/>
        <w:rPr>
          <w:sz w:val="20"/>
          <w:szCs w:val="20"/>
          <w:color w:val="auto"/>
        </w:rPr>
      </w:pPr>
    </w:p>
    <w:p>
      <w:pPr>
        <w:ind w:left="560"/>
        <w:spacing w:after="0"/>
        <w:tabs>
          <w:tab w:leader="none" w:pos="2840" w:val="left"/>
        </w:tabs>
        <w:rPr>
          <w:sz w:val="20"/>
          <w:szCs w:val="20"/>
          <w:color w:val="auto"/>
        </w:rPr>
      </w:pPr>
      <w:r>
        <w:rPr>
          <w:rFonts w:ascii="Arial" w:cs="Arial" w:eastAsia="Arial" w:hAnsi="Arial"/>
          <w:sz w:val="17"/>
          <w:szCs w:val="17"/>
          <w:b w:val="1"/>
          <w:bCs w:val="1"/>
          <w:color w:val="auto"/>
        </w:rPr>
        <w:t>Address:</w:t>
      </w:r>
      <w:r>
        <w:rPr>
          <w:sz w:val="20"/>
          <w:szCs w:val="20"/>
          <w:color w:val="auto"/>
        </w:rPr>
        <w:tab/>
      </w:r>
      <w:r>
        <w:rPr>
          <w:rFonts w:ascii="Arial" w:cs="Arial" w:eastAsia="Arial" w:hAnsi="Arial"/>
          <w:sz w:val="17"/>
          <w:szCs w:val="17"/>
          <w:color w:val="auto"/>
        </w:rPr>
        <w:t>[[</w:t>
      </w:r>
      <w:r>
        <w:rPr>
          <w:rFonts w:ascii="Arial" w:cs="Arial" w:eastAsia="Arial" w:hAnsi="Arial"/>
          <w:sz w:val="17"/>
          <w:szCs w:val="17"/>
          <w:color w:val="2B2105"/>
        </w:rPr>
        <w:t>RESADDR1]]</w:t>
      </w:r>
    </w:p>
    <w:p>
      <w:pPr>
        <w:spacing w:after="0" w:line="19" w:lineRule="exact"/>
        <w:rPr>
          <w:sz w:val="20"/>
          <w:szCs w:val="20"/>
          <w:color w:val="auto"/>
        </w:rPr>
      </w:pPr>
    </w:p>
    <w:p>
      <w:pPr>
        <w:ind w:left="2760"/>
        <w:spacing w:after="0"/>
        <w:rPr>
          <w:sz w:val="20"/>
          <w:szCs w:val="20"/>
          <w:color w:val="auto"/>
        </w:rPr>
      </w:pPr>
      <w:r>
        <w:rPr>
          <w:rFonts w:ascii="Arial" w:cs="Arial" w:eastAsia="Arial" w:hAnsi="Arial"/>
          <w:sz w:val="17"/>
          <w:szCs w:val="17"/>
          <w:color w:val="2B2105"/>
        </w:rPr>
        <w:t>[[RESADDR2]]</w:t>
      </w:r>
    </w:p>
    <w:p>
      <w:pPr>
        <w:spacing w:after="0" w:line="1" w:lineRule="exact"/>
        <w:rPr>
          <w:sz w:val="20"/>
          <w:szCs w:val="20"/>
          <w:color w:val="auto"/>
        </w:rPr>
      </w:pPr>
    </w:p>
    <w:p>
      <w:pPr>
        <w:jc w:val="center"/>
        <w:ind w:right="-639"/>
        <w:spacing w:after="0"/>
        <w:rPr>
          <w:sz w:val="20"/>
          <w:szCs w:val="20"/>
          <w:color w:val="auto"/>
        </w:rPr>
      </w:pPr>
      <w:r>
        <w:rPr>
          <w:rFonts w:ascii="Arial" w:cs="Arial" w:eastAsia="Arial" w:hAnsi="Arial"/>
          <w:sz w:val="17"/>
          <w:szCs w:val="17"/>
          <w:color w:val="auto"/>
        </w:rPr>
        <w:t>[[RESCITY]],[[</w:t>
      </w:r>
      <w:r>
        <w:rPr>
          <w:rFonts w:ascii="Arial" w:cs="Arial" w:eastAsia="Arial" w:hAnsi="Arial"/>
          <w:sz w:val="17"/>
          <w:szCs w:val="17"/>
          <w:color w:val="2B2105"/>
        </w:rPr>
        <w:t>RESSTATEORPROV]]  [[RESPOSTALCODE]]</w:t>
      </w:r>
    </w:p>
    <w:p>
      <w:pPr>
        <w:spacing w:after="0" w:line="171"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7"/>
          <w:szCs w:val="17"/>
          <w:color w:val="auto"/>
        </w:rPr>
        <w:t>The undersigned Participant has been granted an Option to purchase Common Stock of Pulse Biosciences, Inc. (the “Company”), subject to the terms and conditions of the Plan and this Award Agreement, as follows:</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2280" w:type="dxa"/>
            <w:vAlign w:val="bottom"/>
            <w:gridSpan w:val="2"/>
          </w:tcPr>
          <w:p>
            <w:pPr>
              <w:spacing w:after="0"/>
              <w:rPr>
                <w:sz w:val="20"/>
                <w:szCs w:val="20"/>
                <w:color w:val="auto"/>
              </w:rPr>
            </w:pPr>
            <w:r>
              <w:rPr>
                <w:rFonts w:ascii="Arial" w:cs="Arial" w:eastAsia="Arial" w:hAnsi="Arial"/>
                <w:sz w:val="17"/>
                <w:szCs w:val="17"/>
                <w:color w:val="auto"/>
              </w:rPr>
              <w:t>Grant Number</w:t>
            </w:r>
          </w:p>
        </w:tc>
        <w:tc>
          <w:tcPr>
            <w:tcW w:w="3080" w:type="dxa"/>
            <w:vAlign w:val="bottom"/>
          </w:tcPr>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GRANTNUMBER]]</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Date of Grant</w:t>
            </w:r>
          </w:p>
        </w:tc>
        <w:tc>
          <w:tcPr>
            <w:tcW w:w="3080" w:type="dxa"/>
            <w:vAlign w:val="bottom"/>
          </w:tcPr>
          <w:p>
            <w:pPr>
              <w:ind w:left="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GRANTDATE]]</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w w:val="99"/>
              </w:rPr>
              <w:t>Vesting Commencement Date</w:t>
            </w:r>
          </w:p>
        </w:tc>
        <w:tc>
          <w:tcPr>
            <w:tcW w:w="3080" w:type="dxa"/>
            <w:vAlign w:val="bottom"/>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VESTINGSTARTDATE]]</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Number of Shares Granted</w:t>
            </w:r>
          </w:p>
        </w:tc>
        <w:tc>
          <w:tcPr>
            <w:tcW w:w="3080" w:type="dxa"/>
            <w:vAlign w:val="bottom"/>
          </w:tcPr>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SHARESGRANTED]]</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Exercise Price per Share</w:t>
            </w:r>
          </w:p>
        </w:tc>
        <w:tc>
          <w:tcPr>
            <w:tcW w:w="3080" w:type="dxa"/>
            <w:vAlign w:val="bottom"/>
          </w:tcPr>
          <w:p>
            <w:pPr>
              <w:ind w:left="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GRANTPRICE]]</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Total Exercise Price</w:t>
            </w:r>
          </w:p>
        </w:tc>
        <w:tc>
          <w:tcPr>
            <w:tcW w:w="3080" w:type="dxa"/>
            <w:vAlign w:val="bottom"/>
          </w:tcPr>
          <w:p>
            <w:pPr>
              <w:ind w:left="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MARKETPRICEATAWARD]]</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Term/Expiration Date</w:t>
            </w:r>
          </w:p>
        </w:tc>
        <w:tc>
          <w:tcPr>
            <w:tcW w:w="3080" w:type="dxa"/>
            <w:vAlign w:val="bottom"/>
          </w:tcPr>
          <w:p>
            <w:pPr>
              <w:ind w:left="8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2B2105"/>
                <w:w w:val="97"/>
              </w:rPr>
              <w:t>GRANTEXPIRATIONDATE]]</w:t>
            </w:r>
          </w:p>
        </w:tc>
      </w:tr>
      <w:tr>
        <w:trPr>
          <w:trHeight w:val="342"/>
        </w:trPr>
        <w:tc>
          <w:tcPr>
            <w:tcW w:w="2280" w:type="dxa"/>
            <w:vAlign w:val="bottom"/>
            <w:gridSpan w:val="2"/>
          </w:tcPr>
          <w:p>
            <w:pPr>
              <w:spacing w:after="0"/>
              <w:rPr>
                <w:sz w:val="20"/>
                <w:szCs w:val="20"/>
                <w:color w:val="auto"/>
              </w:rPr>
            </w:pPr>
            <w:r>
              <w:rPr>
                <w:rFonts w:ascii="Arial" w:cs="Arial" w:eastAsia="Arial" w:hAnsi="Arial"/>
                <w:sz w:val="17"/>
                <w:szCs w:val="17"/>
                <w:color w:val="auto"/>
              </w:rPr>
              <w:t>Vesting Schedule:</w:t>
            </w:r>
          </w:p>
        </w:tc>
        <w:tc>
          <w:tcPr>
            <w:tcW w:w="3080" w:type="dxa"/>
            <w:vAlign w:val="bottom"/>
          </w:tcPr>
          <w:p>
            <w:pPr>
              <w:spacing w:after="0"/>
              <w:rPr>
                <w:sz w:val="24"/>
                <w:szCs w:val="24"/>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7"/>
          <w:szCs w:val="17"/>
          <w:color w:val="auto"/>
        </w:rPr>
        <w:t>Subject to accelerated vesting as set forth below or in the Plan and/or Sub Plan, this Option will be exercisable, in whole or in part, in accordance with the following schedule: [[</w:t>
      </w:r>
      <w:r>
        <w:rPr>
          <w:rFonts w:ascii="Arial" w:cs="Arial" w:eastAsia="Arial" w:hAnsi="Arial"/>
          <w:sz w:val="17"/>
          <w:szCs w:val="17"/>
          <w:color w:val="2B2105"/>
        </w:rPr>
        <w:t>VESTINGTEMPLATEDESC]]</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u w:val="single" w:color="auto"/>
          <w:color w:val="auto"/>
        </w:rPr>
        <w:t>Termination Period</w:t>
      </w:r>
      <w:r>
        <w:rPr>
          <w:rFonts w:ascii="Arial" w:cs="Arial" w:eastAsia="Arial" w:hAnsi="Arial"/>
          <w:sz w:val="17"/>
          <w:szCs w:val="17"/>
          <w:color w:val="auto"/>
        </w:rPr>
        <w:t>:</w:t>
      </w:r>
    </w:p>
    <w:p>
      <w:pPr>
        <w:spacing w:after="0" w:line="185" w:lineRule="exact"/>
        <w:rPr>
          <w:sz w:val="20"/>
          <w:szCs w:val="20"/>
          <w:color w:val="auto"/>
        </w:rPr>
      </w:pPr>
    </w:p>
    <w:p>
      <w:pPr>
        <w:jc w:val="both"/>
        <w:ind w:firstLine="553"/>
        <w:spacing w:after="0" w:line="252" w:lineRule="auto"/>
        <w:rPr>
          <w:sz w:val="20"/>
          <w:szCs w:val="20"/>
          <w:color w:val="auto"/>
        </w:rPr>
      </w:pPr>
      <w:r>
        <w:rPr>
          <w:rFonts w:ascii="Arial" w:cs="Arial" w:eastAsia="Arial" w:hAnsi="Arial"/>
          <w:sz w:val="17"/>
          <w:szCs w:val="17"/>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5937250" cy="222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132" w:name="page133"/>
    <w:bookmarkEnd w:id="132"/>
    <w:p>
      <w:pPr>
        <w:jc w:val="both"/>
        <w:spacing w:after="0" w:line="264" w:lineRule="auto"/>
        <w:rPr>
          <w:sz w:val="20"/>
          <w:szCs w:val="20"/>
          <w:color w:val="auto"/>
        </w:rPr>
      </w:pPr>
      <w:r>
        <w:rPr>
          <w:rFonts w:ascii="Arial" w:cs="Arial" w:eastAsia="Arial" w:hAnsi="Arial"/>
          <w:sz w:val="17"/>
          <w:szCs w:val="17"/>
          <w:color w:val="auto"/>
        </w:rPr>
        <w:t>sentence, in no event may this Option be exercised after the Term/Expiration Date as provided above and may be subject to earlier termination as provided in Section 15 of the Plan.</w:t>
      </w:r>
    </w:p>
    <w:p>
      <w:pPr>
        <w:spacing w:after="0" w:line="146" w:lineRule="exact"/>
        <w:rPr>
          <w:sz w:val="20"/>
          <w:szCs w:val="20"/>
          <w:color w:val="auto"/>
        </w:rPr>
      </w:pPr>
    </w:p>
    <w:p>
      <w:pPr>
        <w:jc w:val="both"/>
        <w:ind w:firstLine="553"/>
        <w:spacing w:after="0" w:line="284" w:lineRule="auto"/>
        <w:rPr>
          <w:sz w:val="20"/>
          <w:szCs w:val="20"/>
          <w:color w:val="auto"/>
        </w:rPr>
      </w:pPr>
      <w:r>
        <w:rPr>
          <w:rFonts w:ascii="Arial" w:cs="Arial" w:eastAsia="Arial" w:hAnsi="Arial"/>
          <w:sz w:val="15"/>
          <w:szCs w:val="15"/>
          <w:color w:val="auto"/>
        </w:rPr>
        <w:t>Participant acknowledges receipt of a copy of the Plan and Sub Plan and represents that he or she is familiar with the terms and provisions thereof, and hereby accepts this Award Agreement subject to all of the terms and provisions thereof. Participant has reviewed the Plan, Sub Plan and this Award Agreement in their entirety, has had an opportunity to obtain the advice of counsel prior to executing this Award Agreement and fully understands all provisions of this Award Agreement. Participant hereby agrees to accept as binding, conclusive and final all decisions or interpretations of the Administrator upon any questions arising under the Plan, Sub Plan or this Award Agreement. Participant further agrees to notify the Company upon any change in the residence address indicated below.</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PULSE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1317625" cy="402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131762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Sandra Gardiner, Chief Financial Officer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PARTICIPANT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ACCEPTED: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rPr>
          <w:sz w:val="20"/>
          <w:szCs w:val="20"/>
          <w:color w:val="auto"/>
        </w:rPr>
      </w:pPr>
      <w:r>
        <w:rPr>
          <w:rFonts w:ascii="Arial" w:cs="Arial" w:eastAsia="Arial" w:hAnsi="Arial"/>
          <w:sz w:val="17"/>
          <w:szCs w:val="17"/>
          <w:color w:val="auto"/>
        </w:rPr>
        <w:t>Signature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[[SIGNATURE_DATE]]</w:t>
      </w:r>
    </w:p>
    <w:p>
      <w:pPr>
        <w:spacing w:after="0"/>
        <w:rPr>
          <w:sz w:val="20"/>
          <w:szCs w:val="20"/>
          <w:color w:val="auto"/>
        </w:rPr>
      </w:pPr>
      <w:r>
        <w:rPr>
          <w:rFonts w:ascii="Arial" w:cs="Arial" w:eastAsia="Arial" w:hAnsi="Arial"/>
          <w:sz w:val="17"/>
          <w:szCs w:val="17"/>
          <w:color w:val="auto"/>
        </w:rPr>
        <w:t>Date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u w:val="single" w:color="auto"/>
          <w:color w:val="2B2105"/>
        </w:rPr>
        <w:t>FIRSTNAME]] [[LASTNAME]]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Print Name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RESADDR1]]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B2105"/>
        </w:rPr>
        <w:t>[[RESADDR2]]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[[RESCITY]], [[</w:t>
      </w:r>
      <w:r>
        <w:rPr>
          <w:rFonts w:ascii="Arial" w:cs="Arial" w:eastAsia="Arial" w:hAnsi="Arial"/>
          <w:sz w:val="17"/>
          <w:szCs w:val="17"/>
          <w:color w:val="2B2105"/>
        </w:rPr>
        <w:t>RESSTATEORPROV]] [[RESPOSTALCODE]]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1918970</wp:posOffset>
            </wp:positionV>
            <wp:extent cx="5937250" cy="222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20"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STOCK OPTION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PARTICIPANTS SUBJECT TO TAX IN FRANCE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TERMS AND CONDITIONS OF STOCK OPTION GRANT</w:t>
      </w:r>
    </w:p>
    <w:p>
      <w:pPr>
        <w:spacing w:after="0" w:line="189" w:lineRule="exact"/>
        <w:rPr>
          <w:sz w:val="20"/>
          <w:szCs w:val="20"/>
          <w:color w:val="auto"/>
        </w:rPr>
      </w:pPr>
    </w:p>
    <w:p>
      <w:pPr>
        <w:jc w:val="both"/>
        <w:ind w:firstLine="552"/>
        <w:spacing w:after="0" w:line="244" w:lineRule="auto"/>
        <w:tabs>
          <w:tab w:leader="none" w:pos="887"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The Company hereby grants to the individual (the “Participant”) named in the Notice of Stock Option Grant of this Award Agreement (the “Notice of Grant”) an option (the “Option”) to purchase the number of Shares, as set forth in the Notice of Grant, at the exercise price per Share set forth in the Notice of Grant (the “Exercise Price”), which is not less than the Fair Market Value of per Share on the Date of Grant of the Option, subject to all of the terms and conditions in this Award Agreement and the Plan and Sub Plan, which is incorporated herein by reference. Subject to Section 20(c) of the Plan, in the event of a conflict between the terms and conditions of the Plan, Sub Plan and the terms and conditions of this Award Agreement, the terms and conditions of the Plan will prevail.</w:t>
      </w:r>
    </w:p>
    <w:p>
      <w:pPr>
        <w:spacing w:after="0" w:line="165" w:lineRule="exact"/>
        <w:rPr>
          <w:rFonts w:ascii="Arial" w:cs="Arial" w:eastAsia="Arial" w:hAnsi="Arial"/>
          <w:sz w:val="17"/>
          <w:szCs w:val="17"/>
          <w:color w:val="auto"/>
        </w:rPr>
      </w:pPr>
    </w:p>
    <w:p>
      <w:pPr>
        <w:jc w:val="both"/>
        <w:ind w:firstLine="552"/>
        <w:spacing w:after="0" w:line="268" w:lineRule="auto"/>
        <w:tabs>
          <w:tab w:leader="none" w:pos="876"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spacing w:after="0" w:line="146" w:lineRule="exact"/>
        <w:rPr>
          <w:rFonts w:ascii="Arial" w:cs="Arial" w:eastAsia="Arial" w:hAnsi="Arial"/>
          <w:sz w:val="16"/>
          <w:szCs w:val="16"/>
          <w:color w:val="auto"/>
        </w:rPr>
      </w:pPr>
    </w:p>
    <w:p>
      <w:pPr>
        <w:jc w:val="both"/>
        <w:ind w:firstLine="552"/>
        <w:spacing w:after="0" w:line="252" w:lineRule="auto"/>
        <w:tabs>
          <w:tab w:leader="none" w:pos="887"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Administrator Discretion</w:t>
      </w:r>
      <w:r>
        <w:rPr>
          <w:rFonts w:ascii="Arial" w:cs="Arial" w:eastAsia="Arial" w:hAnsi="Arial"/>
          <w:sz w:val="17"/>
          <w:szCs w:val="17"/>
          <w:color w:val="auto"/>
        </w:rPr>
        <w:t>. The Administrator, in its discretion, may accelerate the vesting of the balance, or some lesser portion of the balance, of the unvested Option at any time, subject to the terms of the Plan and Sub Plan. If so accelerated, such Option will be considered as having vested as of the date specified by the Administrator.</w:t>
      </w:r>
    </w:p>
    <w:p>
      <w:pPr>
        <w:spacing w:after="0" w:line="156" w:lineRule="exact"/>
        <w:rPr>
          <w:rFonts w:ascii="Arial" w:cs="Arial" w:eastAsia="Arial" w:hAnsi="Arial"/>
          <w:sz w:val="17"/>
          <w:szCs w:val="17"/>
          <w:color w:val="auto"/>
        </w:rPr>
      </w:pPr>
    </w:p>
    <w:p>
      <w:pPr>
        <w:ind w:left="880" w:hanging="328"/>
        <w:spacing w:after="0"/>
        <w:tabs>
          <w:tab w:leader="none" w:pos="88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firstLine="829"/>
        <w:spacing w:after="0" w:line="264" w:lineRule="auto"/>
        <w:tabs>
          <w:tab w:leader="none" w:pos="1175"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This Option may be exercised only within the term set out in the Notice of Grant, and may be exercised during such term only in accordance with the Plan, Sub Plan and the terms of this Award Agreement.</w:t>
      </w:r>
    </w:p>
    <w:p>
      <w:pPr>
        <w:spacing w:after="0" w:line="146" w:lineRule="exact"/>
        <w:rPr>
          <w:rFonts w:ascii="Arial" w:cs="Arial" w:eastAsia="Arial" w:hAnsi="Arial"/>
          <w:sz w:val="17"/>
          <w:szCs w:val="17"/>
          <w:color w:val="auto"/>
        </w:rPr>
      </w:pPr>
    </w:p>
    <w:p>
      <w:pPr>
        <w:jc w:val="both"/>
        <w:ind w:firstLine="829"/>
        <w:spacing w:after="0" w:line="243" w:lineRule="auto"/>
        <w:tabs>
          <w:tab w:leader="none" w:pos="1173"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This Option is exercisable by delivery of an exercise notice (the “Exercise Notice”) in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and Sub Plan. The Exercise Notice will be completed by Participant and delivered to the Company. The Exercise Notice will be accompanied by payment of the aggregate Exercise Price as to all Exercised Shares together and of any Tax Obligations (as defined in Section 6(a)). This Option will be deemed to be exercised upon receipt by the Company of such fully executed Exercise Notice accompanied by the aggregate Exercise Price.</w:t>
      </w:r>
    </w:p>
    <w:p>
      <w:pPr>
        <w:spacing w:after="0" w:line="169" w:lineRule="exact"/>
        <w:rPr>
          <w:rFonts w:ascii="Arial" w:cs="Arial" w:eastAsia="Arial" w:hAnsi="Arial"/>
          <w:sz w:val="17"/>
          <w:szCs w:val="17"/>
          <w:color w:val="auto"/>
        </w:rPr>
      </w:pPr>
    </w:p>
    <w:p>
      <w:pPr>
        <w:ind w:firstLine="552"/>
        <w:spacing w:after="0" w:line="264" w:lineRule="auto"/>
        <w:tabs>
          <w:tab w:leader="none" w:pos="876"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Payment of the aggregate Exercise Price will be by any of the following, or a combination thereof, at the election of Participant:</w:t>
      </w:r>
    </w:p>
    <w:p>
      <w:pPr>
        <w:spacing w:after="0" w:line="146" w:lineRule="exact"/>
        <w:rPr>
          <w:rFonts w:ascii="Arial" w:cs="Arial" w:eastAsia="Arial" w:hAnsi="Arial"/>
          <w:sz w:val="17"/>
          <w:szCs w:val="17"/>
          <w:color w:val="auto"/>
        </w:rPr>
      </w:pPr>
    </w:p>
    <w:p>
      <w:pPr>
        <w:ind w:left="1160" w:hanging="331"/>
        <w:spacing w:after="0"/>
        <w:tabs>
          <w:tab w:leader="none" w:pos="1160" w:val="left"/>
        </w:tabs>
        <w:numPr>
          <w:ilvl w:val="1"/>
          <w:numId w:val="82"/>
        </w:numPr>
        <w:rPr>
          <w:rFonts w:ascii="Arial" w:cs="Arial" w:eastAsia="Arial" w:hAnsi="Arial"/>
          <w:sz w:val="17"/>
          <w:szCs w:val="17"/>
          <w:color w:val="auto"/>
        </w:rPr>
      </w:pPr>
      <w:r>
        <w:rPr>
          <w:rFonts w:ascii="Arial" w:cs="Arial" w:eastAsia="Arial" w:hAnsi="Arial"/>
          <w:sz w:val="17"/>
          <w:szCs w:val="17"/>
          <w:color w:val="auto"/>
        </w:rPr>
        <w:t>cash;</w:t>
      </w:r>
    </w:p>
    <w:p>
      <w:pPr>
        <w:spacing w:after="0" w:line="184" w:lineRule="exact"/>
        <w:rPr>
          <w:rFonts w:ascii="Arial" w:cs="Arial" w:eastAsia="Arial" w:hAnsi="Arial"/>
          <w:sz w:val="17"/>
          <w:szCs w:val="17"/>
          <w:color w:val="auto"/>
        </w:rPr>
      </w:pPr>
    </w:p>
    <w:p>
      <w:pPr>
        <w:ind w:left="1160" w:hanging="331"/>
        <w:spacing w:after="0"/>
        <w:tabs>
          <w:tab w:leader="none" w:pos="1160" w:val="left"/>
        </w:tabs>
        <w:numPr>
          <w:ilvl w:val="1"/>
          <w:numId w:val="82"/>
        </w:numPr>
        <w:rPr>
          <w:rFonts w:ascii="Arial" w:cs="Arial" w:eastAsia="Arial" w:hAnsi="Arial"/>
          <w:sz w:val="17"/>
          <w:szCs w:val="17"/>
          <w:color w:val="auto"/>
        </w:rPr>
      </w:pPr>
      <w:r>
        <w:rPr>
          <w:rFonts w:ascii="Arial" w:cs="Arial" w:eastAsia="Arial" w:hAnsi="Arial"/>
          <w:sz w:val="17"/>
          <w:szCs w:val="17"/>
          <w:color w:val="auto"/>
        </w:rPr>
        <w:t>check;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5937250" cy="222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134" w:name="page135"/>
    <w:bookmarkEnd w:id="134"/>
    <w:p>
      <w:pPr>
        <w:ind w:left="-20" w:firstLine="829"/>
        <w:spacing w:after="0" w:line="263" w:lineRule="auto"/>
        <w:tabs>
          <w:tab w:leader="none" w:pos="1178" w:val="left"/>
        </w:tabs>
        <w:numPr>
          <w:ilvl w:val="1"/>
          <w:numId w:val="83"/>
        </w:numPr>
        <w:rPr>
          <w:rFonts w:ascii="Arial" w:cs="Arial" w:eastAsia="Arial" w:hAnsi="Arial"/>
          <w:sz w:val="17"/>
          <w:szCs w:val="17"/>
          <w:color w:val="auto"/>
        </w:rPr>
      </w:pPr>
      <w:r>
        <w:rPr>
          <w:rFonts w:ascii="Arial" w:cs="Arial" w:eastAsia="Arial" w:hAnsi="Arial"/>
          <w:sz w:val="17"/>
          <w:szCs w:val="17"/>
          <w:color w:val="auto"/>
        </w:rPr>
        <w:t>consideration received by the Company under a formal cashless exercise program adopted by the Company in connection with the Plan and Sub Plan.</w:t>
      </w:r>
    </w:p>
    <w:p>
      <w:pPr>
        <w:spacing w:after="0" w:line="147" w:lineRule="exact"/>
        <w:rPr>
          <w:rFonts w:ascii="Arial" w:cs="Arial" w:eastAsia="Arial" w:hAnsi="Arial"/>
          <w:sz w:val="17"/>
          <w:szCs w:val="17"/>
          <w:color w:val="auto"/>
        </w:rPr>
      </w:pPr>
    </w:p>
    <w:p>
      <w:pPr>
        <w:ind w:left="860" w:hanging="328"/>
        <w:spacing w:after="0"/>
        <w:tabs>
          <w:tab w:leader="none" w:pos="86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Tax Obligations</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left="-20" w:firstLine="829"/>
        <w:spacing w:after="0" w:line="277" w:lineRule="auto"/>
        <w:tabs>
          <w:tab w:leader="none" w:pos="1143" w:val="left"/>
        </w:tabs>
        <w:numPr>
          <w:ilvl w:val="1"/>
          <w:numId w:val="84"/>
        </w:numPr>
        <w:rPr>
          <w:rFonts w:ascii="Arial" w:cs="Arial" w:eastAsia="Arial" w:hAnsi="Arial"/>
          <w:sz w:val="15"/>
          <w:szCs w:val="15"/>
          <w:color w:val="auto"/>
        </w:rPr>
      </w:pPr>
      <w:r>
        <w:rPr>
          <w:rFonts w:ascii="Arial" w:cs="Arial" w:eastAsia="Arial" w:hAnsi="Arial"/>
          <w:sz w:val="15"/>
          <w:szCs w:val="15"/>
          <w:color w:val="auto"/>
        </w:rPr>
        <w:t>Participant acknowledges that, regardless of any action taken by the Company or, if different, Participant’s employer (the “Employer”), the ultimate liability for any tax or other jurisdictional obligations (e.g., social taxes, welfare taxes, etc.),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Employer. Participant further acknowledges that the Company and/or the Employer (i) make no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(ii)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Employer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41" w:lineRule="exact"/>
        <w:rPr>
          <w:rFonts w:ascii="Arial" w:cs="Arial" w:eastAsia="Arial" w:hAnsi="Arial"/>
          <w:sz w:val="15"/>
          <w:szCs w:val="15"/>
          <w:color w:val="auto"/>
        </w:rPr>
      </w:pPr>
    </w:p>
    <w:p>
      <w:pPr>
        <w:jc w:val="both"/>
        <w:ind w:left="-20" w:firstLine="829"/>
        <w:spacing w:after="0" w:line="275" w:lineRule="auto"/>
        <w:tabs>
          <w:tab w:leader="none" w:pos="1164" w:val="left"/>
        </w:tabs>
        <w:numPr>
          <w:ilvl w:val="1"/>
          <w:numId w:val="84"/>
        </w:numPr>
        <w:rPr>
          <w:rFonts w:ascii="Arial" w:cs="Arial" w:eastAsia="Arial" w:hAnsi="Arial"/>
          <w:sz w:val="15"/>
          <w:szCs w:val="15"/>
          <w:color w:val="auto"/>
        </w:rPr>
      </w:pPr>
      <w:r>
        <w:rPr>
          <w:rFonts w:ascii="Arial" w:cs="Arial" w:eastAsia="Arial" w:hAnsi="Arial"/>
          <w:sz w:val="15"/>
          <w:szCs w:val="15"/>
          <w:u w:val="single" w:color="auto"/>
          <w:color w:val="auto"/>
        </w:rPr>
        <w:t>Tax Withholding</w:t>
      </w:r>
      <w:r>
        <w:rPr>
          <w:rFonts w:ascii="Arial" w:cs="Arial" w:eastAsia="Arial" w:hAnsi="Arial"/>
          <w:sz w:val="15"/>
          <w:szCs w:val="15"/>
          <w:color w:val="auto"/>
        </w:rPr>
        <w:t>. When, under applicable tax laws, a Participant incurs a liability to tax, duties or social security contributions in connection with the exercise of any Option that is subject to tax withholding, the Participant is obligated to either enter into an arrangement (as described herein) for the purpose of ensuring the employer or former employer has sufficient funds to discharge the liability or reimburse the employer or former employer the amount required to be paid to the applicable tax authorities. Pursuant to such procedures as the Administrator may specify from time to time, the Company and/or Employer shall withhold the minimum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(a) paying cash, (b) electing to have the Company withhold otherwise deliverable Shares having a Fair Market Value equal to the amount of such Tax Obligations, (c) withholding the amount of such Tax Obligations from Participant’s wages or other cash compensation paid to Participant by the company and/or the Employer, (d) selling a sufficient number of such Shares otherwise deliverable to Participant through such means as the Company may determine in its sole discretion (whether through a broker or otherwise) equal to the amount of the Tax Obligations. To the extent determined appropriate by the Company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Employer (and/or former employer, as applicable) may be required to withhold or account for tax in more than one jurisdiction. Exercise of the Option is conditional upon the Participant having entered into arrangements for this purpose which are satisfactory to the Participant’s employer or former employer.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288290</wp:posOffset>
            </wp:positionV>
            <wp:extent cx="5937250" cy="222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126" w:right="1159" w:bottom="1440" w:gutter="0" w:footer="0" w:header="0"/>
        </w:sectPr>
      </w:pPr>
    </w:p>
    <w:bookmarkStart w:id="135" w:name="page136"/>
    <w:bookmarkEnd w:id="135"/>
    <w:p>
      <w:pPr>
        <w:jc w:val="both"/>
        <w:ind w:left="-20" w:firstLine="552"/>
        <w:spacing w:after="0" w:line="245" w:lineRule="auto"/>
        <w:tabs>
          <w:tab w:leader="none" w:pos="856"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62" w:lineRule="exact"/>
        <w:rPr>
          <w:rFonts w:ascii="Arial" w:cs="Arial" w:eastAsia="Arial" w:hAnsi="Arial"/>
          <w:sz w:val="17"/>
          <w:szCs w:val="17"/>
          <w:color w:val="auto"/>
        </w:rPr>
      </w:pPr>
    </w:p>
    <w:p>
      <w:pPr>
        <w:jc w:val="both"/>
        <w:ind w:left="-20" w:firstLine="552"/>
        <w:spacing w:after="0" w:line="260" w:lineRule="auto"/>
        <w:tabs>
          <w:tab w:leader="none" w:pos="879"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No Guarantee of Continued Service</w:t>
      </w:r>
      <w:r>
        <w:rPr>
          <w:rFonts w:ascii="Arial" w:cs="Arial" w:eastAsia="Arial" w:hAnsi="Arial"/>
          <w:sz w:val="16"/>
          <w:szCs w:val="16"/>
          <w:color w:val="auto"/>
        </w:rPr>
        <w:t>. PARTICIPANT ACKNOWLEDGES AND AGREES THAT THE VESTING OF SHARES PURSUANT TO THE VESTING SCHEDULE HEREOF IS EARNED ONLY BY CONTINUING AS A SERVICE PROVIDER AT THE WILL OF THE COMPANY (OR THE EMPLOYER) AND NOT THROUGH THE ACT OF BEING HIRED, BEING GRANTED THIS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EMPLOYER) TO TERMINATE PARTICIPANT’S RELATIONSHIP AS A SERVICE PROVIDER AT ANY TIME, WITH OR WITHOUT CAUSE.</w:t>
      </w:r>
    </w:p>
    <w:p>
      <w:pPr>
        <w:spacing w:after="0" w:line="154" w:lineRule="exact"/>
        <w:rPr>
          <w:rFonts w:ascii="Arial" w:cs="Arial" w:eastAsia="Arial" w:hAnsi="Arial"/>
          <w:sz w:val="16"/>
          <w:szCs w:val="16"/>
          <w:color w:val="auto"/>
        </w:rPr>
      </w:pPr>
    </w:p>
    <w:p>
      <w:pPr>
        <w:ind w:left="860" w:hanging="328"/>
        <w:spacing w:after="0"/>
        <w:tabs>
          <w:tab w:leader="none" w:pos="860"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In accepting the Option, Participant acknowledges, understands and agrees that:</w:t>
      </w:r>
    </w:p>
    <w:p>
      <w:pPr>
        <w:spacing w:after="0" w:line="184" w:lineRule="exact"/>
        <w:rPr>
          <w:rFonts w:ascii="Arial" w:cs="Arial" w:eastAsia="Arial" w:hAnsi="Arial"/>
          <w:sz w:val="17"/>
          <w:szCs w:val="17"/>
          <w:color w:val="auto"/>
        </w:rPr>
      </w:pPr>
    </w:p>
    <w:p>
      <w:pPr>
        <w:ind w:left="-20" w:firstLine="829"/>
        <w:spacing w:after="0" w:line="264" w:lineRule="auto"/>
        <w:tabs>
          <w:tab w:leader="none" w:pos="1143"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grant of the Option is voluntary and occasional and does not create any contractual or other right to receive future grants of options, or benefits in lieu of options, even if options have been granted in the past;</w:t>
      </w:r>
    </w:p>
    <w:p>
      <w:pPr>
        <w:spacing w:after="0" w:line="146" w:lineRule="exact"/>
        <w:rPr>
          <w:rFonts w:ascii="Arial" w:cs="Arial" w:eastAsia="Arial" w:hAnsi="Arial"/>
          <w:sz w:val="17"/>
          <w:szCs w:val="17"/>
          <w:color w:val="auto"/>
        </w:rPr>
      </w:pPr>
    </w:p>
    <w:p>
      <w:pPr>
        <w:ind w:left="1140" w:hanging="331"/>
        <w:spacing w:after="0"/>
        <w:tabs>
          <w:tab w:leader="none" w:pos="114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decisions with respect to future option or other grants, if any, will be at the sole discretion of the Company;</w:t>
      </w:r>
    </w:p>
    <w:p>
      <w:pPr>
        <w:spacing w:after="0" w:line="196" w:lineRule="exact"/>
        <w:rPr>
          <w:rFonts w:ascii="Arial" w:cs="Arial" w:eastAsia="Arial" w:hAnsi="Arial"/>
          <w:sz w:val="16"/>
          <w:szCs w:val="16"/>
          <w:color w:val="auto"/>
        </w:rPr>
      </w:pPr>
    </w:p>
    <w:p>
      <w:pPr>
        <w:ind w:left="1140" w:hanging="331"/>
        <w:spacing w:after="0"/>
        <w:tabs>
          <w:tab w:leader="none" w:pos="11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Participant is voluntarily participating in the Plan;</w:t>
      </w:r>
    </w:p>
    <w:p>
      <w:pPr>
        <w:spacing w:after="0" w:line="184" w:lineRule="exact"/>
        <w:rPr>
          <w:rFonts w:ascii="Arial" w:cs="Arial" w:eastAsia="Arial" w:hAnsi="Arial"/>
          <w:sz w:val="17"/>
          <w:szCs w:val="17"/>
          <w:color w:val="auto"/>
        </w:rPr>
      </w:pPr>
    </w:p>
    <w:p>
      <w:pPr>
        <w:ind w:left="1140" w:hanging="331"/>
        <w:spacing w:after="0"/>
        <w:tabs>
          <w:tab w:leader="none" w:pos="1140" w:val="left"/>
        </w:tabs>
        <w:numPr>
          <w:ilvl w:val="1"/>
          <w:numId w:val="85"/>
        </w:numPr>
        <w:rPr>
          <w:rFonts w:ascii="Arial" w:cs="Arial" w:eastAsia="Arial" w:hAnsi="Arial"/>
          <w:sz w:val="15"/>
          <w:szCs w:val="15"/>
          <w:color w:val="auto"/>
        </w:rPr>
      </w:pPr>
      <w:r>
        <w:rPr>
          <w:rFonts w:ascii="Arial" w:cs="Arial" w:eastAsia="Arial" w:hAnsi="Arial"/>
          <w:sz w:val="15"/>
          <w:szCs w:val="15"/>
          <w:color w:val="auto"/>
        </w:rPr>
        <w:t>the Option and any Shares acquired under the Plan are not intended to replace any pension rights or compensation;</w:t>
      </w:r>
    </w:p>
    <w:p>
      <w:pPr>
        <w:spacing w:after="0" w:line="207" w:lineRule="exact"/>
        <w:rPr>
          <w:rFonts w:ascii="Arial" w:cs="Arial" w:eastAsia="Arial" w:hAnsi="Arial"/>
          <w:sz w:val="15"/>
          <w:szCs w:val="15"/>
          <w:color w:val="auto"/>
        </w:rPr>
      </w:pPr>
    </w:p>
    <w:p>
      <w:pPr>
        <w:jc w:val="both"/>
        <w:ind w:left="-20" w:firstLine="829"/>
        <w:spacing w:after="0" w:line="252" w:lineRule="auto"/>
        <w:tabs>
          <w:tab w:leader="none" w:pos="1143"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56" w:lineRule="exact"/>
        <w:rPr>
          <w:rFonts w:ascii="Arial" w:cs="Arial" w:eastAsia="Arial" w:hAnsi="Arial"/>
          <w:sz w:val="17"/>
          <w:szCs w:val="17"/>
          <w:color w:val="auto"/>
        </w:rPr>
      </w:pPr>
    </w:p>
    <w:p>
      <w:pPr>
        <w:ind w:left="1120" w:hanging="311"/>
        <w:spacing w:after="0"/>
        <w:tabs>
          <w:tab w:leader="none" w:pos="1120" w:val="left"/>
        </w:tabs>
        <w:numPr>
          <w:ilvl w:val="1"/>
          <w:numId w:val="85"/>
        </w:numPr>
        <w:rPr>
          <w:rFonts w:ascii="Arial" w:cs="Arial" w:eastAsia="Arial" w:hAnsi="Arial"/>
          <w:sz w:val="15"/>
          <w:szCs w:val="15"/>
          <w:color w:val="auto"/>
        </w:rPr>
      </w:pPr>
      <w:r>
        <w:rPr>
          <w:rFonts w:ascii="Arial" w:cs="Arial" w:eastAsia="Arial" w:hAnsi="Arial"/>
          <w:sz w:val="15"/>
          <w:szCs w:val="15"/>
          <w:color w:val="auto"/>
        </w:rPr>
        <w:t>the future value of the Shares underlying the Option is unknown, indeterminable, and cannot be predicted with certainty;</w:t>
      </w:r>
    </w:p>
    <w:p>
      <w:pPr>
        <w:spacing w:after="0" w:line="207" w:lineRule="exact"/>
        <w:rPr>
          <w:rFonts w:ascii="Arial" w:cs="Arial" w:eastAsia="Arial" w:hAnsi="Arial"/>
          <w:sz w:val="15"/>
          <w:szCs w:val="15"/>
          <w:color w:val="auto"/>
        </w:rPr>
      </w:pPr>
    </w:p>
    <w:p>
      <w:pPr>
        <w:ind w:left="1140" w:hanging="331"/>
        <w:spacing w:after="0"/>
        <w:tabs>
          <w:tab w:leader="none" w:pos="11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if the underlying Shares do not increase in value, the Option will have no value;</w:t>
      </w:r>
    </w:p>
    <w:p>
      <w:pPr>
        <w:spacing w:after="0" w:line="184" w:lineRule="exact"/>
        <w:rPr>
          <w:rFonts w:ascii="Arial" w:cs="Arial" w:eastAsia="Arial" w:hAnsi="Arial"/>
          <w:sz w:val="17"/>
          <w:szCs w:val="17"/>
          <w:color w:val="auto"/>
        </w:rPr>
      </w:pPr>
    </w:p>
    <w:p>
      <w:pPr>
        <w:ind w:left="-20" w:firstLine="829"/>
        <w:spacing w:after="0" w:line="264" w:lineRule="auto"/>
        <w:tabs>
          <w:tab w:leader="none" w:pos="1141" w:val="left"/>
        </w:tabs>
        <w:numPr>
          <w:ilvl w:val="1"/>
          <w:numId w:val="85"/>
        </w:numPr>
        <w:rPr>
          <w:rFonts w:ascii="Arial" w:cs="Arial" w:eastAsia="Arial" w:hAnsi="Arial"/>
          <w:sz w:val="17"/>
          <w:szCs w:val="17"/>
          <w:color w:val="auto"/>
        </w:rPr>
      </w:pPr>
      <w:r>
        <w:rPr>
          <w:rFonts w:ascii="Arial" w:cs="Arial" w:eastAsia="Arial" w:hAnsi="Arial"/>
          <w:sz w:val="17"/>
          <w:szCs w:val="17"/>
          <w:color w:val="auto"/>
        </w:rPr>
        <w:t>if Participant exercises the Option and acquires Shares, the value of such Shares may increase or decrease in value, even below the Exercise Price;</w:t>
      </w:r>
    </w:p>
    <w:p>
      <w:pPr>
        <w:spacing w:after="0" w:line="142" w:lineRule="exact"/>
        <w:rPr>
          <w:rFonts w:ascii="Arial" w:cs="Arial" w:eastAsia="Arial" w:hAnsi="Arial"/>
          <w:sz w:val="17"/>
          <w:szCs w:val="17"/>
          <w:color w:val="auto"/>
        </w:rPr>
      </w:pPr>
    </w:p>
    <w:p>
      <w:pPr>
        <w:ind w:left="-20" w:firstLine="829"/>
        <w:spacing w:after="0" w:line="272" w:lineRule="auto"/>
        <w:tabs>
          <w:tab w:leader="none" w:pos="1145" w:val="left"/>
        </w:tabs>
        <w:numPr>
          <w:ilvl w:val="1"/>
          <w:numId w:val="85"/>
        </w:numPr>
        <w:rPr>
          <w:rFonts w:ascii="Arial" w:cs="Arial" w:eastAsia="Arial" w:hAnsi="Arial"/>
          <w:sz w:val="18"/>
          <w:szCs w:val="18"/>
          <w:color w:val="auto"/>
        </w:rPr>
      </w:pPr>
      <w:r>
        <w:rPr>
          <w:rFonts w:ascii="Arial" w:cs="Arial" w:eastAsia="Arial" w:hAnsi="Arial"/>
          <w:sz w:val="18"/>
          <w:szCs w:val="18"/>
          <w:color w:val="auto"/>
        </w:rPr>
        <w:t>for purposes of the Option, Participant’s engagement as a Service Provider will be considered terminated as of the date Participant is no longer actively providing services to the Company or any Parent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277495</wp:posOffset>
            </wp:positionV>
            <wp:extent cx="5937250" cy="222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126" w:right="1159" w:bottom="1440" w:gutter="0" w:footer="0" w:header="0"/>
        </w:sectPr>
      </w:pPr>
    </w:p>
    <w:bookmarkStart w:id="136" w:name="page137"/>
    <w:bookmarkEnd w:id="136"/>
    <w:p>
      <w:pPr>
        <w:jc w:val="both"/>
        <w:spacing w:after="0" w:line="258" w:lineRule="auto"/>
        <w:rPr>
          <w:sz w:val="20"/>
          <w:szCs w:val="20"/>
          <w:color w:val="auto"/>
        </w:rPr>
      </w:pPr>
      <w:r>
        <w:rPr>
          <w:rFonts w:ascii="Arial" w:cs="Arial" w:eastAsia="Arial" w:hAnsi="Arial"/>
          <w:sz w:val="17"/>
          <w:szCs w:val="17"/>
          <w:color w:val="auto"/>
        </w:rPr>
        <w:t>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w:t>
      </w:r>
    </w:p>
    <w:p>
      <w:pPr>
        <w:spacing w:after="0" w:line="151" w:lineRule="exact"/>
        <w:rPr>
          <w:sz w:val="20"/>
          <w:szCs w:val="20"/>
          <w:color w:val="auto"/>
        </w:rPr>
      </w:pPr>
    </w:p>
    <w:p>
      <w:pPr>
        <w:jc w:val="both"/>
        <w:ind w:firstLine="829"/>
        <w:spacing w:after="0" w:line="248" w:lineRule="auto"/>
        <w:tabs>
          <w:tab w:leader="none" w:pos="1170" w:val="left"/>
        </w:tabs>
        <w:numPr>
          <w:ilvl w:val="2"/>
          <w:numId w:val="86"/>
        </w:numPr>
        <w:rPr>
          <w:rFonts w:ascii="Arial" w:cs="Arial" w:eastAsia="Arial" w:hAnsi="Arial"/>
          <w:sz w:val="17"/>
          <w:szCs w:val="17"/>
          <w:color w:val="auto"/>
        </w:rPr>
      </w:pPr>
      <w:r>
        <w:rPr>
          <w:rFonts w:ascii="Arial" w:cs="Arial" w:eastAsia="Arial" w:hAnsi="Arial"/>
          <w:sz w:val="17"/>
          <w:szCs w:val="17"/>
          <w:color w:val="auto"/>
        </w:rPr>
        <w:t>unless otherwise provided in the Plan, Sub Plan or by the Company in its discretion, the Option and the benefits evidenced by this Award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17"/>
          <w:szCs w:val="17"/>
          <w:color w:val="auto"/>
        </w:rPr>
      </w:pPr>
    </w:p>
    <w:p>
      <w:pPr>
        <w:ind w:left="1560" w:hanging="800"/>
        <w:spacing w:after="0"/>
        <w:tabs>
          <w:tab w:leader="none" w:pos="1560" w:val="left"/>
        </w:tabs>
        <w:numPr>
          <w:ilvl w:val="1"/>
          <w:numId w:val="87"/>
        </w:numPr>
        <w:rPr>
          <w:rFonts w:ascii="Arial" w:cs="Arial" w:eastAsia="Arial" w:hAnsi="Arial"/>
          <w:sz w:val="15"/>
          <w:szCs w:val="15"/>
          <w:color w:val="auto"/>
        </w:rPr>
      </w:pPr>
      <w:r>
        <w:rPr>
          <w:rFonts w:ascii="Arial" w:cs="Arial" w:eastAsia="Arial" w:hAnsi="Arial"/>
          <w:sz w:val="15"/>
          <w:szCs w:val="15"/>
          <w:color w:val="auto"/>
        </w:rPr>
        <w:t>the Option and the Shares subject to the Option are not part of normal or expected compensation or salary for any</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purpose;</w:t>
      </w:r>
    </w:p>
    <w:p>
      <w:pPr>
        <w:spacing w:after="0" w:line="170" w:lineRule="exact"/>
        <w:rPr>
          <w:rFonts w:ascii="Arial" w:cs="Arial" w:eastAsia="Arial" w:hAnsi="Arial"/>
          <w:sz w:val="15"/>
          <w:szCs w:val="15"/>
          <w:color w:val="auto"/>
        </w:rPr>
      </w:pPr>
    </w:p>
    <w:p>
      <w:pPr>
        <w:jc w:val="both"/>
        <w:ind w:firstLine="760"/>
        <w:spacing w:after="0" w:line="301" w:lineRule="auto"/>
        <w:tabs>
          <w:tab w:leader="none" w:pos="1520" w:val="left"/>
        </w:tabs>
        <w:numPr>
          <w:ilvl w:val="1"/>
          <w:numId w:val="87"/>
        </w:numPr>
        <w:rPr>
          <w:rFonts w:ascii="Arial" w:cs="Arial" w:eastAsia="Arial" w:hAnsi="Arial"/>
          <w:sz w:val="15"/>
          <w:szCs w:val="15"/>
          <w:color w:val="auto"/>
        </w:rPr>
      </w:pPr>
      <w:r>
        <w:rPr>
          <w:rFonts w:ascii="Arial" w:cs="Arial" w:eastAsia="Arial" w:hAnsi="Arial"/>
          <w:sz w:val="15"/>
          <w:szCs w:val="15"/>
          <w:color w:val="auto"/>
        </w:rPr>
        <w:t>Participant acknowledges and agrees that none of the Company, the Employer, or any Parent or Subsidiary shall be liable for any foreign exchange rate fluctuation between the Euro and the United States Dollar that may affect the value of the Option or of any amounts due to Participant pursuant to the exercise of the Option or the subsequent sale of any Shares acquired upon exercise; and</w:t>
      </w:r>
    </w:p>
    <w:p>
      <w:pPr>
        <w:spacing w:after="0" w:line="123" w:lineRule="exact"/>
        <w:rPr>
          <w:rFonts w:ascii="Arial" w:cs="Arial" w:eastAsia="Arial" w:hAnsi="Arial"/>
          <w:sz w:val="15"/>
          <w:szCs w:val="15"/>
          <w:color w:val="auto"/>
        </w:rPr>
      </w:pPr>
    </w:p>
    <w:p>
      <w:pPr>
        <w:jc w:val="both"/>
        <w:ind w:firstLine="760"/>
        <w:spacing w:after="0" w:line="260" w:lineRule="auto"/>
        <w:tabs>
          <w:tab w:leader="none" w:pos="1165" w:val="left"/>
        </w:tabs>
        <w:numPr>
          <w:ilvl w:val="1"/>
          <w:numId w:val="87"/>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 resulting from the termination of Participant’s engagement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the Company, any Parent, any Subsidiary or the Employer, waives his or her ability, if any, to bring any such claim, and releases the Company, any Parent or Subsidiary and the Employer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54" w:lineRule="exact"/>
        <w:rPr>
          <w:rFonts w:ascii="Arial" w:cs="Arial" w:eastAsia="Arial" w:hAnsi="Arial"/>
          <w:sz w:val="16"/>
          <w:szCs w:val="16"/>
          <w:color w:val="auto"/>
        </w:rPr>
      </w:pPr>
    </w:p>
    <w:p>
      <w:pPr>
        <w:jc w:val="both"/>
        <w:ind w:firstLine="552"/>
        <w:spacing w:after="0" w:line="248" w:lineRule="auto"/>
        <w:tabs>
          <w:tab w:leader="none" w:pos="876"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No Advice Regarding Grant</w:t>
      </w:r>
      <w:r>
        <w:rPr>
          <w:rFonts w:ascii="Arial" w:cs="Arial" w:eastAsia="Arial" w:hAnsi="Arial"/>
          <w:sz w:val="17"/>
          <w:szCs w:val="17"/>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60" w:lineRule="exact"/>
        <w:rPr>
          <w:rFonts w:ascii="Arial" w:cs="Arial" w:eastAsia="Arial" w:hAnsi="Arial"/>
          <w:sz w:val="17"/>
          <w:szCs w:val="17"/>
          <w:color w:val="auto"/>
        </w:rPr>
      </w:pPr>
    </w:p>
    <w:p>
      <w:pPr>
        <w:jc w:val="both"/>
        <w:ind w:firstLine="552"/>
        <w:spacing w:after="0" w:line="252" w:lineRule="auto"/>
        <w:tabs>
          <w:tab w:leader="none" w:pos="876"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Data Privacy</w:t>
      </w:r>
      <w:r>
        <w:rPr>
          <w:rFonts w:ascii="Arial" w:cs="Arial" w:eastAsia="Arial" w:hAnsi="Arial"/>
          <w:sz w:val="17"/>
          <w:szCs w:val="17"/>
          <w:color w:val="auto"/>
        </w:rPr>
        <w:t>. Participant hereby explicitly and unambiguously consents to the collection, use and transfer, in electronic or other form, of Participant’s personal data as described in this Award Agreement and any other Option grant materials by and among, as applicable, the Employer, the Company and any Parent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5937250" cy="222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2" w:right="1159" w:bottom="1440" w:gutter="0" w:footer="0" w:header="0"/>
        </w:sectPr>
      </w:pPr>
    </w:p>
    <w:bookmarkStart w:id="137" w:name="page138"/>
    <w:bookmarkEnd w:id="137"/>
    <w:p>
      <w:pPr>
        <w:jc w:val="both"/>
        <w:spacing w:after="0" w:line="275" w:lineRule="auto"/>
        <w:rPr>
          <w:sz w:val="20"/>
          <w:szCs w:val="20"/>
          <w:color w:val="auto"/>
        </w:rPr>
      </w:pPr>
      <w:r>
        <w:rPr>
          <w:rFonts w:ascii="Arial" w:cs="Arial" w:eastAsia="Arial" w:hAnsi="Arial"/>
          <w:sz w:val="15"/>
          <w:szCs w:val="15"/>
          <w:color w:val="auto"/>
        </w:rPr>
        <w:t>Subsidiary for the exclusive purpose of implementing, administering and managing Participant’s participation in the Plan. 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(“Data”), for the exclusive purpose of implementing, administering and managing the Plan. 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he or she may request a list with the names and addresses of any potential recipients of the Data by contacting his or her local human resources representative.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engagement as a Service Provider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46" w:lineRule="exact"/>
        <w:rPr>
          <w:sz w:val="20"/>
          <w:szCs w:val="20"/>
          <w:color w:val="auto"/>
        </w:rPr>
      </w:pPr>
    </w:p>
    <w:p>
      <w:pPr>
        <w:jc w:val="both"/>
        <w:ind w:firstLine="552"/>
        <w:spacing w:after="0" w:line="252" w:lineRule="auto"/>
        <w:tabs>
          <w:tab w:leader="none" w:pos="876"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Address for Notices</w:t>
      </w:r>
      <w:r>
        <w:rPr>
          <w:rFonts w:ascii="Arial" w:cs="Arial" w:eastAsia="Arial" w:hAnsi="Arial"/>
          <w:sz w:val="17"/>
          <w:szCs w:val="17"/>
          <w:color w:val="auto"/>
        </w:rPr>
        <w:t>. Any notice to be given to the Company under the terms of this Award Agreement will be addressed to the Company at Pulse Biosciences, Inc., 849 Mitten Rd. #104, Burlingame, CA 94010, or at such other address as the Company may hereafter designate in writing.</w:t>
      </w:r>
    </w:p>
    <w:p>
      <w:pPr>
        <w:spacing w:after="0" w:line="156" w:lineRule="exact"/>
        <w:rPr>
          <w:rFonts w:ascii="Arial" w:cs="Arial" w:eastAsia="Arial" w:hAnsi="Arial"/>
          <w:sz w:val="17"/>
          <w:szCs w:val="17"/>
          <w:color w:val="auto"/>
        </w:rPr>
      </w:pPr>
    </w:p>
    <w:p>
      <w:pPr>
        <w:ind w:firstLine="552"/>
        <w:spacing w:after="0" w:line="264" w:lineRule="auto"/>
        <w:tabs>
          <w:tab w:leader="none" w:pos="876"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 This Option may not be transferred in any manner otherwise than by will or by the laws of descent or distribution and may be exercised during the lifetime of Participant only by Participant.</w:t>
      </w:r>
    </w:p>
    <w:p>
      <w:pPr>
        <w:spacing w:after="0" w:line="146" w:lineRule="exact"/>
        <w:rPr>
          <w:rFonts w:ascii="Arial" w:cs="Arial" w:eastAsia="Arial" w:hAnsi="Arial"/>
          <w:sz w:val="17"/>
          <w:szCs w:val="17"/>
          <w:color w:val="auto"/>
        </w:rPr>
      </w:pPr>
    </w:p>
    <w:p>
      <w:pPr>
        <w:jc w:val="both"/>
        <w:ind w:firstLine="552"/>
        <w:spacing w:after="0" w:line="246" w:lineRule="auto"/>
        <w:tabs>
          <w:tab w:leader="none" w:pos="899"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62" w:lineRule="exact"/>
        <w:rPr>
          <w:rFonts w:ascii="Arial" w:cs="Arial" w:eastAsia="Arial" w:hAnsi="Arial"/>
          <w:sz w:val="17"/>
          <w:szCs w:val="17"/>
          <w:color w:val="auto"/>
        </w:rPr>
      </w:pPr>
    </w:p>
    <w:p>
      <w:pPr>
        <w:jc w:val="both"/>
        <w:ind w:firstLine="552"/>
        <w:spacing w:after="0" w:line="246" w:lineRule="auto"/>
        <w:tabs>
          <w:tab w:leader="none" w:pos="887"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qualification or rule compliance of the Shares upon any applicable law, governmental regulatory body or the clearance, consent or approval of the United States Securities and Exchange Commission or any other governmental regulatory authority is necessary or desirable as a condition to the purchase by, or issuance of Shares, to Participant (or his or her estate) hereunder, such purchase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295910</wp:posOffset>
            </wp:positionV>
            <wp:extent cx="5937250" cy="222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6" w:right="1159" w:bottom="1440" w:gutter="0" w:footer="0" w:header="0"/>
        </w:sectPr>
      </w:pPr>
    </w:p>
    <w:bookmarkStart w:id="138" w:name="page139"/>
    <w:bookmarkEnd w:id="138"/>
    <w:p>
      <w:pPr>
        <w:jc w:val="both"/>
        <w:spacing w:after="0" w:line="246" w:lineRule="auto"/>
        <w:rPr>
          <w:sz w:val="20"/>
          <w:szCs w:val="20"/>
          <w:color w:val="auto"/>
        </w:rPr>
      </w:pPr>
      <w:r>
        <w:rPr>
          <w:rFonts w:ascii="Arial" w:cs="Arial" w:eastAsia="Arial" w:hAnsi="Arial"/>
          <w:sz w:val="17"/>
          <w:szCs w:val="17"/>
          <w:color w:val="auto"/>
        </w:rPr>
        <w:t>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exercise of the Option as the Administrator may establish from time to time for reasons of administrative convenience.</w:t>
      </w:r>
    </w:p>
    <w:p>
      <w:pPr>
        <w:spacing w:after="0" w:line="162" w:lineRule="exact"/>
        <w:rPr>
          <w:sz w:val="20"/>
          <w:szCs w:val="20"/>
          <w:color w:val="auto"/>
        </w:rPr>
      </w:pPr>
    </w:p>
    <w:p>
      <w:pPr>
        <w:jc w:val="both"/>
        <w:ind w:firstLine="552"/>
        <w:spacing w:after="0" w:line="252" w:lineRule="auto"/>
        <w:tabs>
          <w:tab w:leader="none" w:pos="887"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56" w:lineRule="exact"/>
        <w:rPr>
          <w:rFonts w:ascii="Arial" w:cs="Arial" w:eastAsia="Arial" w:hAnsi="Arial"/>
          <w:sz w:val="17"/>
          <w:szCs w:val="17"/>
          <w:color w:val="auto"/>
        </w:rPr>
      </w:pPr>
    </w:p>
    <w:p>
      <w:pPr>
        <w:jc w:val="both"/>
        <w:ind w:firstLine="552"/>
        <w:spacing w:after="0" w:line="263" w:lineRule="auto"/>
        <w:tabs>
          <w:tab w:leader="none" w:pos="887"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50" w:lineRule="exact"/>
        <w:rPr>
          <w:rFonts w:ascii="Arial" w:cs="Arial" w:eastAsia="Arial" w:hAnsi="Arial"/>
          <w:sz w:val="16"/>
          <w:szCs w:val="16"/>
          <w:color w:val="auto"/>
        </w:rPr>
      </w:pPr>
    </w:p>
    <w:p>
      <w:pPr>
        <w:jc w:val="both"/>
        <w:ind w:firstLine="552"/>
        <w:spacing w:after="0" w:line="246" w:lineRule="auto"/>
        <w:tabs>
          <w:tab w:leader="none" w:pos="876"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62" w:lineRule="exact"/>
        <w:rPr>
          <w:rFonts w:ascii="Arial" w:cs="Arial" w:eastAsia="Arial" w:hAnsi="Arial"/>
          <w:sz w:val="17"/>
          <w:szCs w:val="17"/>
          <w:color w:val="auto"/>
        </w:rPr>
      </w:pPr>
    </w:p>
    <w:p>
      <w:pPr>
        <w:ind w:firstLine="552"/>
        <w:spacing w:after="0" w:line="264" w:lineRule="auto"/>
        <w:tabs>
          <w:tab w:leader="none" w:pos="91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provided herein are for convenience only and are not to serve as a basis for interpretation or construction of this Award Agreement.</w:t>
      </w:r>
    </w:p>
    <w:p>
      <w:pPr>
        <w:spacing w:after="0" w:line="146" w:lineRule="exact"/>
        <w:rPr>
          <w:rFonts w:ascii="Arial" w:cs="Arial" w:eastAsia="Arial" w:hAnsi="Arial"/>
          <w:sz w:val="17"/>
          <w:szCs w:val="17"/>
          <w:color w:val="auto"/>
        </w:rPr>
      </w:pPr>
    </w:p>
    <w:p>
      <w:pPr>
        <w:jc w:val="both"/>
        <w:ind w:firstLine="552"/>
        <w:spacing w:after="0" w:line="252" w:lineRule="auto"/>
        <w:tabs>
          <w:tab w:leader="none" w:pos="876"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56" w:lineRule="exact"/>
        <w:rPr>
          <w:rFonts w:ascii="Arial" w:cs="Arial" w:eastAsia="Arial" w:hAnsi="Arial"/>
          <w:sz w:val="17"/>
          <w:szCs w:val="17"/>
          <w:color w:val="auto"/>
        </w:rPr>
      </w:pPr>
    </w:p>
    <w:p>
      <w:pPr>
        <w:jc w:val="both"/>
        <w:ind w:firstLine="552"/>
        <w:spacing w:after="0" w:line="275" w:lineRule="auto"/>
        <w:tabs>
          <w:tab w:leader="none" w:pos="876"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Amendment, Suspension or Termination of the Plan</w:t>
      </w:r>
      <w:r>
        <w:rPr>
          <w:rFonts w:ascii="Arial" w:cs="Arial" w:eastAsia="Arial" w:hAnsi="Arial"/>
          <w:sz w:val="16"/>
          <w:szCs w:val="16"/>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39" w:lineRule="exact"/>
        <w:rPr>
          <w:rFonts w:ascii="Arial" w:cs="Arial" w:eastAsia="Arial" w:hAnsi="Arial"/>
          <w:sz w:val="16"/>
          <w:szCs w:val="16"/>
          <w:color w:val="auto"/>
        </w:rPr>
      </w:pPr>
    </w:p>
    <w:p>
      <w:pPr>
        <w:jc w:val="both"/>
        <w:ind w:firstLine="552"/>
        <w:spacing w:after="0" w:line="246" w:lineRule="auto"/>
        <w:tabs>
          <w:tab w:leader="none" w:pos="876"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Award Agreement will be governed by the laws of California, without giving effect to the conflict of law principles thereof. For purposes of litigating any dispute that arises under this Option or this Award Agreement, the parties hereby submit to and consent to the jurisdiction of the State of California, and agree that such litigation will be conducted in the courts of San Francisco, California, or the federal courts for the United States for the Northern District of California, and no other courts, where this Option is made and/or to be performed.</w:t>
      </w:r>
    </w:p>
    <w:p>
      <w:pPr>
        <w:spacing w:after="0" w:line="162" w:lineRule="exact"/>
        <w:rPr>
          <w:rFonts w:ascii="Arial" w:cs="Arial" w:eastAsia="Arial" w:hAnsi="Arial"/>
          <w:sz w:val="17"/>
          <w:szCs w:val="17"/>
          <w:color w:val="auto"/>
        </w:rPr>
      </w:pPr>
    </w:p>
    <w:p>
      <w:pPr>
        <w:jc w:val="both"/>
        <w:ind w:firstLine="552"/>
        <w:spacing w:after="0" w:line="248" w:lineRule="auto"/>
        <w:tabs>
          <w:tab w:leader="none" w:pos="876"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Country Addendum</w:t>
      </w:r>
      <w:r>
        <w:rPr>
          <w:rFonts w:ascii="Arial" w:cs="Arial" w:eastAsia="Arial" w:hAnsi="Arial"/>
          <w:sz w:val="17"/>
          <w:szCs w:val="17"/>
          <w:color w:val="auto"/>
        </w:rPr>
        <w:t>. Notwithstanding any provisions in this Award Agreement, this Option shall be subject to any special terms and conditions set forth in any appendix to this Award Agreement for Participant’s country (the “Country Addendum”). Moreover, if Participant relocates to one of the countries included in the Country Addendum, the special terms and conditions for such country will apply to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5937250" cy="222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6" w:right="1159" w:bottom="1440" w:gutter="0" w:footer="0" w:header="0"/>
        </w:sectPr>
      </w:pPr>
    </w:p>
    <w:bookmarkStart w:id="139" w:name="page140"/>
    <w:bookmarkEnd w:id="139"/>
    <w:p>
      <w:pPr>
        <w:spacing w:after="0" w:line="263" w:lineRule="auto"/>
        <w:rPr>
          <w:sz w:val="20"/>
          <w:szCs w:val="20"/>
          <w:color w:val="auto"/>
        </w:rPr>
      </w:pPr>
      <w:r>
        <w:rPr>
          <w:rFonts w:ascii="Arial" w:cs="Arial" w:eastAsia="Arial" w:hAnsi="Arial"/>
          <w:sz w:val="17"/>
          <w:szCs w:val="17"/>
          <w:color w:val="auto"/>
        </w:rPr>
        <w:t>to the extent the Company determines that the application of such terms and conditions is necessary or advisable for legal or administrative reasons. The Country Addendum constitutes part of this Award Agreement.</w:t>
      </w:r>
    </w:p>
    <w:p>
      <w:pPr>
        <w:spacing w:after="0" w:line="147" w:lineRule="exact"/>
        <w:rPr>
          <w:sz w:val="20"/>
          <w:szCs w:val="20"/>
          <w:color w:val="auto"/>
        </w:rPr>
      </w:pPr>
    </w:p>
    <w:p>
      <w:pPr>
        <w:jc w:val="both"/>
        <w:ind w:firstLine="552"/>
        <w:spacing w:after="0" w:line="248" w:lineRule="auto"/>
        <w:tabs>
          <w:tab w:leader="none" w:pos="876"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Modifications to the Agreement</w:t>
      </w:r>
      <w:r>
        <w:rPr>
          <w:rFonts w:ascii="Arial" w:cs="Arial" w:eastAsia="Arial" w:hAnsi="Arial"/>
          <w:sz w:val="17"/>
          <w:szCs w:val="17"/>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w:t>
      </w:r>
    </w:p>
    <w:p>
      <w:pPr>
        <w:spacing w:after="0" w:line="160" w:lineRule="exact"/>
        <w:rPr>
          <w:rFonts w:ascii="Arial" w:cs="Arial" w:eastAsia="Arial" w:hAnsi="Arial"/>
          <w:sz w:val="17"/>
          <w:szCs w:val="17"/>
          <w:color w:val="auto"/>
        </w:rPr>
      </w:pPr>
    </w:p>
    <w:p>
      <w:pPr>
        <w:jc w:val="both"/>
        <w:ind w:firstLine="552"/>
        <w:spacing w:after="0" w:line="248" w:lineRule="auto"/>
        <w:tabs>
          <w:tab w:leader="none" w:pos="876"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60" w:lineRule="exact"/>
        <w:rPr>
          <w:rFonts w:ascii="Arial" w:cs="Arial" w:eastAsia="Arial" w:hAnsi="Arial"/>
          <w:sz w:val="17"/>
          <w:szCs w:val="17"/>
          <w:color w:val="auto"/>
        </w:rPr>
      </w:pPr>
    </w:p>
    <w:p>
      <w:pPr>
        <w:jc w:val="both"/>
        <w:ind w:firstLine="552"/>
        <w:spacing w:after="0" w:line="246" w:lineRule="auto"/>
        <w:tabs>
          <w:tab w:leader="none" w:pos="887"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Tax Consequences</w:t>
      </w:r>
      <w:r>
        <w:rPr>
          <w:rFonts w:ascii="Arial" w:cs="Arial" w:eastAsia="Arial" w:hAnsi="Arial"/>
          <w:sz w:val="17"/>
          <w:szCs w:val="17"/>
          <w:color w:val="auto"/>
        </w:rPr>
        <w:t>. Participant has reviewed with its own tax advisors the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544830</wp:posOffset>
            </wp:positionV>
            <wp:extent cx="5937250" cy="222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6" w:right="115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COUNTRY ADDENDUM</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Country Addendum includes additional terms and conditions that govern the Option granted to Participant under the Plan and Sub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Option, the Company will, in its discretion, determine the extent to which the terms and conditions contained herein will be applicable to Participant.</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Certain capitalized terms used but not defined in this Country Addendum shall have the meanings set forth in the Plan, Sub Plan and/or the Award Agreement to which this Country Addendum is attached.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Country Addendum also includes notifications relating to exchange control and other issues of which Participant should be aware with respect to his or her participation in the Plan and Sub Plan. Such laws are often complex and change frequently. As a result, the Company strongly recommends that Participant not rely on the notifications herein as the only source of information relating to the consequences of his or her participation in the Plan and Sub Plan because the information may be outdated when Participant exercises the Option or sells Shares acquired under the Plan and Sub Plan.</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Finally, if Participant is a citizen or resident of a country other than the one in which Participant is currently working (or is considered as such for local law purposes) or if Participant moves to another country after the Option is granted, the information contained herein may not be applicable to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2378075</wp:posOffset>
            </wp:positionV>
            <wp:extent cx="5937250" cy="222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EXERCISE NOTICE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PARTICIPANTS SUBJECT TO TAX IN FRANCE</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Pulse Biosciences, Inc.</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3957 Point Eden Way,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Hayward, CA 94545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Attention: Stock Administration</w:t>
      </w:r>
    </w:p>
    <w:p>
      <w:pPr>
        <w:spacing w:after="0" w:line="367" w:lineRule="exact"/>
        <w:rPr>
          <w:sz w:val="20"/>
          <w:szCs w:val="20"/>
          <w:color w:val="auto"/>
        </w:rPr>
      </w:pPr>
    </w:p>
    <w:p>
      <w:pPr>
        <w:jc w:val="both"/>
        <w:ind w:firstLine="552"/>
        <w:spacing w:after="0" w:line="279" w:lineRule="auto"/>
        <w:tabs>
          <w:tab w:leader="none" w:pos="895"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Exercise of Option</w:t>
      </w:r>
      <w:r>
        <w:rPr>
          <w:rFonts w:ascii="Arial" w:cs="Arial" w:eastAsia="Arial" w:hAnsi="Arial"/>
          <w:sz w:val="15"/>
          <w:szCs w:val="15"/>
          <w:color w:val="auto"/>
        </w:rPr>
        <w:t>. Effective as of today, ________________, _____, the undersigned (“Purchaser”) hereby elects to purchase ______________ shares (the “Shares”) of the Common Stock of Pulse Biosciences, Inc. (the “Company”) under and pursuant to the 2017 Equity Incentive Plan (the “Plan”), Sub Plan for France (the “Sub Plan”) and the Stock Option Agreement, dated ________</w:t>
      </w:r>
    </w:p>
    <w:p>
      <w:pPr>
        <w:spacing w:after="0" w:line="277" w:lineRule="auto"/>
        <w:rPr>
          <w:rFonts w:ascii="Arial" w:cs="Arial" w:eastAsia="Arial" w:hAnsi="Arial"/>
          <w:sz w:val="15"/>
          <w:szCs w:val="15"/>
          <w:color w:val="auto"/>
        </w:rPr>
      </w:pPr>
      <w:r>
        <w:rPr>
          <w:rFonts w:ascii="Arial" w:cs="Arial" w:eastAsia="Arial" w:hAnsi="Arial"/>
          <w:sz w:val="16"/>
          <w:szCs w:val="16"/>
          <w:color w:val="auto"/>
        </w:rPr>
        <w:t>and including the Notice of Grant, the Terms and Conditions of Stock Option Grant, and appendices and exhibits attached thereto (the “Award Agreement”). The purchase price for the Shares will be $_____________, as required by the Award Agreement.</w:t>
      </w:r>
    </w:p>
    <w:p>
      <w:pPr>
        <w:spacing w:after="0" w:line="137" w:lineRule="exact"/>
        <w:rPr>
          <w:rFonts w:ascii="Arial" w:cs="Arial" w:eastAsia="Arial" w:hAnsi="Arial"/>
          <w:sz w:val="15"/>
          <w:szCs w:val="15"/>
          <w:color w:val="auto"/>
        </w:rPr>
      </w:pPr>
    </w:p>
    <w:p>
      <w:pPr>
        <w:ind w:firstLine="552"/>
        <w:spacing w:after="0" w:line="295" w:lineRule="auto"/>
        <w:tabs>
          <w:tab w:leader="none" w:pos="89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Delivery of Payment</w:t>
      </w:r>
      <w:r>
        <w:rPr>
          <w:rFonts w:ascii="Arial" w:cs="Arial" w:eastAsia="Arial" w:hAnsi="Arial"/>
          <w:sz w:val="16"/>
          <w:szCs w:val="16"/>
          <w:color w:val="auto"/>
        </w:rPr>
        <w:t>. Purchaser herewith delivers to the Company the full purchase price of the Shares and any Tax Obligations (as defined in Section 7(a) of the Award Agreement) to be paid in connection with the exercise of the Option.</w:t>
      </w:r>
    </w:p>
    <w:p>
      <w:pPr>
        <w:spacing w:after="0" w:line="124" w:lineRule="exact"/>
        <w:rPr>
          <w:rFonts w:ascii="Arial" w:cs="Arial" w:eastAsia="Arial" w:hAnsi="Arial"/>
          <w:sz w:val="16"/>
          <w:szCs w:val="16"/>
          <w:color w:val="auto"/>
        </w:rPr>
      </w:pPr>
    </w:p>
    <w:p>
      <w:pPr>
        <w:ind w:firstLine="552"/>
        <w:spacing w:after="0" w:line="264" w:lineRule="auto"/>
        <w:tabs>
          <w:tab w:leader="none" w:pos="872"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Representations of Purchaser</w:t>
      </w:r>
      <w:r>
        <w:rPr>
          <w:rFonts w:ascii="Arial" w:cs="Arial" w:eastAsia="Arial" w:hAnsi="Arial"/>
          <w:sz w:val="17"/>
          <w:szCs w:val="17"/>
          <w:color w:val="auto"/>
        </w:rPr>
        <w:t>. Purchaser acknowledges that Purchaser has received, read and understood the Plan, Sub Plan and the Award Agreement and agrees to abide by and be bound by their terms and conditions.</w:t>
      </w:r>
    </w:p>
    <w:p>
      <w:pPr>
        <w:spacing w:after="0" w:line="146" w:lineRule="exact"/>
        <w:rPr>
          <w:rFonts w:ascii="Arial" w:cs="Arial" w:eastAsia="Arial" w:hAnsi="Arial"/>
          <w:sz w:val="17"/>
          <w:szCs w:val="17"/>
          <w:color w:val="auto"/>
        </w:rPr>
      </w:pPr>
    </w:p>
    <w:p>
      <w:pPr>
        <w:jc w:val="both"/>
        <w:ind w:firstLine="552"/>
        <w:spacing w:after="0" w:line="265" w:lineRule="auto"/>
        <w:tabs>
          <w:tab w:leader="none" w:pos="876"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15 of the Plan and Sub Plan.</w:t>
      </w:r>
    </w:p>
    <w:p>
      <w:pPr>
        <w:spacing w:after="0" w:line="148" w:lineRule="exact"/>
        <w:rPr>
          <w:rFonts w:ascii="Arial" w:cs="Arial" w:eastAsia="Arial" w:hAnsi="Arial"/>
          <w:sz w:val="16"/>
          <w:szCs w:val="16"/>
          <w:color w:val="auto"/>
        </w:rPr>
      </w:pPr>
    </w:p>
    <w:p>
      <w:pPr>
        <w:jc w:val="both"/>
        <w:ind w:firstLine="552"/>
        <w:spacing w:after="0" w:line="248" w:lineRule="auto"/>
        <w:tabs>
          <w:tab w:leader="none" w:pos="904"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60" w:lineRule="exact"/>
        <w:rPr>
          <w:rFonts w:ascii="Arial" w:cs="Arial" w:eastAsia="Arial" w:hAnsi="Arial"/>
          <w:sz w:val="17"/>
          <w:szCs w:val="17"/>
          <w:color w:val="auto"/>
        </w:rPr>
      </w:pPr>
    </w:p>
    <w:p>
      <w:pPr>
        <w:jc w:val="both"/>
        <w:ind w:firstLine="552"/>
        <w:spacing w:after="0" w:line="287" w:lineRule="auto"/>
        <w:tabs>
          <w:tab w:leader="none" w:pos="876"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Entire Agreement; Governing Law</w:t>
      </w:r>
      <w:r>
        <w:rPr>
          <w:rFonts w:ascii="Arial" w:cs="Arial" w:eastAsia="Arial" w:hAnsi="Arial"/>
          <w:sz w:val="15"/>
          <w:szCs w:val="15"/>
          <w:color w:val="auto"/>
        </w:rPr>
        <w:t>. The Plan, Sub Plan and Award Agreement are incorporated herein by reference. This Exercise Notice, the Plan, Sub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pacing w:after="0" w:line="133" w:lineRule="exact"/>
        <w:rPr>
          <w:sz w:val="20"/>
          <w:szCs w:val="20"/>
          <w:color w:val="auto"/>
        </w:rPr>
      </w:pPr>
    </w:p>
    <w:p>
      <w:pPr>
        <w:spacing w:after="0"/>
        <w:tabs>
          <w:tab w:leader="none" w:pos="4260" w:val="left"/>
        </w:tabs>
        <w:rPr>
          <w:sz w:val="20"/>
          <w:szCs w:val="20"/>
          <w:color w:val="auto"/>
        </w:rPr>
      </w:pPr>
      <w:r>
        <w:rPr>
          <w:rFonts w:ascii="Arial" w:cs="Arial" w:eastAsia="Arial" w:hAnsi="Arial"/>
          <w:sz w:val="17"/>
          <w:szCs w:val="17"/>
          <w:color w:val="auto"/>
        </w:rPr>
        <w:t>Submitted by:</w:t>
      </w:r>
      <w:r>
        <w:rPr>
          <w:sz w:val="20"/>
          <w:szCs w:val="20"/>
          <w:color w:val="auto"/>
        </w:rPr>
        <w:tab/>
      </w:r>
      <w:r>
        <w:rPr>
          <w:rFonts w:ascii="Arial" w:cs="Arial" w:eastAsia="Arial" w:hAnsi="Arial"/>
          <w:sz w:val="15"/>
          <w:szCs w:val="15"/>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5937250" cy="222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15"/>
        </w:trPr>
        <w:tc>
          <w:tcPr>
            <w:tcW w:w="2480" w:type="dxa"/>
            <w:vAlign w:val="bottom"/>
            <w:gridSpan w:val="2"/>
          </w:tcPr>
          <w:p>
            <w:pPr>
              <w:spacing w:after="0"/>
              <w:rPr>
                <w:sz w:val="20"/>
                <w:szCs w:val="20"/>
                <w:color w:val="auto"/>
              </w:rPr>
            </w:pPr>
            <w:r>
              <w:rPr>
                <w:rFonts w:ascii="Arial" w:cs="Arial" w:eastAsia="Arial" w:hAnsi="Arial"/>
                <w:sz w:val="17"/>
                <w:szCs w:val="17"/>
                <w:color w:val="auto"/>
              </w:rPr>
              <w:t>PURCHASER</w:t>
            </w:r>
          </w:p>
        </w:tc>
        <w:tc>
          <w:tcPr>
            <w:tcW w:w="3900" w:type="dxa"/>
            <w:vAlign w:val="bottom"/>
          </w:tcPr>
          <w:p>
            <w:pPr>
              <w:ind w:left="1840"/>
              <w:spacing w:after="0"/>
              <w:rPr>
                <w:sz w:val="20"/>
                <w:szCs w:val="20"/>
                <w:color w:val="auto"/>
              </w:rPr>
            </w:pPr>
            <w:r>
              <w:rPr>
                <w:rFonts w:ascii="Arial" w:cs="Arial" w:eastAsia="Arial" w:hAnsi="Arial"/>
                <w:sz w:val="17"/>
                <w:szCs w:val="17"/>
                <w:color w:val="auto"/>
                <w:w w:val="92"/>
              </w:rPr>
              <w:t>PULSE BIOSCIENCES, INC.</w:t>
            </w:r>
          </w:p>
        </w:tc>
      </w:tr>
      <w:tr>
        <w:trPr>
          <w:trHeight w:val="784"/>
        </w:trPr>
        <w:tc>
          <w:tcPr>
            <w:tcW w:w="248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3900" w:type="dxa"/>
            <w:vAlign w:val="bottom"/>
          </w:tcPr>
          <w:p>
            <w:pPr>
              <w:ind w:left="1480"/>
              <w:spacing w:after="0"/>
              <w:rPr>
                <w:sz w:val="20"/>
                <w:szCs w:val="20"/>
                <w:color w:val="auto"/>
              </w:rPr>
            </w:pPr>
            <w:r>
              <w:rPr>
                <w:rFonts w:ascii="Arial" w:cs="Arial" w:eastAsia="Arial" w:hAnsi="Arial"/>
                <w:sz w:val="17"/>
                <w:szCs w:val="17"/>
                <w:color w:val="auto"/>
              </w:rPr>
              <w:t>By</w:t>
            </w:r>
          </w:p>
        </w:tc>
      </w:tr>
      <w:tr>
        <w:trPr>
          <w:trHeight w:val="576"/>
        </w:trPr>
        <w:tc>
          <w:tcPr>
            <w:tcW w:w="2480" w:type="dxa"/>
            <w:vAlign w:val="bottom"/>
            <w:gridSpan w:val="2"/>
          </w:tcPr>
          <w:p>
            <w:pPr>
              <w:spacing w:after="0"/>
              <w:rPr>
                <w:sz w:val="20"/>
                <w:szCs w:val="20"/>
                <w:color w:val="auto"/>
              </w:rPr>
            </w:pPr>
            <w:r>
              <w:rPr>
                <w:rFonts w:ascii="Arial" w:cs="Arial" w:eastAsia="Arial" w:hAnsi="Arial"/>
                <w:sz w:val="17"/>
                <w:szCs w:val="17"/>
                <w:color w:val="auto"/>
              </w:rPr>
              <w:t>Print Name</w:t>
            </w:r>
          </w:p>
        </w:tc>
        <w:tc>
          <w:tcPr>
            <w:tcW w:w="3900" w:type="dxa"/>
            <w:vAlign w:val="bottom"/>
          </w:tcPr>
          <w:p>
            <w:pPr>
              <w:ind w:left="1620"/>
              <w:spacing w:after="0"/>
              <w:rPr>
                <w:sz w:val="20"/>
                <w:szCs w:val="20"/>
                <w:color w:val="auto"/>
              </w:rPr>
            </w:pPr>
            <w:r>
              <w:rPr>
                <w:rFonts w:ascii="Arial" w:cs="Arial" w:eastAsia="Arial" w:hAnsi="Arial"/>
                <w:sz w:val="17"/>
                <w:szCs w:val="17"/>
                <w:color w:val="auto"/>
              </w:rPr>
              <w:t>Its</w:t>
            </w:r>
          </w:p>
        </w:tc>
      </w:tr>
      <w:tr>
        <w:trPr>
          <w:trHeight w:val="342"/>
        </w:trPr>
        <w:tc>
          <w:tcPr>
            <w:tcW w:w="2480" w:type="dxa"/>
            <w:vAlign w:val="bottom"/>
            <w:gridSpan w:val="2"/>
          </w:tcPr>
          <w:p>
            <w:pPr>
              <w:spacing w:after="0"/>
              <w:rPr>
                <w:sz w:val="20"/>
                <w:szCs w:val="20"/>
                <w:color w:val="auto"/>
              </w:rPr>
            </w:pPr>
            <w:r>
              <w:rPr>
                <w:rFonts w:ascii="Arial" w:cs="Arial" w:eastAsia="Arial" w:hAnsi="Arial"/>
                <w:sz w:val="17"/>
                <w:szCs w:val="17"/>
                <w:color w:val="auto"/>
              </w:rPr>
              <w:t>Address:</w:t>
            </w:r>
          </w:p>
        </w:tc>
        <w:tc>
          <w:tcPr>
            <w:tcW w:w="390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793115</wp:posOffset>
            </wp:positionV>
            <wp:extent cx="5937250" cy="222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039"/>
          </w:cols>
          <w:pgMar w:left="1420" w:top="309" w:right="1440" w:bottom="1440" w:gutter="0" w:footer="0" w:header="0"/>
        </w:sectPr>
      </w:pPr>
    </w:p>
    <w:bookmarkStart w:id="143" w:name="page144"/>
    <w:bookmarkEnd w:id="143"/>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19"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STOCK OPTION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PARTICIPANTS SUBJECT TO TAX IN GERMANY</w:t>
      </w:r>
    </w:p>
    <w:p>
      <w:pPr>
        <w:spacing w:after="0" w:line="381"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u w:val="single" w:color="auto"/>
          <w:color w:val="auto"/>
        </w:rPr>
        <w:t>NOTICE OF STOCK OPTION GRANT</w:t>
      </w:r>
    </w:p>
    <w:p>
      <w:pPr>
        <w:spacing w:after="0" w:line="189" w:lineRule="exact"/>
        <w:rPr>
          <w:sz w:val="20"/>
          <w:szCs w:val="20"/>
          <w:color w:val="auto"/>
        </w:rPr>
      </w:pPr>
    </w:p>
    <w:p>
      <w:pPr>
        <w:jc w:val="both"/>
        <w:ind w:firstLine="553"/>
        <w:spacing w:after="0" w:line="301" w:lineRule="auto"/>
        <w:rPr>
          <w:sz w:val="20"/>
          <w:szCs w:val="20"/>
          <w:color w:val="auto"/>
        </w:rPr>
      </w:pPr>
      <w:r>
        <w:rPr>
          <w:rFonts w:ascii="Arial" w:cs="Arial" w:eastAsia="Arial" w:hAnsi="Arial"/>
          <w:sz w:val="15"/>
          <w:szCs w:val="15"/>
          <w:color w:val="auto"/>
        </w:rPr>
        <w:t>Unless otherwise defined herein, the terms defined in the Pulse Biosciences, Inc. 2017 Equity Incentive Plan (the “Plan”) will have the same defined meanings in this Stock Option Agreement including the Notice of Stock Option Grant (the “Notice of Grant”), the Terms and Conditions of Stock Option Grant, and the appendices and exhibits attached thereto (all together, the “Award Agreement”).</w:t>
      </w:r>
    </w:p>
    <w:p>
      <w:pPr>
        <w:spacing w:after="0" w:line="119" w:lineRule="exact"/>
        <w:rPr>
          <w:sz w:val="20"/>
          <w:szCs w:val="20"/>
          <w:color w:val="auto"/>
        </w:rPr>
      </w:pPr>
    </w:p>
    <w:p>
      <w:pPr>
        <w:ind w:left="560"/>
        <w:spacing w:after="0"/>
        <w:tabs>
          <w:tab w:leader="none" w:pos="2700" w:val="left"/>
        </w:tabs>
        <w:rPr>
          <w:sz w:val="20"/>
          <w:szCs w:val="20"/>
          <w:color w:val="auto"/>
        </w:rPr>
      </w:pPr>
      <w:r>
        <w:rPr>
          <w:rFonts w:ascii="Arial" w:cs="Arial" w:eastAsia="Arial" w:hAnsi="Arial"/>
          <w:sz w:val="17"/>
          <w:szCs w:val="17"/>
          <w:b w:val="1"/>
          <w:bCs w:val="1"/>
          <w:color w:val="auto"/>
        </w:rPr>
        <w:t>Name (“Participant”):</w:t>
      </w:r>
      <w:r>
        <w:rPr>
          <w:sz w:val="20"/>
          <w:szCs w:val="20"/>
          <w:color w:val="auto"/>
        </w:rPr>
        <w:tab/>
      </w:r>
      <w:r>
        <w:rPr>
          <w:rFonts w:ascii="Arial" w:cs="Arial" w:eastAsia="Arial" w:hAnsi="Arial"/>
          <w:sz w:val="17"/>
          <w:szCs w:val="17"/>
          <w:color w:val="auto"/>
        </w:rPr>
        <w:t>[[</w:t>
      </w:r>
      <w:r>
        <w:rPr>
          <w:rFonts w:ascii="Arial" w:cs="Arial" w:eastAsia="Arial" w:hAnsi="Arial"/>
          <w:sz w:val="17"/>
          <w:szCs w:val="17"/>
          <w:color w:val="2B2105"/>
        </w:rPr>
        <w:t>FIRSTNAME]] [[LASTNAME]]</w:t>
      </w:r>
    </w:p>
    <w:p>
      <w:pPr>
        <w:spacing w:after="0" w:line="185" w:lineRule="exact"/>
        <w:rPr>
          <w:sz w:val="20"/>
          <w:szCs w:val="20"/>
          <w:color w:val="auto"/>
        </w:rPr>
      </w:pPr>
    </w:p>
    <w:p>
      <w:pPr>
        <w:ind w:left="560"/>
        <w:spacing w:after="0"/>
        <w:tabs>
          <w:tab w:leader="none" w:pos="2840" w:val="left"/>
        </w:tabs>
        <w:rPr>
          <w:sz w:val="20"/>
          <w:szCs w:val="20"/>
          <w:color w:val="auto"/>
        </w:rPr>
      </w:pPr>
      <w:r>
        <w:rPr>
          <w:rFonts w:ascii="Arial" w:cs="Arial" w:eastAsia="Arial" w:hAnsi="Arial"/>
          <w:sz w:val="17"/>
          <w:szCs w:val="17"/>
          <w:b w:val="1"/>
          <w:bCs w:val="1"/>
          <w:color w:val="auto"/>
        </w:rPr>
        <w:t>Address:</w:t>
      </w:r>
      <w:r>
        <w:rPr>
          <w:sz w:val="20"/>
          <w:szCs w:val="20"/>
          <w:color w:val="auto"/>
        </w:rPr>
        <w:tab/>
      </w:r>
      <w:r>
        <w:rPr>
          <w:rFonts w:ascii="Arial" w:cs="Arial" w:eastAsia="Arial" w:hAnsi="Arial"/>
          <w:sz w:val="17"/>
          <w:szCs w:val="17"/>
          <w:color w:val="auto"/>
        </w:rPr>
        <w:t>[[</w:t>
      </w:r>
      <w:r>
        <w:rPr>
          <w:rFonts w:ascii="Arial" w:cs="Arial" w:eastAsia="Arial" w:hAnsi="Arial"/>
          <w:sz w:val="17"/>
          <w:szCs w:val="17"/>
          <w:color w:val="2B2105"/>
        </w:rPr>
        <w:t>RESADDR1]]</w:t>
      </w:r>
    </w:p>
    <w:p>
      <w:pPr>
        <w:spacing w:after="0" w:line="19" w:lineRule="exact"/>
        <w:rPr>
          <w:sz w:val="20"/>
          <w:szCs w:val="20"/>
          <w:color w:val="auto"/>
        </w:rPr>
      </w:pPr>
    </w:p>
    <w:p>
      <w:pPr>
        <w:ind w:left="2760"/>
        <w:spacing w:after="0"/>
        <w:rPr>
          <w:sz w:val="20"/>
          <w:szCs w:val="20"/>
          <w:color w:val="auto"/>
        </w:rPr>
      </w:pPr>
      <w:r>
        <w:rPr>
          <w:rFonts w:ascii="Arial" w:cs="Arial" w:eastAsia="Arial" w:hAnsi="Arial"/>
          <w:sz w:val="17"/>
          <w:szCs w:val="17"/>
          <w:color w:val="2B2105"/>
        </w:rPr>
        <w:t>[[RESADDR2]]</w:t>
      </w:r>
    </w:p>
    <w:p>
      <w:pPr>
        <w:spacing w:after="0" w:line="1" w:lineRule="exact"/>
        <w:rPr>
          <w:sz w:val="20"/>
          <w:szCs w:val="20"/>
          <w:color w:val="auto"/>
        </w:rPr>
      </w:pPr>
    </w:p>
    <w:p>
      <w:pPr>
        <w:jc w:val="center"/>
        <w:ind w:right="-639"/>
        <w:spacing w:after="0"/>
        <w:rPr>
          <w:sz w:val="20"/>
          <w:szCs w:val="20"/>
          <w:color w:val="auto"/>
        </w:rPr>
      </w:pPr>
      <w:r>
        <w:rPr>
          <w:rFonts w:ascii="Arial" w:cs="Arial" w:eastAsia="Arial" w:hAnsi="Arial"/>
          <w:sz w:val="17"/>
          <w:szCs w:val="17"/>
          <w:color w:val="auto"/>
        </w:rPr>
        <w:t>[[RESCITY]],[[</w:t>
      </w:r>
      <w:r>
        <w:rPr>
          <w:rFonts w:ascii="Arial" w:cs="Arial" w:eastAsia="Arial" w:hAnsi="Arial"/>
          <w:sz w:val="17"/>
          <w:szCs w:val="17"/>
          <w:color w:val="2B2105"/>
        </w:rPr>
        <w:t>RESSTATEORPROV]]  [[RESPOSTALCODE]]</w:t>
      </w:r>
    </w:p>
    <w:p>
      <w:pPr>
        <w:spacing w:after="0" w:line="171"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7"/>
          <w:szCs w:val="17"/>
          <w:color w:val="auto"/>
        </w:rPr>
        <w:t>The undersigned Participant has been granted an Option to purchase Common Stock of Pulse Biosciences, Inc. (the “Company”), subject to the terms and conditions of the Plan and this Award Agreement, as follows:</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2280" w:type="dxa"/>
            <w:vAlign w:val="bottom"/>
            <w:gridSpan w:val="2"/>
          </w:tcPr>
          <w:p>
            <w:pPr>
              <w:spacing w:after="0"/>
              <w:rPr>
                <w:sz w:val="20"/>
                <w:szCs w:val="20"/>
                <w:color w:val="auto"/>
              </w:rPr>
            </w:pPr>
            <w:r>
              <w:rPr>
                <w:rFonts w:ascii="Arial" w:cs="Arial" w:eastAsia="Arial" w:hAnsi="Arial"/>
                <w:sz w:val="17"/>
                <w:szCs w:val="17"/>
                <w:color w:val="auto"/>
              </w:rPr>
              <w:t>Grant Number</w:t>
            </w:r>
          </w:p>
        </w:tc>
        <w:tc>
          <w:tcPr>
            <w:tcW w:w="3080" w:type="dxa"/>
            <w:vAlign w:val="bottom"/>
          </w:tcPr>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GRANTNUMBER]]</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Date of Grant</w:t>
            </w:r>
          </w:p>
        </w:tc>
        <w:tc>
          <w:tcPr>
            <w:tcW w:w="3080" w:type="dxa"/>
            <w:vAlign w:val="bottom"/>
          </w:tcPr>
          <w:p>
            <w:pPr>
              <w:ind w:left="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GRANTDATE]]</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w w:val="99"/>
              </w:rPr>
              <w:t>Vesting Commencement Date</w:t>
            </w:r>
          </w:p>
        </w:tc>
        <w:tc>
          <w:tcPr>
            <w:tcW w:w="3080" w:type="dxa"/>
            <w:vAlign w:val="bottom"/>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VESTINGSTARTDATE]]</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Number of Shares Granted</w:t>
            </w:r>
          </w:p>
        </w:tc>
        <w:tc>
          <w:tcPr>
            <w:tcW w:w="3080" w:type="dxa"/>
            <w:vAlign w:val="bottom"/>
          </w:tcPr>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SHARESGRANTED]]</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Exercise Price per Share</w:t>
            </w:r>
          </w:p>
        </w:tc>
        <w:tc>
          <w:tcPr>
            <w:tcW w:w="3080" w:type="dxa"/>
            <w:vAlign w:val="bottom"/>
          </w:tcPr>
          <w:p>
            <w:pPr>
              <w:ind w:left="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GRANTPRICE]]</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Total Exercise Price</w:t>
            </w:r>
          </w:p>
        </w:tc>
        <w:tc>
          <w:tcPr>
            <w:tcW w:w="3080" w:type="dxa"/>
            <w:vAlign w:val="bottom"/>
          </w:tcPr>
          <w:p>
            <w:pPr>
              <w:ind w:left="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MARKETPRICEATAWARD]]</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Term/Expiration Date</w:t>
            </w:r>
          </w:p>
        </w:tc>
        <w:tc>
          <w:tcPr>
            <w:tcW w:w="3080" w:type="dxa"/>
            <w:vAlign w:val="bottom"/>
          </w:tcPr>
          <w:p>
            <w:pPr>
              <w:ind w:left="8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2B2105"/>
                <w:w w:val="97"/>
              </w:rPr>
              <w:t>GRANTEXPIRATIONDATE]]</w:t>
            </w:r>
          </w:p>
        </w:tc>
      </w:tr>
      <w:tr>
        <w:trPr>
          <w:trHeight w:val="342"/>
        </w:trPr>
        <w:tc>
          <w:tcPr>
            <w:tcW w:w="2280" w:type="dxa"/>
            <w:vAlign w:val="bottom"/>
            <w:gridSpan w:val="2"/>
          </w:tcPr>
          <w:p>
            <w:pPr>
              <w:spacing w:after="0"/>
              <w:rPr>
                <w:sz w:val="20"/>
                <w:szCs w:val="20"/>
                <w:color w:val="auto"/>
              </w:rPr>
            </w:pPr>
            <w:r>
              <w:rPr>
                <w:rFonts w:ascii="Arial" w:cs="Arial" w:eastAsia="Arial" w:hAnsi="Arial"/>
                <w:sz w:val="17"/>
                <w:szCs w:val="17"/>
                <w:color w:val="auto"/>
              </w:rPr>
              <w:t>Vesting Schedule:</w:t>
            </w:r>
          </w:p>
        </w:tc>
        <w:tc>
          <w:tcPr>
            <w:tcW w:w="3080" w:type="dxa"/>
            <w:vAlign w:val="bottom"/>
          </w:tcPr>
          <w:p>
            <w:pPr>
              <w:spacing w:after="0"/>
              <w:rPr>
                <w:sz w:val="24"/>
                <w:szCs w:val="24"/>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7"/>
          <w:szCs w:val="17"/>
          <w:color w:val="auto"/>
        </w:rPr>
        <w:t>Subject to accelerated vesting as set forth below or in the Plan, this Option will be exercisable, in whole or in part, in accordance with the following schedule: [[</w:t>
      </w:r>
      <w:r>
        <w:rPr>
          <w:rFonts w:ascii="Arial" w:cs="Arial" w:eastAsia="Arial" w:hAnsi="Arial"/>
          <w:sz w:val="17"/>
          <w:szCs w:val="17"/>
          <w:color w:val="2B2105"/>
        </w:rPr>
        <w:t>VESTINGTEMPLATEDESC]]</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u w:val="single" w:color="auto"/>
          <w:color w:val="auto"/>
        </w:rPr>
        <w:t>Termination Period</w:t>
      </w:r>
      <w:r>
        <w:rPr>
          <w:rFonts w:ascii="Arial" w:cs="Arial" w:eastAsia="Arial" w:hAnsi="Arial"/>
          <w:sz w:val="17"/>
          <w:szCs w:val="17"/>
          <w:color w:val="auto"/>
        </w:rPr>
        <w:t>:</w:t>
      </w:r>
    </w:p>
    <w:p>
      <w:pPr>
        <w:spacing w:after="0" w:line="185" w:lineRule="exact"/>
        <w:rPr>
          <w:sz w:val="20"/>
          <w:szCs w:val="20"/>
          <w:color w:val="auto"/>
        </w:rPr>
      </w:pPr>
    </w:p>
    <w:p>
      <w:pPr>
        <w:jc w:val="both"/>
        <w:ind w:firstLine="553"/>
        <w:spacing w:after="0" w:line="268" w:lineRule="auto"/>
        <w:rPr>
          <w:sz w:val="20"/>
          <w:szCs w:val="20"/>
          <w:color w:val="auto"/>
        </w:rPr>
      </w:pPr>
      <w:r>
        <w:rPr>
          <w:rFonts w:ascii="Arial" w:cs="Arial" w:eastAsia="Arial" w:hAnsi="Arial"/>
          <w:sz w:val="16"/>
          <w:szCs w:val="16"/>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 sentence, in no event may this Option be exercised after the Term/Expiration Date as provided above and may be subject to earlier termination as provided in Section 15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5937250" cy="222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17" w:right="1159" w:bottom="1440" w:gutter="0" w:footer="0" w:header="0"/>
        </w:sectPr>
      </w:pPr>
    </w:p>
    <w:bookmarkStart w:id="144" w:name="page145"/>
    <w:bookmarkEnd w:id="144"/>
    <w:p>
      <w:pPr>
        <w:jc w:val="both"/>
        <w:ind w:firstLine="553"/>
        <w:spacing w:after="0" w:line="263" w:lineRule="auto"/>
        <w:rPr>
          <w:sz w:val="20"/>
          <w:szCs w:val="20"/>
          <w:color w:val="auto"/>
        </w:rPr>
      </w:pPr>
      <w:r>
        <w:rPr>
          <w:rFonts w:ascii="Arial" w:cs="Arial" w:eastAsia="Arial" w:hAnsi="Arial"/>
          <w:sz w:val="16"/>
          <w:szCs w:val="16"/>
          <w:color w:val="auto"/>
        </w:rPr>
        <w:t>Participant acknowledges receipt of a copy of the Plan and represents that he or she is familiar with the terms and provisions thereof, and hereby accepts this Award Agreement subject to all of the terms and provisions thereof. Participant has reviewed the Plan and this Award Agreement in their entirety, has had an opportunity to obtain the advice of counsel prior to executing this Award Agreement and fully understands all provisions of this Award Agreement. Participant hereby agrees to accept as binding, conclusive and final all decisions or interpretations of the Administrator upon any questions arising under the Plan or this Award Agreement. Participant further agrees to notify the Company upon any change in the residence address indicated below.</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PULSE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1317625" cy="402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131762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Sandra Gardiner, Chief Financial Officer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PARTICIPANT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ACCEPTED: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rPr>
          <w:sz w:val="20"/>
          <w:szCs w:val="20"/>
          <w:color w:val="auto"/>
        </w:rPr>
      </w:pPr>
      <w:r>
        <w:rPr>
          <w:rFonts w:ascii="Arial" w:cs="Arial" w:eastAsia="Arial" w:hAnsi="Arial"/>
          <w:sz w:val="17"/>
          <w:szCs w:val="17"/>
          <w:color w:val="auto"/>
        </w:rPr>
        <w:t>Signature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[[SIGNATURE_DATE]]</w:t>
      </w:r>
    </w:p>
    <w:p>
      <w:pPr>
        <w:spacing w:after="0"/>
        <w:rPr>
          <w:sz w:val="20"/>
          <w:szCs w:val="20"/>
          <w:color w:val="auto"/>
        </w:rPr>
      </w:pPr>
      <w:r>
        <w:rPr>
          <w:rFonts w:ascii="Arial" w:cs="Arial" w:eastAsia="Arial" w:hAnsi="Arial"/>
          <w:sz w:val="17"/>
          <w:szCs w:val="17"/>
          <w:color w:val="auto"/>
        </w:rPr>
        <w:t>Date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u w:val="single" w:color="auto"/>
          <w:color w:val="2B2105"/>
        </w:rPr>
        <w:t>FIRSTNAME]] [[LASTNAME]]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Print Name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RESADDR1]]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B2105"/>
        </w:rPr>
        <w:t>[[RESADDR2]]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[[RESCITY]], [[</w:t>
      </w:r>
      <w:r>
        <w:rPr>
          <w:rFonts w:ascii="Arial" w:cs="Arial" w:eastAsia="Arial" w:hAnsi="Arial"/>
          <w:sz w:val="17"/>
          <w:szCs w:val="17"/>
          <w:color w:val="2B2105"/>
        </w:rPr>
        <w:t>RESSTATEORPROV]] [[RESPOSTALCODE]]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791210</wp:posOffset>
            </wp:positionV>
            <wp:extent cx="5937250" cy="222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4">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20"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STOCK OPTION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PARTICIPANTS SUBJECT TO TAX IN GERMANY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TERMS AND CONDITIONS OF STOCK OPTION GRANT</w:t>
      </w:r>
    </w:p>
    <w:p>
      <w:pPr>
        <w:spacing w:after="0" w:line="189" w:lineRule="exact"/>
        <w:rPr>
          <w:sz w:val="20"/>
          <w:szCs w:val="20"/>
          <w:color w:val="auto"/>
        </w:rPr>
      </w:pPr>
    </w:p>
    <w:p>
      <w:pPr>
        <w:jc w:val="both"/>
        <w:ind w:firstLine="552"/>
        <w:spacing w:after="0" w:line="284" w:lineRule="auto"/>
        <w:tabs>
          <w:tab w:leader="none" w:pos="887"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Grant of Option</w:t>
      </w:r>
      <w:r>
        <w:rPr>
          <w:rFonts w:ascii="Arial" w:cs="Arial" w:eastAsia="Arial" w:hAnsi="Arial"/>
          <w:sz w:val="15"/>
          <w:szCs w:val="15"/>
          <w:color w:val="auto"/>
        </w:rPr>
        <w:t>. The Company hereby grants to the individual (the “Participant”) named in the Notice of Stock Option Grant of this Award Agreement (the “Notice of Grant”) an option (the “Option”) to purchase the number of Shares, as set forth in the Notice of Grant, at the exercise price per Share set forth in the Notice of Grant (the “Exercise Price”), which is not less than the Fair Market Value per Share on the Date of Grant of the Option, subject to all of the terms and conditions in this Award Agreement and the Plan, which is incorporated herein by reference. Subject to Section 20(c) of the Plan, in the event of a conflict between the terms and conditions of the Plan and the terms and conditions of this Award Agreement, the terms and conditions of the Plan will prevail.</w:t>
      </w:r>
    </w:p>
    <w:p>
      <w:pPr>
        <w:spacing w:after="0" w:line="135" w:lineRule="exact"/>
        <w:rPr>
          <w:rFonts w:ascii="Arial" w:cs="Arial" w:eastAsia="Arial" w:hAnsi="Arial"/>
          <w:sz w:val="15"/>
          <w:szCs w:val="15"/>
          <w:color w:val="auto"/>
        </w:rPr>
      </w:pPr>
    </w:p>
    <w:p>
      <w:pPr>
        <w:jc w:val="both"/>
        <w:ind w:firstLine="552"/>
        <w:spacing w:after="0" w:line="268" w:lineRule="auto"/>
        <w:tabs>
          <w:tab w:leader="none" w:pos="876"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spacing w:after="0" w:line="146" w:lineRule="exact"/>
        <w:rPr>
          <w:rFonts w:ascii="Arial" w:cs="Arial" w:eastAsia="Arial" w:hAnsi="Arial"/>
          <w:sz w:val="16"/>
          <w:szCs w:val="16"/>
          <w:color w:val="auto"/>
        </w:rPr>
      </w:pPr>
    </w:p>
    <w:p>
      <w:pPr>
        <w:jc w:val="both"/>
        <w:ind w:firstLine="552"/>
        <w:spacing w:after="0" w:line="252" w:lineRule="auto"/>
        <w:tabs>
          <w:tab w:leader="none" w:pos="887"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Administrator Discretion</w:t>
      </w:r>
      <w:r>
        <w:rPr>
          <w:rFonts w:ascii="Arial" w:cs="Arial" w:eastAsia="Arial" w:hAnsi="Arial"/>
          <w:sz w:val="17"/>
          <w:szCs w:val="17"/>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56" w:lineRule="exact"/>
        <w:rPr>
          <w:rFonts w:ascii="Arial" w:cs="Arial" w:eastAsia="Arial" w:hAnsi="Arial"/>
          <w:sz w:val="17"/>
          <w:szCs w:val="17"/>
          <w:color w:val="auto"/>
        </w:rPr>
      </w:pPr>
    </w:p>
    <w:p>
      <w:pPr>
        <w:ind w:left="880" w:hanging="328"/>
        <w:spacing w:after="0"/>
        <w:tabs>
          <w:tab w:leader="none" w:pos="88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firstLine="829"/>
        <w:spacing w:after="0" w:line="264" w:lineRule="auto"/>
        <w:tabs>
          <w:tab w:leader="none" w:pos="1175"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This Option may be exercised only within the term set out in the Notice of Grant, and may be exercised during such term only in accordance with the Plan and the terms of this Award Agreement.</w:t>
      </w:r>
    </w:p>
    <w:p>
      <w:pPr>
        <w:spacing w:after="0" w:line="146" w:lineRule="exact"/>
        <w:rPr>
          <w:rFonts w:ascii="Arial" w:cs="Arial" w:eastAsia="Arial" w:hAnsi="Arial"/>
          <w:sz w:val="17"/>
          <w:szCs w:val="17"/>
          <w:color w:val="auto"/>
        </w:rPr>
      </w:pPr>
    </w:p>
    <w:p>
      <w:pPr>
        <w:jc w:val="both"/>
        <w:ind w:firstLine="829"/>
        <w:spacing w:after="0" w:line="282" w:lineRule="auto"/>
        <w:tabs>
          <w:tab w:leader="none" w:pos="1173" w:val="left"/>
        </w:tabs>
        <w:numPr>
          <w:ilvl w:val="1"/>
          <w:numId w:val="93"/>
        </w:numPr>
        <w:rPr>
          <w:rFonts w:ascii="Arial" w:cs="Arial" w:eastAsia="Arial" w:hAnsi="Arial"/>
          <w:sz w:val="15"/>
          <w:szCs w:val="15"/>
          <w:color w:val="auto"/>
        </w:rPr>
      </w:pPr>
      <w:r>
        <w:rPr>
          <w:rFonts w:ascii="Arial" w:cs="Arial" w:eastAsia="Arial" w:hAnsi="Arial"/>
          <w:sz w:val="15"/>
          <w:szCs w:val="15"/>
          <w:u w:val="single" w:color="auto"/>
          <w:color w:val="auto"/>
        </w:rPr>
        <w:t>Method of Exercise</w:t>
      </w:r>
      <w:r>
        <w:rPr>
          <w:rFonts w:ascii="Arial" w:cs="Arial" w:eastAsia="Arial" w:hAnsi="Arial"/>
          <w:sz w:val="15"/>
          <w:szCs w:val="15"/>
          <w:color w:val="auto"/>
        </w:rPr>
        <w:t xml:space="preserve">. This Option is exercisable by delivery of an exercise notice (the “Exercise Notice”) in the form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and of any Tax Obligations (as defined in Section 6(a)). This Option will be deemed to be exercised upon receipt by the Company of such fully executed Exercise Notice accompanied by the aggregate Exercise Price.</w:t>
      </w:r>
    </w:p>
    <w:p>
      <w:pPr>
        <w:spacing w:after="0" w:line="137" w:lineRule="exact"/>
        <w:rPr>
          <w:rFonts w:ascii="Arial" w:cs="Arial" w:eastAsia="Arial" w:hAnsi="Arial"/>
          <w:sz w:val="15"/>
          <w:szCs w:val="15"/>
          <w:color w:val="auto"/>
        </w:rPr>
      </w:pPr>
    </w:p>
    <w:p>
      <w:pPr>
        <w:ind w:firstLine="552"/>
        <w:spacing w:after="0" w:line="264" w:lineRule="auto"/>
        <w:tabs>
          <w:tab w:leader="none" w:pos="876"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Payment of the aggregate Exercise Price will be by any of the following, or a combination thereof, at the election of Participant:</w:t>
      </w:r>
    </w:p>
    <w:p>
      <w:pPr>
        <w:spacing w:after="0" w:line="146" w:lineRule="exact"/>
        <w:rPr>
          <w:rFonts w:ascii="Arial" w:cs="Arial" w:eastAsia="Arial" w:hAnsi="Arial"/>
          <w:sz w:val="17"/>
          <w:szCs w:val="17"/>
          <w:color w:val="auto"/>
        </w:rPr>
      </w:pPr>
    </w:p>
    <w:p>
      <w:pPr>
        <w:ind w:left="1160" w:hanging="331"/>
        <w:spacing w:after="0"/>
        <w:tabs>
          <w:tab w:leader="none" w:pos="1160" w:val="left"/>
        </w:tabs>
        <w:numPr>
          <w:ilvl w:val="1"/>
          <w:numId w:val="93"/>
        </w:numPr>
        <w:rPr>
          <w:rFonts w:ascii="Arial" w:cs="Arial" w:eastAsia="Arial" w:hAnsi="Arial"/>
          <w:sz w:val="17"/>
          <w:szCs w:val="17"/>
          <w:color w:val="auto"/>
        </w:rPr>
      </w:pPr>
      <w:r>
        <w:rPr>
          <w:rFonts w:ascii="Arial" w:cs="Arial" w:eastAsia="Arial" w:hAnsi="Arial"/>
          <w:sz w:val="17"/>
          <w:szCs w:val="17"/>
          <w:color w:val="auto"/>
        </w:rPr>
        <w:t>cash;</w:t>
      </w:r>
    </w:p>
    <w:p>
      <w:pPr>
        <w:spacing w:after="0" w:line="184" w:lineRule="exact"/>
        <w:rPr>
          <w:rFonts w:ascii="Arial" w:cs="Arial" w:eastAsia="Arial" w:hAnsi="Arial"/>
          <w:sz w:val="17"/>
          <w:szCs w:val="17"/>
          <w:color w:val="auto"/>
        </w:rPr>
      </w:pPr>
    </w:p>
    <w:p>
      <w:pPr>
        <w:ind w:left="1160" w:hanging="331"/>
        <w:spacing w:after="0"/>
        <w:tabs>
          <w:tab w:leader="none" w:pos="1160" w:val="left"/>
        </w:tabs>
        <w:numPr>
          <w:ilvl w:val="1"/>
          <w:numId w:val="93"/>
        </w:numPr>
        <w:rPr>
          <w:rFonts w:ascii="Arial" w:cs="Arial" w:eastAsia="Arial" w:hAnsi="Arial"/>
          <w:sz w:val="17"/>
          <w:szCs w:val="17"/>
          <w:color w:val="auto"/>
        </w:rPr>
      </w:pPr>
      <w:r>
        <w:rPr>
          <w:rFonts w:ascii="Arial" w:cs="Arial" w:eastAsia="Arial" w:hAnsi="Arial"/>
          <w:sz w:val="17"/>
          <w:szCs w:val="17"/>
          <w:color w:val="auto"/>
        </w:rPr>
        <w:t>check;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5937250" cy="222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5">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146" w:name="page147"/>
    <w:bookmarkEnd w:id="146"/>
    <w:p>
      <w:pPr>
        <w:ind w:left="-20" w:firstLine="829"/>
        <w:spacing w:after="0" w:line="263" w:lineRule="auto"/>
        <w:tabs>
          <w:tab w:leader="none" w:pos="1178" w:val="left"/>
        </w:tabs>
        <w:numPr>
          <w:ilvl w:val="1"/>
          <w:numId w:val="94"/>
        </w:numPr>
        <w:rPr>
          <w:rFonts w:ascii="Arial" w:cs="Arial" w:eastAsia="Arial" w:hAnsi="Arial"/>
          <w:sz w:val="17"/>
          <w:szCs w:val="17"/>
          <w:color w:val="auto"/>
        </w:rPr>
      </w:pPr>
      <w:r>
        <w:rPr>
          <w:rFonts w:ascii="Arial" w:cs="Arial" w:eastAsia="Arial" w:hAnsi="Arial"/>
          <w:sz w:val="17"/>
          <w:szCs w:val="17"/>
          <w:color w:val="auto"/>
        </w:rPr>
        <w:t>consideration received by the Company under a formal cashless exercise program adopted by the Company in connection with the Plan.</w:t>
      </w:r>
    </w:p>
    <w:p>
      <w:pPr>
        <w:spacing w:after="0" w:line="147" w:lineRule="exact"/>
        <w:rPr>
          <w:rFonts w:ascii="Arial" w:cs="Arial" w:eastAsia="Arial" w:hAnsi="Arial"/>
          <w:sz w:val="17"/>
          <w:szCs w:val="17"/>
          <w:color w:val="auto"/>
        </w:rPr>
      </w:pPr>
    </w:p>
    <w:p>
      <w:pPr>
        <w:ind w:left="860" w:hanging="328"/>
        <w:spacing w:after="0"/>
        <w:tabs>
          <w:tab w:leader="none" w:pos="860"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Tax Obligations</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left="-20" w:firstLine="829"/>
        <w:spacing w:after="0" w:line="277" w:lineRule="auto"/>
        <w:tabs>
          <w:tab w:leader="none" w:pos="1143" w:val="left"/>
        </w:tabs>
        <w:numPr>
          <w:ilvl w:val="1"/>
          <w:numId w:val="95"/>
        </w:numPr>
        <w:rPr>
          <w:rFonts w:ascii="Arial" w:cs="Arial" w:eastAsia="Arial" w:hAnsi="Arial"/>
          <w:sz w:val="15"/>
          <w:szCs w:val="15"/>
          <w:color w:val="auto"/>
        </w:rPr>
      </w:pPr>
      <w:r>
        <w:rPr>
          <w:rFonts w:ascii="Arial" w:cs="Arial" w:eastAsia="Arial" w:hAnsi="Arial"/>
          <w:sz w:val="15"/>
          <w:szCs w:val="15"/>
          <w:color w:val="auto"/>
        </w:rPr>
        <w:t>Participant acknowledges that, regardless of any action taken by the Company or, if different, Participant’s employer (the “Employer”), the ultimate liability for any tax or other jurisdictional obligations (e.g., social taxes, welfare taxes, etc.),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Employer. Participant further acknowledges that the Company and/or the Employer (i) make no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(ii)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Employer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41" w:lineRule="exact"/>
        <w:rPr>
          <w:rFonts w:ascii="Arial" w:cs="Arial" w:eastAsia="Arial" w:hAnsi="Arial"/>
          <w:sz w:val="15"/>
          <w:szCs w:val="15"/>
          <w:color w:val="auto"/>
        </w:rPr>
      </w:pPr>
    </w:p>
    <w:p>
      <w:pPr>
        <w:jc w:val="both"/>
        <w:ind w:left="-20" w:firstLine="829"/>
        <w:spacing w:after="0" w:line="275" w:lineRule="auto"/>
        <w:tabs>
          <w:tab w:leader="none" w:pos="1164" w:val="left"/>
        </w:tabs>
        <w:numPr>
          <w:ilvl w:val="1"/>
          <w:numId w:val="95"/>
        </w:numPr>
        <w:rPr>
          <w:rFonts w:ascii="Arial" w:cs="Arial" w:eastAsia="Arial" w:hAnsi="Arial"/>
          <w:sz w:val="15"/>
          <w:szCs w:val="15"/>
          <w:color w:val="auto"/>
        </w:rPr>
      </w:pPr>
      <w:r>
        <w:rPr>
          <w:rFonts w:ascii="Arial" w:cs="Arial" w:eastAsia="Arial" w:hAnsi="Arial"/>
          <w:sz w:val="15"/>
          <w:szCs w:val="15"/>
          <w:u w:val="single" w:color="auto"/>
          <w:color w:val="auto"/>
        </w:rPr>
        <w:t>Tax Withholding</w:t>
      </w:r>
      <w:r>
        <w:rPr>
          <w:rFonts w:ascii="Arial" w:cs="Arial" w:eastAsia="Arial" w:hAnsi="Arial"/>
          <w:sz w:val="15"/>
          <w:szCs w:val="15"/>
          <w:color w:val="auto"/>
        </w:rPr>
        <w:t>. When, under applicable tax laws, a Participant incurs a liability to tax, duties or social security contributions in connection with the exercise of any Option that is subject to tax withholding, the Participant is obligated to either enter into an arrangement (as described herein) for the purpose of ensuring the employer or former employer has sufficient funds to discharge the liability or reimburse the employer or former employer the amount required to be paid to the applicable tax authorities. Pursuant to such procedures as the Administrator may specify from time to time, the Company and/or Employer shall withhold the minimum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(a) paying cash, (b) electing to have the Company withhold otherwise deliverable Shares having a Fair Market Value equal to the amount of such Tax Obligations, (c) withholding the amount of such Tax Obligations from Participant’s wages or other cash compensation paid to Participant by the company and/or the Employer, (d) selling a sufficient number of such Shares otherwise deliverable to Participant through such means as the Company may determine in its sole discretion (whether through a broker or otherwise) equal to the amount of the Tax Obligations. To the extent determined appropriate by the Company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Employer (and/or former employer, as applicable) may be required to withhold or account for tax in more than one jurisdiction. Exercise of the Option is conditional upon the Participant having entered into arrangements for this purpose which are satisfactory to the Participant’s employer or former employer.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288290</wp:posOffset>
            </wp:positionV>
            <wp:extent cx="5937250" cy="222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126" w:right="1159" w:bottom="1440" w:gutter="0" w:footer="0" w:header="0"/>
        </w:sectPr>
      </w:pPr>
    </w:p>
    <w:bookmarkStart w:id="147" w:name="page148"/>
    <w:bookmarkEnd w:id="147"/>
    <w:p>
      <w:pPr>
        <w:jc w:val="both"/>
        <w:ind w:left="-20" w:firstLine="552"/>
        <w:spacing w:after="0" w:line="245" w:lineRule="auto"/>
        <w:tabs>
          <w:tab w:leader="none" w:pos="856"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62" w:lineRule="exact"/>
        <w:rPr>
          <w:rFonts w:ascii="Arial" w:cs="Arial" w:eastAsia="Arial" w:hAnsi="Arial"/>
          <w:sz w:val="17"/>
          <w:szCs w:val="17"/>
          <w:color w:val="auto"/>
        </w:rPr>
      </w:pPr>
    </w:p>
    <w:p>
      <w:pPr>
        <w:jc w:val="both"/>
        <w:ind w:left="-20" w:firstLine="552"/>
        <w:spacing w:after="0" w:line="260" w:lineRule="auto"/>
        <w:tabs>
          <w:tab w:leader="none" w:pos="879"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No Guarantee of Continued Service</w:t>
      </w:r>
      <w:r>
        <w:rPr>
          <w:rFonts w:ascii="Arial" w:cs="Arial" w:eastAsia="Arial" w:hAnsi="Arial"/>
          <w:sz w:val="16"/>
          <w:szCs w:val="16"/>
          <w:color w:val="auto"/>
        </w:rPr>
        <w:t>. PARTICIPANT ACKNOWLEDGES AND AGREES THAT THE VESTING OF SHARES PURSUANT TO THE VESTING SCHEDULE HEREOF IS EARNED ONLY BY CONTINUING AS A SERVICE PROVIDER AT THE WILL OF THE COMPANY (OR THE EMPLOYER) AND NOT THROUGH THE ACT OF BEING HIRED, BEING GRANTED THIS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EMPLOYER) TO TERMINATE PARTICIPANT’S RELATIONSHIP AS A SERVICE PROVIDER AT ANY TIME, WITH OR WITHOUT CAUSE.</w:t>
      </w:r>
    </w:p>
    <w:p>
      <w:pPr>
        <w:spacing w:after="0" w:line="154" w:lineRule="exact"/>
        <w:rPr>
          <w:rFonts w:ascii="Arial" w:cs="Arial" w:eastAsia="Arial" w:hAnsi="Arial"/>
          <w:sz w:val="16"/>
          <w:szCs w:val="16"/>
          <w:color w:val="auto"/>
        </w:rPr>
      </w:pPr>
    </w:p>
    <w:p>
      <w:pPr>
        <w:ind w:left="860" w:hanging="328"/>
        <w:spacing w:after="0"/>
        <w:tabs>
          <w:tab w:leader="none" w:pos="86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In accepting the Option, Participant acknowledges, understands and agrees that:</w:t>
      </w:r>
    </w:p>
    <w:p>
      <w:pPr>
        <w:spacing w:after="0" w:line="184" w:lineRule="exact"/>
        <w:rPr>
          <w:rFonts w:ascii="Arial" w:cs="Arial" w:eastAsia="Arial" w:hAnsi="Arial"/>
          <w:sz w:val="17"/>
          <w:szCs w:val="17"/>
          <w:color w:val="auto"/>
        </w:rPr>
      </w:pPr>
    </w:p>
    <w:p>
      <w:pPr>
        <w:ind w:left="-20" w:firstLine="829"/>
        <w:spacing w:after="0" w:line="264" w:lineRule="auto"/>
        <w:tabs>
          <w:tab w:leader="none" w:pos="1143"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grant of the Option is voluntary and occasional and does not create any contractual or other right to receive future grants of options, or benefits in lieu of options, even if options have been granted in the past;</w:t>
      </w:r>
    </w:p>
    <w:p>
      <w:pPr>
        <w:spacing w:after="0" w:line="146" w:lineRule="exact"/>
        <w:rPr>
          <w:rFonts w:ascii="Arial" w:cs="Arial" w:eastAsia="Arial" w:hAnsi="Arial"/>
          <w:sz w:val="17"/>
          <w:szCs w:val="17"/>
          <w:color w:val="auto"/>
        </w:rPr>
      </w:pPr>
    </w:p>
    <w:p>
      <w:pPr>
        <w:ind w:left="1140" w:hanging="331"/>
        <w:spacing w:after="0"/>
        <w:tabs>
          <w:tab w:leader="none" w:pos="114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decisions with respect to future option or other grants, if any, will be at the sole discretion of the Company;</w:t>
      </w:r>
    </w:p>
    <w:p>
      <w:pPr>
        <w:spacing w:after="0" w:line="196" w:lineRule="exact"/>
        <w:rPr>
          <w:rFonts w:ascii="Arial" w:cs="Arial" w:eastAsia="Arial" w:hAnsi="Arial"/>
          <w:sz w:val="16"/>
          <w:szCs w:val="16"/>
          <w:color w:val="auto"/>
        </w:rPr>
      </w:pPr>
    </w:p>
    <w:p>
      <w:pPr>
        <w:ind w:left="1140" w:hanging="331"/>
        <w:spacing w:after="0"/>
        <w:tabs>
          <w:tab w:leader="none" w:pos="1140" w:val="left"/>
        </w:tabs>
        <w:numPr>
          <w:ilvl w:val="1"/>
          <w:numId w:val="96"/>
        </w:numPr>
        <w:rPr>
          <w:rFonts w:ascii="Arial" w:cs="Arial" w:eastAsia="Arial" w:hAnsi="Arial"/>
          <w:sz w:val="17"/>
          <w:szCs w:val="17"/>
          <w:color w:val="auto"/>
        </w:rPr>
      </w:pPr>
      <w:r>
        <w:rPr>
          <w:rFonts w:ascii="Arial" w:cs="Arial" w:eastAsia="Arial" w:hAnsi="Arial"/>
          <w:sz w:val="17"/>
          <w:szCs w:val="17"/>
          <w:color w:val="auto"/>
        </w:rPr>
        <w:t>Participant is voluntarily participating in the Plan;</w:t>
      </w:r>
    </w:p>
    <w:p>
      <w:pPr>
        <w:spacing w:after="0" w:line="184" w:lineRule="exact"/>
        <w:rPr>
          <w:rFonts w:ascii="Arial" w:cs="Arial" w:eastAsia="Arial" w:hAnsi="Arial"/>
          <w:sz w:val="17"/>
          <w:szCs w:val="17"/>
          <w:color w:val="auto"/>
        </w:rPr>
      </w:pPr>
    </w:p>
    <w:p>
      <w:pPr>
        <w:ind w:left="1140" w:hanging="331"/>
        <w:spacing w:after="0"/>
        <w:tabs>
          <w:tab w:leader="none" w:pos="1140" w:val="left"/>
        </w:tabs>
        <w:numPr>
          <w:ilvl w:val="1"/>
          <w:numId w:val="96"/>
        </w:numPr>
        <w:rPr>
          <w:rFonts w:ascii="Arial" w:cs="Arial" w:eastAsia="Arial" w:hAnsi="Arial"/>
          <w:sz w:val="15"/>
          <w:szCs w:val="15"/>
          <w:color w:val="auto"/>
        </w:rPr>
      </w:pPr>
      <w:r>
        <w:rPr>
          <w:rFonts w:ascii="Arial" w:cs="Arial" w:eastAsia="Arial" w:hAnsi="Arial"/>
          <w:sz w:val="15"/>
          <w:szCs w:val="15"/>
          <w:color w:val="auto"/>
        </w:rPr>
        <w:t>the Option and any Shares acquired under the Plan are not intended to replace any pension rights or compensation;</w:t>
      </w:r>
    </w:p>
    <w:p>
      <w:pPr>
        <w:spacing w:after="0" w:line="207" w:lineRule="exact"/>
        <w:rPr>
          <w:rFonts w:ascii="Arial" w:cs="Arial" w:eastAsia="Arial" w:hAnsi="Arial"/>
          <w:sz w:val="15"/>
          <w:szCs w:val="15"/>
          <w:color w:val="auto"/>
        </w:rPr>
      </w:pPr>
    </w:p>
    <w:p>
      <w:pPr>
        <w:jc w:val="both"/>
        <w:ind w:left="-20" w:firstLine="829"/>
        <w:spacing w:after="0" w:line="252" w:lineRule="auto"/>
        <w:tabs>
          <w:tab w:leader="none" w:pos="1143"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56" w:lineRule="exact"/>
        <w:rPr>
          <w:rFonts w:ascii="Arial" w:cs="Arial" w:eastAsia="Arial" w:hAnsi="Arial"/>
          <w:sz w:val="17"/>
          <w:szCs w:val="17"/>
          <w:color w:val="auto"/>
        </w:rPr>
      </w:pPr>
    </w:p>
    <w:p>
      <w:pPr>
        <w:ind w:left="1120" w:hanging="311"/>
        <w:spacing w:after="0"/>
        <w:tabs>
          <w:tab w:leader="none" w:pos="1120" w:val="left"/>
        </w:tabs>
        <w:numPr>
          <w:ilvl w:val="1"/>
          <w:numId w:val="96"/>
        </w:numPr>
        <w:rPr>
          <w:rFonts w:ascii="Arial" w:cs="Arial" w:eastAsia="Arial" w:hAnsi="Arial"/>
          <w:sz w:val="15"/>
          <w:szCs w:val="15"/>
          <w:color w:val="auto"/>
        </w:rPr>
      </w:pPr>
      <w:r>
        <w:rPr>
          <w:rFonts w:ascii="Arial" w:cs="Arial" w:eastAsia="Arial" w:hAnsi="Arial"/>
          <w:sz w:val="15"/>
          <w:szCs w:val="15"/>
          <w:color w:val="auto"/>
        </w:rPr>
        <w:t>the future value of the Shares underlying the Option is unknown, indeterminable, and cannot be predicted with certainty;</w:t>
      </w:r>
    </w:p>
    <w:p>
      <w:pPr>
        <w:spacing w:after="0" w:line="207" w:lineRule="exact"/>
        <w:rPr>
          <w:rFonts w:ascii="Arial" w:cs="Arial" w:eastAsia="Arial" w:hAnsi="Arial"/>
          <w:sz w:val="15"/>
          <w:szCs w:val="15"/>
          <w:color w:val="auto"/>
        </w:rPr>
      </w:pPr>
    </w:p>
    <w:p>
      <w:pPr>
        <w:ind w:left="1140" w:hanging="331"/>
        <w:spacing w:after="0"/>
        <w:tabs>
          <w:tab w:leader="none" w:pos="1140" w:val="left"/>
        </w:tabs>
        <w:numPr>
          <w:ilvl w:val="1"/>
          <w:numId w:val="96"/>
        </w:numPr>
        <w:rPr>
          <w:rFonts w:ascii="Arial" w:cs="Arial" w:eastAsia="Arial" w:hAnsi="Arial"/>
          <w:sz w:val="17"/>
          <w:szCs w:val="17"/>
          <w:color w:val="auto"/>
        </w:rPr>
      </w:pPr>
      <w:r>
        <w:rPr>
          <w:rFonts w:ascii="Arial" w:cs="Arial" w:eastAsia="Arial" w:hAnsi="Arial"/>
          <w:sz w:val="17"/>
          <w:szCs w:val="17"/>
          <w:color w:val="auto"/>
        </w:rPr>
        <w:t>if the underlying Shares do not increase in value, the Option will have no value;</w:t>
      </w:r>
    </w:p>
    <w:p>
      <w:pPr>
        <w:spacing w:after="0" w:line="184" w:lineRule="exact"/>
        <w:rPr>
          <w:rFonts w:ascii="Arial" w:cs="Arial" w:eastAsia="Arial" w:hAnsi="Arial"/>
          <w:sz w:val="17"/>
          <w:szCs w:val="17"/>
          <w:color w:val="auto"/>
        </w:rPr>
      </w:pPr>
    </w:p>
    <w:p>
      <w:pPr>
        <w:ind w:left="-20" w:firstLine="829"/>
        <w:spacing w:after="0" w:line="264" w:lineRule="auto"/>
        <w:tabs>
          <w:tab w:leader="none" w:pos="1141" w:val="left"/>
        </w:tabs>
        <w:numPr>
          <w:ilvl w:val="1"/>
          <w:numId w:val="96"/>
        </w:numPr>
        <w:rPr>
          <w:rFonts w:ascii="Arial" w:cs="Arial" w:eastAsia="Arial" w:hAnsi="Arial"/>
          <w:sz w:val="17"/>
          <w:szCs w:val="17"/>
          <w:color w:val="auto"/>
        </w:rPr>
      </w:pPr>
      <w:r>
        <w:rPr>
          <w:rFonts w:ascii="Arial" w:cs="Arial" w:eastAsia="Arial" w:hAnsi="Arial"/>
          <w:sz w:val="17"/>
          <w:szCs w:val="17"/>
          <w:color w:val="auto"/>
        </w:rPr>
        <w:t>if Participant exercises the Option and acquires Shares, the value of such Shares may increase or decrease in value, even below the Exercise Price;</w:t>
      </w:r>
    </w:p>
    <w:p>
      <w:pPr>
        <w:spacing w:after="0" w:line="142" w:lineRule="exact"/>
        <w:rPr>
          <w:rFonts w:ascii="Arial" w:cs="Arial" w:eastAsia="Arial" w:hAnsi="Arial"/>
          <w:sz w:val="17"/>
          <w:szCs w:val="17"/>
          <w:color w:val="auto"/>
        </w:rPr>
      </w:pPr>
    </w:p>
    <w:p>
      <w:pPr>
        <w:ind w:left="-20" w:firstLine="829"/>
        <w:spacing w:after="0" w:line="272" w:lineRule="auto"/>
        <w:tabs>
          <w:tab w:leader="none" w:pos="1145" w:val="left"/>
        </w:tabs>
        <w:numPr>
          <w:ilvl w:val="1"/>
          <w:numId w:val="96"/>
        </w:numPr>
        <w:rPr>
          <w:rFonts w:ascii="Arial" w:cs="Arial" w:eastAsia="Arial" w:hAnsi="Arial"/>
          <w:sz w:val="18"/>
          <w:szCs w:val="18"/>
          <w:color w:val="auto"/>
        </w:rPr>
      </w:pPr>
      <w:r>
        <w:rPr>
          <w:rFonts w:ascii="Arial" w:cs="Arial" w:eastAsia="Arial" w:hAnsi="Arial"/>
          <w:sz w:val="18"/>
          <w:szCs w:val="18"/>
          <w:color w:val="auto"/>
        </w:rPr>
        <w:t>for purposes of the Option, Participant’s engagement as a Service Provider will be considered terminated as of the date Participant is no longer actively providing services to the Company or any Parent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277495</wp:posOffset>
            </wp:positionV>
            <wp:extent cx="5937250" cy="222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126" w:right="1159" w:bottom="1440" w:gutter="0" w:footer="0" w:header="0"/>
        </w:sectPr>
      </w:pPr>
    </w:p>
    <w:bookmarkStart w:id="148" w:name="page149"/>
    <w:bookmarkEnd w:id="148"/>
    <w:p>
      <w:pPr>
        <w:jc w:val="both"/>
        <w:spacing w:after="0" w:line="258" w:lineRule="auto"/>
        <w:rPr>
          <w:sz w:val="20"/>
          <w:szCs w:val="20"/>
          <w:color w:val="auto"/>
        </w:rPr>
      </w:pPr>
      <w:r>
        <w:rPr>
          <w:rFonts w:ascii="Arial" w:cs="Arial" w:eastAsia="Arial" w:hAnsi="Arial"/>
          <w:sz w:val="17"/>
          <w:szCs w:val="17"/>
          <w:color w:val="auto"/>
        </w:rPr>
        <w:t>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w:t>
      </w:r>
    </w:p>
    <w:p>
      <w:pPr>
        <w:spacing w:after="0" w:line="151" w:lineRule="exact"/>
        <w:rPr>
          <w:sz w:val="20"/>
          <w:szCs w:val="20"/>
          <w:color w:val="auto"/>
        </w:rPr>
      </w:pPr>
    </w:p>
    <w:p>
      <w:pPr>
        <w:jc w:val="both"/>
        <w:ind w:firstLine="829"/>
        <w:spacing w:after="0" w:line="275" w:lineRule="auto"/>
        <w:tabs>
          <w:tab w:leader="none" w:pos="1147" w:val="left"/>
        </w:tabs>
        <w:numPr>
          <w:ilvl w:val="2"/>
          <w:numId w:val="97"/>
        </w:numPr>
        <w:rPr>
          <w:rFonts w:ascii="Arial" w:cs="Arial" w:eastAsia="Arial" w:hAnsi="Arial"/>
          <w:sz w:val="16"/>
          <w:szCs w:val="16"/>
          <w:color w:val="auto"/>
        </w:rPr>
      </w:pPr>
      <w:r>
        <w:rPr>
          <w:rFonts w:ascii="Arial" w:cs="Arial" w:eastAsia="Arial" w:hAnsi="Arial"/>
          <w:sz w:val="16"/>
          <w:szCs w:val="16"/>
          <w:color w:val="auto"/>
        </w:rPr>
        <w:t>unless otherwise provided in the Plan or by the Company in its discretion, the Option and the benefits evidenced by this Award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39" w:lineRule="exact"/>
        <w:rPr>
          <w:rFonts w:ascii="Arial" w:cs="Arial" w:eastAsia="Arial" w:hAnsi="Arial"/>
          <w:sz w:val="16"/>
          <w:szCs w:val="16"/>
          <w:color w:val="auto"/>
        </w:rPr>
      </w:pPr>
    </w:p>
    <w:p>
      <w:pPr>
        <w:ind w:left="1560" w:hanging="800"/>
        <w:spacing w:after="0"/>
        <w:tabs>
          <w:tab w:leader="none" w:pos="1560" w:val="left"/>
        </w:tabs>
        <w:numPr>
          <w:ilvl w:val="1"/>
          <w:numId w:val="98"/>
        </w:numPr>
        <w:rPr>
          <w:rFonts w:ascii="Arial" w:cs="Arial" w:eastAsia="Arial" w:hAnsi="Arial"/>
          <w:sz w:val="15"/>
          <w:szCs w:val="15"/>
          <w:color w:val="auto"/>
        </w:rPr>
      </w:pPr>
      <w:r>
        <w:rPr>
          <w:rFonts w:ascii="Arial" w:cs="Arial" w:eastAsia="Arial" w:hAnsi="Arial"/>
          <w:sz w:val="15"/>
          <w:szCs w:val="15"/>
          <w:color w:val="auto"/>
        </w:rPr>
        <w:t>the Option and the Shares subject to the Option are not part of normal or expected compensation or salary for any</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purpose;</w:t>
      </w:r>
    </w:p>
    <w:p>
      <w:pPr>
        <w:spacing w:after="0" w:line="170" w:lineRule="exact"/>
        <w:rPr>
          <w:rFonts w:ascii="Arial" w:cs="Arial" w:eastAsia="Arial" w:hAnsi="Arial"/>
          <w:sz w:val="15"/>
          <w:szCs w:val="15"/>
          <w:color w:val="auto"/>
        </w:rPr>
      </w:pPr>
    </w:p>
    <w:p>
      <w:pPr>
        <w:jc w:val="both"/>
        <w:ind w:firstLine="760"/>
        <w:spacing w:after="0" w:line="301" w:lineRule="auto"/>
        <w:tabs>
          <w:tab w:leader="none" w:pos="1520" w:val="left"/>
        </w:tabs>
        <w:numPr>
          <w:ilvl w:val="1"/>
          <w:numId w:val="98"/>
        </w:numPr>
        <w:rPr>
          <w:rFonts w:ascii="Arial" w:cs="Arial" w:eastAsia="Arial" w:hAnsi="Arial"/>
          <w:sz w:val="15"/>
          <w:szCs w:val="15"/>
          <w:color w:val="auto"/>
        </w:rPr>
      </w:pPr>
      <w:r>
        <w:rPr>
          <w:rFonts w:ascii="Arial" w:cs="Arial" w:eastAsia="Arial" w:hAnsi="Arial"/>
          <w:sz w:val="15"/>
          <w:szCs w:val="15"/>
          <w:color w:val="auto"/>
        </w:rPr>
        <w:t>Participant acknowledges and agrees that none of the Company, the Employer, or any Parent or Subsidiary shall be liable for any foreign exchange rate fluctuation between the Euro and the United States Dollar that may affect the value of the Option or of any amounts due to Participant pursuant to the exercise of the Option or the subsequent sale of any Shares acquired upon exercise; and</w:t>
      </w:r>
    </w:p>
    <w:p>
      <w:pPr>
        <w:spacing w:after="0" w:line="123" w:lineRule="exact"/>
        <w:rPr>
          <w:rFonts w:ascii="Arial" w:cs="Arial" w:eastAsia="Arial" w:hAnsi="Arial"/>
          <w:sz w:val="15"/>
          <w:szCs w:val="15"/>
          <w:color w:val="auto"/>
        </w:rPr>
      </w:pPr>
    </w:p>
    <w:p>
      <w:pPr>
        <w:jc w:val="both"/>
        <w:ind w:firstLine="760"/>
        <w:spacing w:after="0" w:line="260" w:lineRule="auto"/>
        <w:tabs>
          <w:tab w:leader="none" w:pos="1165" w:val="left"/>
        </w:tabs>
        <w:numPr>
          <w:ilvl w:val="1"/>
          <w:numId w:val="98"/>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 resulting from the termination of Participant’s engagement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the Company, any Parent, any Subsidiary or the Employer, waives his or her ability, if any, to bring any such claim, and releases the Company, any Parent or Subsidiary and the Employer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54" w:lineRule="exact"/>
        <w:rPr>
          <w:rFonts w:ascii="Arial" w:cs="Arial" w:eastAsia="Arial" w:hAnsi="Arial"/>
          <w:sz w:val="16"/>
          <w:szCs w:val="16"/>
          <w:color w:val="auto"/>
        </w:rPr>
      </w:pPr>
    </w:p>
    <w:p>
      <w:pPr>
        <w:jc w:val="both"/>
        <w:ind w:firstLine="552"/>
        <w:spacing w:after="0" w:line="248" w:lineRule="auto"/>
        <w:tabs>
          <w:tab w:leader="none" w:pos="876"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No Advice Regarding Grant</w:t>
      </w:r>
      <w:r>
        <w:rPr>
          <w:rFonts w:ascii="Arial" w:cs="Arial" w:eastAsia="Arial" w:hAnsi="Arial"/>
          <w:sz w:val="17"/>
          <w:szCs w:val="17"/>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60" w:lineRule="exact"/>
        <w:rPr>
          <w:rFonts w:ascii="Arial" w:cs="Arial" w:eastAsia="Arial" w:hAnsi="Arial"/>
          <w:sz w:val="17"/>
          <w:szCs w:val="17"/>
          <w:color w:val="auto"/>
        </w:rPr>
      </w:pPr>
    </w:p>
    <w:p>
      <w:pPr>
        <w:jc w:val="both"/>
        <w:ind w:firstLine="552"/>
        <w:spacing w:after="0" w:line="252" w:lineRule="auto"/>
        <w:tabs>
          <w:tab w:leader="none" w:pos="876"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Data Privacy</w:t>
      </w:r>
      <w:r>
        <w:rPr>
          <w:rFonts w:ascii="Arial" w:cs="Arial" w:eastAsia="Arial" w:hAnsi="Arial"/>
          <w:sz w:val="17"/>
          <w:szCs w:val="17"/>
          <w:color w:val="auto"/>
        </w:rPr>
        <w:t>. Participant hereby explicitly and unambiguously consents to the collection, use and transfer, in electronic or other form, of Participant’s personal data as described in this Award Agreement and any other Option grant materials by and among, as applicable, the Employer, the Company and any Parent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5937250" cy="222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2" w:right="1159" w:bottom="1440" w:gutter="0" w:footer="0" w:header="0"/>
        </w:sectPr>
      </w:pPr>
    </w:p>
    <w:bookmarkStart w:id="149" w:name="page150"/>
    <w:bookmarkEnd w:id="149"/>
    <w:p>
      <w:pPr>
        <w:jc w:val="both"/>
        <w:spacing w:after="0" w:line="275" w:lineRule="auto"/>
        <w:rPr>
          <w:sz w:val="20"/>
          <w:szCs w:val="20"/>
          <w:color w:val="auto"/>
        </w:rPr>
      </w:pPr>
      <w:r>
        <w:rPr>
          <w:rFonts w:ascii="Arial" w:cs="Arial" w:eastAsia="Arial" w:hAnsi="Arial"/>
          <w:sz w:val="15"/>
          <w:szCs w:val="15"/>
          <w:color w:val="auto"/>
        </w:rPr>
        <w:t>Subsidiary for the exclusive purpose of implementing, administering and managing Participant’s participation in the Plan.Participant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(“Data”), for the exclusive purpose of implementing, administering and managing the Plan. 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he or she may request a list with the names and addresses of any potential recipients of the Data by contacting his or her local human resources representative.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engagement as a Service Provider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46" w:lineRule="exact"/>
        <w:rPr>
          <w:sz w:val="20"/>
          <w:szCs w:val="20"/>
          <w:color w:val="auto"/>
        </w:rPr>
      </w:pPr>
    </w:p>
    <w:p>
      <w:pPr>
        <w:jc w:val="both"/>
        <w:ind w:firstLine="552"/>
        <w:spacing w:after="0" w:line="252" w:lineRule="auto"/>
        <w:tabs>
          <w:tab w:leader="none" w:pos="876"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Address for Notices</w:t>
      </w:r>
      <w:r>
        <w:rPr>
          <w:rFonts w:ascii="Arial" w:cs="Arial" w:eastAsia="Arial" w:hAnsi="Arial"/>
          <w:sz w:val="17"/>
          <w:szCs w:val="17"/>
          <w:color w:val="auto"/>
        </w:rPr>
        <w:t>. Any notice to be given to the Company under the terms of this Award Agreement will be addressed to the Company at Pulse Biosciences, Inc., 849 Mitten Rd. #104, Burlingame, CA 94010, or at such other address as the Company may hereafter designate in writing.</w:t>
      </w:r>
    </w:p>
    <w:p>
      <w:pPr>
        <w:spacing w:after="0" w:line="156" w:lineRule="exact"/>
        <w:rPr>
          <w:rFonts w:ascii="Arial" w:cs="Arial" w:eastAsia="Arial" w:hAnsi="Arial"/>
          <w:sz w:val="17"/>
          <w:szCs w:val="17"/>
          <w:color w:val="auto"/>
        </w:rPr>
      </w:pPr>
    </w:p>
    <w:p>
      <w:pPr>
        <w:ind w:firstLine="552"/>
        <w:spacing w:after="0" w:line="264" w:lineRule="auto"/>
        <w:tabs>
          <w:tab w:leader="none" w:pos="876"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 This Option may not be transferred in any manner otherwise than by will or by the laws of descent or distribution and may be exercised during the lifetime of Participant only by Participant.</w:t>
      </w:r>
    </w:p>
    <w:p>
      <w:pPr>
        <w:spacing w:after="0" w:line="146" w:lineRule="exact"/>
        <w:rPr>
          <w:rFonts w:ascii="Arial" w:cs="Arial" w:eastAsia="Arial" w:hAnsi="Arial"/>
          <w:sz w:val="17"/>
          <w:szCs w:val="17"/>
          <w:color w:val="auto"/>
        </w:rPr>
      </w:pPr>
    </w:p>
    <w:p>
      <w:pPr>
        <w:jc w:val="both"/>
        <w:ind w:firstLine="552"/>
        <w:spacing w:after="0" w:line="246" w:lineRule="auto"/>
        <w:tabs>
          <w:tab w:leader="none" w:pos="899"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62" w:lineRule="exact"/>
        <w:rPr>
          <w:rFonts w:ascii="Arial" w:cs="Arial" w:eastAsia="Arial" w:hAnsi="Arial"/>
          <w:sz w:val="17"/>
          <w:szCs w:val="17"/>
          <w:color w:val="auto"/>
        </w:rPr>
      </w:pPr>
    </w:p>
    <w:p>
      <w:pPr>
        <w:jc w:val="both"/>
        <w:ind w:firstLine="552"/>
        <w:spacing w:after="0" w:line="246" w:lineRule="auto"/>
        <w:tabs>
          <w:tab w:leader="none" w:pos="887"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qualification or rule compliance of the Shares upon any applicable law, governmental regulatory body or the clearance, consent or approval of the United States Securities and Exchange Commission or any other governmental regulatory authority is necessary or desirable as a condition to the purchase by, or issuance of Shares, to Participant (or his or her estate) hereunder, such purchase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295910</wp:posOffset>
            </wp:positionV>
            <wp:extent cx="5937250" cy="222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9">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6" w:right="1159" w:bottom="1440" w:gutter="0" w:footer="0" w:header="0"/>
        </w:sectPr>
      </w:pPr>
    </w:p>
    <w:bookmarkStart w:id="150" w:name="page151"/>
    <w:bookmarkEnd w:id="150"/>
    <w:p>
      <w:pPr>
        <w:jc w:val="both"/>
        <w:spacing w:after="0" w:line="246" w:lineRule="auto"/>
        <w:rPr>
          <w:sz w:val="20"/>
          <w:szCs w:val="20"/>
          <w:color w:val="auto"/>
        </w:rPr>
      </w:pPr>
      <w:r>
        <w:rPr>
          <w:rFonts w:ascii="Arial" w:cs="Arial" w:eastAsia="Arial" w:hAnsi="Arial"/>
          <w:sz w:val="17"/>
          <w:szCs w:val="17"/>
          <w:color w:val="auto"/>
        </w:rPr>
        <w:t>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exercise of the Option as the Administrator may establish from time to time for reasons of administrative convenience.</w:t>
      </w:r>
    </w:p>
    <w:p>
      <w:pPr>
        <w:spacing w:after="0" w:line="162" w:lineRule="exact"/>
        <w:rPr>
          <w:sz w:val="20"/>
          <w:szCs w:val="20"/>
          <w:color w:val="auto"/>
        </w:rPr>
      </w:pPr>
    </w:p>
    <w:p>
      <w:pPr>
        <w:jc w:val="both"/>
        <w:ind w:firstLine="552"/>
        <w:spacing w:after="0" w:line="252" w:lineRule="auto"/>
        <w:tabs>
          <w:tab w:leader="none" w:pos="887"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56" w:lineRule="exact"/>
        <w:rPr>
          <w:rFonts w:ascii="Arial" w:cs="Arial" w:eastAsia="Arial" w:hAnsi="Arial"/>
          <w:sz w:val="17"/>
          <w:szCs w:val="17"/>
          <w:color w:val="auto"/>
        </w:rPr>
      </w:pPr>
    </w:p>
    <w:p>
      <w:pPr>
        <w:jc w:val="both"/>
        <w:ind w:firstLine="552"/>
        <w:spacing w:after="0" w:line="263" w:lineRule="auto"/>
        <w:tabs>
          <w:tab w:leader="none" w:pos="887"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50" w:lineRule="exact"/>
        <w:rPr>
          <w:rFonts w:ascii="Arial" w:cs="Arial" w:eastAsia="Arial" w:hAnsi="Arial"/>
          <w:sz w:val="16"/>
          <w:szCs w:val="16"/>
          <w:color w:val="auto"/>
        </w:rPr>
      </w:pPr>
    </w:p>
    <w:p>
      <w:pPr>
        <w:jc w:val="both"/>
        <w:ind w:firstLine="552"/>
        <w:spacing w:after="0" w:line="246" w:lineRule="auto"/>
        <w:tabs>
          <w:tab w:leader="none" w:pos="876"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62" w:lineRule="exact"/>
        <w:rPr>
          <w:rFonts w:ascii="Arial" w:cs="Arial" w:eastAsia="Arial" w:hAnsi="Arial"/>
          <w:sz w:val="17"/>
          <w:szCs w:val="17"/>
          <w:color w:val="auto"/>
        </w:rPr>
      </w:pPr>
    </w:p>
    <w:p>
      <w:pPr>
        <w:ind w:firstLine="552"/>
        <w:spacing w:after="0" w:line="264" w:lineRule="auto"/>
        <w:tabs>
          <w:tab w:leader="none" w:pos="910"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provided herein are for convenience only and are not to serve as a basis for interpretation or construction of this Award Agreement.</w:t>
      </w:r>
    </w:p>
    <w:p>
      <w:pPr>
        <w:spacing w:after="0" w:line="146" w:lineRule="exact"/>
        <w:rPr>
          <w:rFonts w:ascii="Arial" w:cs="Arial" w:eastAsia="Arial" w:hAnsi="Arial"/>
          <w:sz w:val="17"/>
          <w:szCs w:val="17"/>
          <w:color w:val="auto"/>
        </w:rPr>
      </w:pPr>
    </w:p>
    <w:p>
      <w:pPr>
        <w:jc w:val="both"/>
        <w:ind w:firstLine="552"/>
        <w:spacing w:after="0" w:line="252" w:lineRule="auto"/>
        <w:tabs>
          <w:tab w:leader="none" w:pos="876"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56" w:lineRule="exact"/>
        <w:rPr>
          <w:rFonts w:ascii="Arial" w:cs="Arial" w:eastAsia="Arial" w:hAnsi="Arial"/>
          <w:sz w:val="17"/>
          <w:szCs w:val="17"/>
          <w:color w:val="auto"/>
        </w:rPr>
      </w:pPr>
    </w:p>
    <w:p>
      <w:pPr>
        <w:jc w:val="both"/>
        <w:ind w:firstLine="552"/>
        <w:spacing w:after="0" w:line="275" w:lineRule="auto"/>
        <w:tabs>
          <w:tab w:leader="none" w:pos="876"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Amendment, Suspension or Termination of the Plan</w:t>
      </w:r>
      <w:r>
        <w:rPr>
          <w:rFonts w:ascii="Arial" w:cs="Arial" w:eastAsia="Arial" w:hAnsi="Arial"/>
          <w:sz w:val="16"/>
          <w:szCs w:val="16"/>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39" w:lineRule="exact"/>
        <w:rPr>
          <w:rFonts w:ascii="Arial" w:cs="Arial" w:eastAsia="Arial" w:hAnsi="Arial"/>
          <w:sz w:val="16"/>
          <w:szCs w:val="16"/>
          <w:color w:val="auto"/>
        </w:rPr>
      </w:pPr>
    </w:p>
    <w:p>
      <w:pPr>
        <w:jc w:val="both"/>
        <w:ind w:firstLine="552"/>
        <w:spacing w:after="0" w:line="246" w:lineRule="auto"/>
        <w:tabs>
          <w:tab w:leader="none" w:pos="876"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Award Agreement will be governed by the laws of California, without giving effect to the conflict of law principles thereof. For purposes of litigating any dispute that arises under this Option or this Award Agreement, the parties hereby submit to and consent to the jurisdiction of the State of California, and agree that such litigation will be conducted in the courts of San Francisco, California, or the federal courts for the United States for the Northern District of California, and no other courts, where this Option is made and/or to be performed.</w:t>
      </w:r>
    </w:p>
    <w:p>
      <w:pPr>
        <w:spacing w:after="0" w:line="162" w:lineRule="exact"/>
        <w:rPr>
          <w:rFonts w:ascii="Arial" w:cs="Arial" w:eastAsia="Arial" w:hAnsi="Arial"/>
          <w:sz w:val="17"/>
          <w:szCs w:val="17"/>
          <w:color w:val="auto"/>
        </w:rPr>
      </w:pPr>
    </w:p>
    <w:p>
      <w:pPr>
        <w:jc w:val="both"/>
        <w:ind w:firstLine="552"/>
        <w:spacing w:after="0" w:line="248" w:lineRule="auto"/>
        <w:tabs>
          <w:tab w:leader="none" w:pos="876"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Country Addendum</w:t>
      </w:r>
      <w:r>
        <w:rPr>
          <w:rFonts w:ascii="Arial" w:cs="Arial" w:eastAsia="Arial" w:hAnsi="Arial"/>
          <w:sz w:val="17"/>
          <w:szCs w:val="17"/>
          <w:color w:val="auto"/>
        </w:rPr>
        <w:t>. Notwithstanding any provisions in this Award Agreement, this Option shall be subject to any special terms and conditions set forth in any appendix to this Award Agreement for Participant’s country (the “Country Addendum”). Moreover, if Participant relocates to one of the countries included in the Country Addendum, the special terms and conditions for such country will apply to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5937250" cy="222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0">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6" w:right="1159" w:bottom="1440" w:gutter="0" w:footer="0" w:header="0"/>
        </w:sectPr>
      </w:pPr>
    </w:p>
    <w:bookmarkStart w:id="151" w:name="page152"/>
    <w:bookmarkEnd w:id="151"/>
    <w:p>
      <w:pPr>
        <w:spacing w:after="0" w:line="263" w:lineRule="auto"/>
        <w:rPr>
          <w:sz w:val="20"/>
          <w:szCs w:val="20"/>
          <w:color w:val="auto"/>
        </w:rPr>
      </w:pPr>
      <w:r>
        <w:rPr>
          <w:rFonts w:ascii="Arial" w:cs="Arial" w:eastAsia="Arial" w:hAnsi="Arial"/>
          <w:sz w:val="17"/>
          <w:szCs w:val="17"/>
          <w:color w:val="auto"/>
        </w:rPr>
        <w:t>to the extent the Company determines that the application of such terms and conditions is necessary or advisable for legal or administrative reasons. The Country Addendum constitutes part of this Award Agreement.</w:t>
      </w:r>
    </w:p>
    <w:p>
      <w:pPr>
        <w:spacing w:after="0" w:line="147" w:lineRule="exact"/>
        <w:rPr>
          <w:sz w:val="20"/>
          <w:szCs w:val="20"/>
          <w:color w:val="auto"/>
        </w:rPr>
      </w:pPr>
    </w:p>
    <w:p>
      <w:pPr>
        <w:jc w:val="both"/>
        <w:ind w:firstLine="552"/>
        <w:spacing w:after="0" w:line="248" w:lineRule="auto"/>
        <w:tabs>
          <w:tab w:leader="none" w:pos="876"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Modifications to the Agreement</w:t>
      </w:r>
      <w:r>
        <w:rPr>
          <w:rFonts w:ascii="Arial" w:cs="Arial" w:eastAsia="Arial" w:hAnsi="Arial"/>
          <w:sz w:val="17"/>
          <w:szCs w:val="17"/>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w:t>
      </w:r>
    </w:p>
    <w:p>
      <w:pPr>
        <w:spacing w:after="0" w:line="160" w:lineRule="exact"/>
        <w:rPr>
          <w:rFonts w:ascii="Arial" w:cs="Arial" w:eastAsia="Arial" w:hAnsi="Arial"/>
          <w:sz w:val="17"/>
          <w:szCs w:val="17"/>
          <w:color w:val="auto"/>
        </w:rPr>
      </w:pPr>
    </w:p>
    <w:p>
      <w:pPr>
        <w:jc w:val="both"/>
        <w:ind w:firstLine="552"/>
        <w:spacing w:after="0" w:line="248" w:lineRule="auto"/>
        <w:tabs>
          <w:tab w:leader="none" w:pos="876"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60" w:lineRule="exact"/>
        <w:rPr>
          <w:rFonts w:ascii="Arial" w:cs="Arial" w:eastAsia="Arial" w:hAnsi="Arial"/>
          <w:sz w:val="17"/>
          <w:szCs w:val="17"/>
          <w:color w:val="auto"/>
        </w:rPr>
      </w:pPr>
    </w:p>
    <w:p>
      <w:pPr>
        <w:jc w:val="both"/>
        <w:ind w:firstLine="552"/>
        <w:spacing w:after="0" w:line="246" w:lineRule="auto"/>
        <w:tabs>
          <w:tab w:leader="none" w:pos="887"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Tax Consequences</w:t>
      </w:r>
      <w:r>
        <w:rPr>
          <w:rFonts w:ascii="Arial" w:cs="Arial" w:eastAsia="Arial" w:hAnsi="Arial"/>
          <w:sz w:val="17"/>
          <w:szCs w:val="17"/>
          <w:color w:val="auto"/>
        </w:rPr>
        <w:t>. Participant has reviewed with its own tax advisors the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544830</wp:posOffset>
            </wp:positionV>
            <wp:extent cx="5937250" cy="222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1">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6" w:right="115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COUNTRY ADDENDUM</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Country Addendum includes additional terms and conditions that govern the Option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Option, the Company will, in its discretion, determine the extent to which the terms and conditions contained herein will be applicable to Participant.</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Certain capitalized terms used but not defined in this Country Addendum shall have the meanings set forth in the Plan, the and/or the Award Agreement to which this Country Addendum is attached.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Country Addendum also includes notifications relating to exchange control and other issues of which Participant should be aware with respect to his or her participation in the Plan.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exercises the Option or sells Shares acquired under the Plan.</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Finally, if Participant is a citizen or resident of a country other than the one in which Participant is currently working (or is considered as such for local law purposes) or if Participant moves to another country after the Option is granted, the information contained herein may not be applicable to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2378075</wp:posOffset>
            </wp:positionV>
            <wp:extent cx="5937250" cy="222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2">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153" w:name="page154"/>
    <w:bookmarkEnd w:id="153"/>
    <w:p>
      <w:pPr>
        <w:jc w:val="center"/>
        <w:ind w:right="20"/>
        <w:spacing w:after="0"/>
        <w:rPr>
          <w:sz w:val="20"/>
          <w:szCs w:val="20"/>
          <w:color w:val="auto"/>
        </w:rPr>
      </w:pPr>
      <w:r>
        <w:rPr>
          <w:rFonts w:ascii="Arial" w:cs="Arial" w:eastAsia="Arial" w:hAnsi="Arial"/>
          <w:sz w:val="17"/>
          <w:szCs w:val="17"/>
          <w:b w:val="1"/>
          <w:bCs w:val="1"/>
          <w:u w:val="single" w:color="auto"/>
          <w:color w:val="auto"/>
        </w:rPr>
        <w:t>EXHIBIT A</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PULSE BIOSCIENCES,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EXERCISE NOTICE</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PARTICIPANTS SUBJECT TO TAX IN GERMANY</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Pulse Biosciences, Inc.</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3957 Point Eden Way,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Hayward, CA 94545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Attention: Stock Administration</w:t>
      </w:r>
    </w:p>
    <w:p>
      <w:pPr>
        <w:spacing w:after="0" w:line="367" w:lineRule="exact"/>
        <w:rPr>
          <w:sz w:val="20"/>
          <w:szCs w:val="20"/>
          <w:color w:val="auto"/>
        </w:rPr>
      </w:pPr>
    </w:p>
    <w:p>
      <w:pPr>
        <w:jc w:val="both"/>
        <w:ind w:right="20" w:firstLine="552"/>
        <w:spacing w:after="0" w:line="265" w:lineRule="auto"/>
        <w:tabs>
          <w:tab w:leader="none" w:pos="899"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Effective as of today, ________________, _____, the undersigned (“Purchaser”) hereby elects to purchase ______________ shares (the “Shares”) of the Common Stock of Pulse Biosciences, Inc. (the “Company”) under and pursuant to the 2017 Equity Incentive Plan (the “Plan”) and the Stock Option Agreement, dated ________ and including the Notice of Grant, the Terms and Conditions of Stock Option Grant, and appendices and exhibits attached thereto (the “Award Agreement”). The purchase price for the Shares will be $_____________, as required by the Award Agreement.</w:t>
      </w:r>
    </w:p>
    <w:p>
      <w:pPr>
        <w:spacing w:after="0" w:line="148" w:lineRule="exact"/>
        <w:rPr>
          <w:rFonts w:ascii="Arial" w:cs="Arial" w:eastAsia="Arial" w:hAnsi="Arial"/>
          <w:sz w:val="16"/>
          <w:szCs w:val="16"/>
          <w:color w:val="auto"/>
        </w:rPr>
      </w:pPr>
    </w:p>
    <w:p>
      <w:pPr>
        <w:ind w:right="20" w:firstLine="552"/>
        <w:spacing w:after="0" w:line="295" w:lineRule="auto"/>
        <w:tabs>
          <w:tab w:leader="none" w:pos="899"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Delivery of Payment</w:t>
      </w:r>
      <w:r>
        <w:rPr>
          <w:rFonts w:ascii="Arial" w:cs="Arial" w:eastAsia="Arial" w:hAnsi="Arial"/>
          <w:sz w:val="16"/>
          <w:szCs w:val="16"/>
          <w:color w:val="auto"/>
        </w:rPr>
        <w:t>. Purchaser herewith delivers to the Company the full purchase price of the Shares and any Tax Obligations (as defined in Section 7(a) of the Award Agreement) to be paid in connection with the exercise of the Option.</w:t>
      </w:r>
    </w:p>
    <w:p>
      <w:pPr>
        <w:spacing w:after="0" w:line="124" w:lineRule="exact"/>
        <w:rPr>
          <w:rFonts w:ascii="Arial" w:cs="Arial" w:eastAsia="Arial" w:hAnsi="Arial"/>
          <w:sz w:val="16"/>
          <w:szCs w:val="16"/>
          <w:color w:val="auto"/>
        </w:rPr>
      </w:pPr>
    </w:p>
    <w:p>
      <w:pPr>
        <w:ind w:right="20" w:firstLine="552"/>
        <w:spacing w:after="0" w:line="264" w:lineRule="auto"/>
        <w:tabs>
          <w:tab w:leader="none" w:pos="887"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Representations of Purchaser</w:t>
      </w:r>
      <w:r>
        <w:rPr>
          <w:rFonts w:ascii="Arial" w:cs="Arial" w:eastAsia="Arial" w:hAnsi="Arial"/>
          <w:sz w:val="17"/>
          <w:szCs w:val="17"/>
          <w:color w:val="auto"/>
        </w:rPr>
        <w:t>. Purchaser acknowledges that Purchaser has received, read and understood the Plan and the Award Agreement and agrees to abide by and be bound by their terms and conditions.</w:t>
      </w:r>
    </w:p>
    <w:p>
      <w:pPr>
        <w:spacing w:after="0" w:line="146" w:lineRule="exact"/>
        <w:rPr>
          <w:rFonts w:ascii="Arial" w:cs="Arial" w:eastAsia="Arial" w:hAnsi="Arial"/>
          <w:sz w:val="17"/>
          <w:szCs w:val="17"/>
          <w:color w:val="auto"/>
        </w:rPr>
      </w:pPr>
    </w:p>
    <w:p>
      <w:pPr>
        <w:jc w:val="both"/>
        <w:ind w:right="20" w:firstLine="552"/>
        <w:spacing w:after="0" w:line="265" w:lineRule="auto"/>
        <w:tabs>
          <w:tab w:leader="none" w:pos="876"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15 of the Plan.</w:t>
      </w:r>
    </w:p>
    <w:p>
      <w:pPr>
        <w:spacing w:after="0" w:line="148" w:lineRule="exact"/>
        <w:rPr>
          <w:rFonts w:ascii="Arial" w:cs="Arial" w:eastAsia="Arial" w:hAnsi="Arial"/>
          <w:sz w:val="16"/>
          <w:szCs w:val="16"/>
          <w:color w:val="auto"/>
        </w:rPr>
      </w:pPr>
    </w:p>
    <w:p>
      <w:pPr>
        <w:jc w:val="both"/>
        <w:ind w:right="20" w:firstLine="552"/>
        <w:spacing w:after="0" w:line="248" w:lineRule="auto"/>
        <w:tabs>
          <w:tab w:leader="none" w:pos="887"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60" w:lineRule="exact"/>
        <w:rPr>
          <w:rFonts w:ascii="Arial" w:cs="Arial" w:eastAsia="Arial" w:hAnsi="Arial"/>
          <w:sz w:val="17"/>
          <w:szCs w:val="17"/>
          <w:color w:val="auto"/>
        </w:rPr>
      </w:pPr>
    </w:p>
    <w:p>
      <w:pPr>
        <w:jc w:val="both"/>
        <w:ind w:right="20" w:firstLine="552"/>
        <w:spacing w:after="0" w:line="265" w:lineRule="auto"/>
        <w:tabs>
          <w:tab w:leader="none" w:pos="887"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40" w:type="dxa"/>
            <w:vAlign w:val="bottom"/>
          </w:tcPr>
          <w:p>
            <w:pPr>
              <w:spacing w:after="0"/>
              <w:rPr>
                <w:sz w:val="20"/>
                <w:szCs w:val="20"/>
                <w:color w:val="auto"/>
              </w:rPr>
            </w:pPr>
            <w:r>
              <w:rPr>
                <w:rFonts w:ascii="Arial" w:cs="Arial" w:eastAsia="Arial" w:hAnsi="Arial"/>
                <w:sz w:val="17"/>
                <w:szCs w:val="17"/>
                <w:color w:val="auto"/>
              </w:rPr>
              <w:t>Submitted by:</w:t>
            </w:r>
          </w:p>
        </w:tc>
        <w:tc>
          <w:tcPr>
            <w:tcW w:w="6700" w:type="dxa"/>
            <w:vAlign w:val="bottom"/>
          </w:tcPr>
          <w:p>
            <w:pPr>
              <w:ind w:left="1640"/>
              <w:spacing w:after="0"/>
              <w:rPr>
                <w:sz w:val="20"/>
                <w:szCs w:val="20"/>
                <w:color w:val="auto"/>
              </w:rPr>
            </w:pPr>
            <w:r>
              <w:rPr>
                <w:rFonts w:ascii="Arial" w:cs="Arial" w:eastAsia="Arial" w:hAnsi="Arial"/>
                <w:sz w:val="17"/>
                <w:szCs w:val="17"/>
                <w:color w:val="auto"/>
              </w:rPr>
              <w:t>Accepted by:</w:t>
            </w:r>
          </w:p>
        </w:tc>
      </w:tr>
      <w:tr>
        <w:trPr>
          <w:trHeight w:val="380"/>
        </w:trPr>
        <w:tc>
          <w:tcPr>
            <w:tcW w:w="2640" w:type="dxa"/>
            <w:vAlign w:val="bottom"/>
          </w:tcPr>
          <w:p>
            <w:pPr>
              <w:spacing w:after="0"/>
              <w:rPr>
                <w:sz w:val="20"/>
                <w:szCs w:val="20"/>
                <w:color w:val="auto"/>
              </w:rPr>
            </w:pPr>
            <w:r>
              <w:rPr>
                <w:rFonts w:ascii="Arial" w:cs="Arial" w:eastAsia="Arial" w:hAnsi="Arial"/>
                <w:sz w:val="17"/>
                <w:szCs w:val="17"/>
                <w:color w:val="auto"/>
              </w:rPr>
              <w:t>PURCHASER</w:t>
            </w:r>
          </w:p>
        </w:tc>
        <w:tc>
          <w:tcPr>
            <w:tcW w:w="6700" w:type="dxa"/>
            <w:vAlign w:val="bottom"/>
          </w:tcPr>
          <w:p>
            <w:pPr>
              <w:ind w:left="1680"/>
              <w:spacing w:after="0"/>
              <w:rPr>
                <w:sz w:val="20"/>
                <w:szCs w:val="20"/>
                <w:color w:val="auto"/>
              </w:rPr>
            </w:pPr>
            <w:r>
              <w:rPr>
                <w:rFonts w:ascii="Arial" w:cs="Arial" w:eastAsia="Arial" w:hAnsi="Arial"/>
                <w:sz w:val="17"/>
                <w:szCs w:val="17"/>
                <w:color w:val="auto"/>
              </w:rPr>
              <w:t>PULSE BIOSCIENCES, INC.</w:t>
            </w:r>
          </w:p>
        </w:tc>
      </w:tr>
      <w:tr>
        <w:trPr>
          <w:trHeight w:val="469"/>
        </w:trPr>
        <w:tc>
          <w:tcPr>
            <w:tcW w:w="264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r>
      <w:tr>
        <w:trPr>
          <w:trHeight w:val="20"/>
        </w:trPr>
        <w:tc>
          <w:tcPr>
            <w:tcW w:w="2640" w:type="dxa"/>
            <w:vAlign w:val="bottom"/>
            <w:tcBorders>
              <w:bottom w:val="single" w:sz="8" w:color="EEEEEE"/>
            </w:tcBorders>
          </w:tcPr>
          <w:p>
            <w:pPr>
              <w:spacing w:after="0" w:line="20" w:lineRule="exact"/>
              <w:rPr>
                <w:sz w:val="1"/>
                <w:szCs w:val="1"/>
                <w:color w:val="auto"/>
              </w:rPr>
            </w:pPr>
          </w:p>
        </w:tc>
        <w:tc>
          <w:tcPr>
            <w:tcW w:w="6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-13970</wp:posOffset>
            </wp:positionV>
            <wp:extent cx="7620" cy="146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-21590</wp:posOffset>
            </wp:positionV>
            <wp:extent cx="7620" cy="222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4">
                      <a:extLst>
                        <a:ext uri="{28A0092B-C50C-407E-A947-70E740481C1C}"/>
                      </a:extLst>
                    </a:blip>
                    <a:srcRect/>
                    <a:stretch>
                      <a:fillRect/>
                    </a:stretch>
                  </pic:blipFill>
                  <pic:spPr bwMode="auto">
                    <a:xfrm>
                      <a:off x="0" y="0"/>
                      <a:ext cx="7620" cy="22225"/>
                    </a:xfrm>
                    <a:prstGeom prst="rect">
                      <a:avLst/>
                    </a:prstGeom>
                    <a:noFill/>
                  </pic:spPr>
                </pic:pic>
              </a:graphicData>
            </a:graphic>
          </wp:anchor>
        </w:drawing>
      </w:r>
    </w:p>
    <w:p>
      <w:pPr>
        <w:sectPr>
          <w:pgSz w:w="11900" w:h="16838" w:orient="portrait"/>
          <w:cols w:equalWidth="0" w:num="1">
            <w:col w:w="9340"/>
          </w:cols>
          <w:pgMar w:left="1420" w:top="120" w:right="11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15"/>
        </w:trPr>
        <w:tc>
          <w:tcPr>
            <w:tcW w:w="238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1880" w:type="dxa"/>
            <w:vAlign w:val="bottom"/>
          </w:tcPr>
          <w:p>
            <w:pPr>
              <w:ind w:left="1580"/>
              <w:spacing w:after="0"/>
              <w:rPr>
                <w:sz w:val="20"/>
                <w:szCs w:val="20"/>
                <w:color w:val="auto"/>
              </w:rPr>
            </w:pPr>
            <w:r>
              <w:rPr>
                <w:rFonts w:ascii="Arial" w:cs="Arial" w:eastAsia="Arial" w:hAnsi="Arial"/>
                <w:sz w:val="17"/>
                <w:szCs w:val="17"/>
                <w:color w:val="auto"/>
              </w:rPr>
              <w:t>By</w:t>
            </w:r>
          </w:p>
        </w:tc>
      </w:tr>
      <w:tr>
        <w:trPr>
          <w:trHeight w:val="576"/>
        </w:trPr>
        <w:tc>
          <w:tcPr>
            <w:tcW w:w="2380" w:type="dxa"/>
            <w:vAlign w:val="bottom"/>
            <w:gridSpan w:val="2"/>
          </w:tcPr>
          <w:p>
            <w:pPr>
              <w:spacing w:after="0"/>
              <w:rPr>
                <w:sz w:val="20"/>
                <w:szCs w:val="20"/>
                <w:color w:val="auto"/>
              </w:rPr>
            </w:pPr>
            <w:r>
              <w:rPr>
                <w:rFonts w:ascii="Arial" w:cs="Arial" w:eastAsia="Arial" w:hAnsi="Arial"/>
                <w:sz w:val="17"/>
                <w:szCs w:val="17"/>
                <w:color w:val="auto"/>
              </w:rPr>
              <w:t>Print Name</w:t>
            </w:r>
          </w:p>
        </w:tc>
        <w:tc>
          <w:tcPr>
            <w:tcW w:w="1880" w:type="dxa"/>
            <w:vAlign w:val="bottom"/>
          </w:tcPr>
          <w:p>
            <w:pPr>
              <w:ind w:left="1720"/>
              <w:spacing w:after="0"/>
              <w:rPr>
                <w:sz w:val="20"/>
                <w:szCs w:val="20"/>
                <w:color w:val="auto"/>
              </w:rPr>
            </w:pPr>
            <w:r>
              <w:rPr>
                <w:rFonts w:ascii="Arial" w:cs="Arial" w:eastAsia="Arial" w:hAnsi="Arial"/>
                <w:sz w:val="17"/>
                <w:szCs w:val="17"/>
                <w:color w:val="auto"/>
                <w:w w:val="77"/>
              </w:rPr>
              <w:t>Its</w:t>
            </w:r>
          </w:p>
        </w:tc>
      </w:tr>
      <w:tr>
        <w:trPr>
          <w:trHeight w:val="342"/>
        </w:trPr>
        <w:tc>
          <w:tcPr>
            <w:tcW w:w="2380" w:type="dxa"/>
            <w:vAlign w:val="bottom"/>
            <w:gridSpan w:val="2"/>
          </w:tcPr>
          <w:p>
            <w:pPr>
              <w:spacing w:after="0"/>
              <w:rPr>
                <w:sz w:val="20"/>
                <w:szCs w:val="20"/>
                <w:color w:val="auto"/>
              </w:rPr>
            </w:pPr>
            <w:r>
              <w:rPr>
                <w:rFonts w:ascii="Arial" w:cs="Arial" w:eastAsia="Arial" w:hAnsi="Arial"/>
                <w:sz w:val="17"/>
                <w:szCs w:val="17"/>
                <w:color w:val="auto"/>
              </w:rPr>
              <w:t>Address:</w:t>
            </w:r>
          </w:p>
        </w:tc>
        <w:tc>
          <w:tcPr>
            <w:tcW w:w="188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4563110</wp:posOffset>
            </wp:positionV>
            <wp:extent cx="5937250" cy="222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039"/>
          </w:cols>
          <w:pgMar w:left="1420" w:top="713" w:right="1440" w:bottom="1440" w:gutter="0" w:footer="0" w:header="0"/>
        </w:sectPr>
      </w:pPr>
    </w:p>
    <w:bookmarkStart w:id="155" w:name="page156"/>
    <w:bookmarkEnd w:id="155"/>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19"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STOCK OPTION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PARTICIPANTS SUBJECT TO TAX IN SPAIN</w:t>
      </w:r>
    </w:p>
    <w:p>
      <w:pPr>
        <w:spacing w:after="0" w:line="381"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u w:val="single" w:color="auto"/>
          <w:color w:val="auto"/>
        </w:rPr>
        <w:t>NOTICE OF STOCK OPTION GRANT</w:t>
      </w:r>
    </w:p>
    <w:p>
      <w:pPr>
        <w:spacing w:after="0" w:line="189" w:lineRule="exact"/>
        <w:rPr>
          <w:sz w:val="20"/>
          <w:szCs w:val="20"/>
          <w:color w:val="auto"/>
        </w:rPr>
      </w:pPr>
    </w:p>
    <w:p>
      <w:pPr>
        <w:jc w:val="both"/>
        <w:ind w:firstLine="553"/>
        <w:spacing w:after="0" w:line="301" w:lineRule="auto"/>
        <w:rPr>
          <w:sz w:val="20"/>
          <w:szCs w:val="20"/>
          <w:color w:val="auto"/>
        </w:rPr>
      </w:pPr>
      <w:r>
        <w:rPr>
          <w:rFonts w:ascii="Arial" w:cs="Arial" w:eastAsia="Arial" w:hAnsi="Arial"/>
          <w:sz w:val="15"/>
          <w:szCs w:val="15"/>
          <w:color w:val="auto"/>
        </w:rPr>
        <w:t>Unless otherwise defined herein, the terms defined in the Pulse Biosciences, Inc. 2017 Equity Incentive Plan (the “Plan”) will have the same defined meanings in this Stock Option Agreement including the Notice of Stock Option Grant (the “Notice of Grant”), the Terms and Conditions of Stock Option Grant, and the appendices and exhibits attached thereto (all together, the “Award Agreement”).</w:t>
      </w:r>
    </w:p>
    <w:p>
      <w:pPr>
        <w:spacing w:after="0" w:line="119" w:lineRule="exact"/>
        <w:rPr>
          <w:sz w:val="20"/>
          <w:szCs w:val="20"/>
          <w:color w:val="auto"/>
        </w:rPr>
      </w:pPr>
    </w:p>
    <w:p>
      <w:pPr>
        <w:ind w:left="560"/>
        <w:spacing w:after="0"/>
        <w:tabs>
          <w:tab w:leader="none" w:pos="2700" w:val="left"/>
        </w:tabs>
        <w:rPr>
          <w:sz w:val="20"/>
          <w:szCs w:val="20"/>
          <w:color w:val="auto"/>
        </w:rPr>
      </w:pPr>
      <w:r>
        <w:rPr>
          <w:rFonts w:ascii="Arial" w:cs="Arial" w:eastAsia="Arial" w:hAnsi="Arial"/>
          <w:sz w:val="17"/>
          <w:szCs w:val="17"/>
          <w:b w:val="1"/>
          <w:bCs w:val="1"/>
          <w:color w:val="auto"/>
        </w:rPr>
        <w:t>Name (“Participant”):</w:t>
      </w:r>
      <w:r>
        <w:rPr>
          <w:sz w:val="20"/>
          <w:szCs w:val="20"/>
          <w:color w:val="auto"/>
        </w:rPr>
        <w:tab/>
      </w:r>
      <w:r>
        <w:rPr>
          <w:rFonts w:ascii="Arial" w:cs="Arial" w:eastAsia="Arial" w:hAnsi="Arial"/>
          <w:sz w:val="17"/>
          <w:szCs w:val="17"/>
          <w:color w:val="auto"/>
        </w:rPr>
        <w:t>[[</w:t>
      </w:r>
      <w:r>
        <w:rPr>
          <w:rFonts w:ascii="Arial" w:cs="Arial" w:eastAsia="Arial" w:hAnsi="Arial"/>
          <w:sz w:val="17"/>
          <w:szCs w:val="17"/>
          <w:color w:val="2B2105"/>
        </w:rPr>
        <w:t>FIRSTNAME]] [[LASTNAME]]</w:t>
      </w:r>
    </w:p>
    <w:p>
      <w:pPr>
        <w:spacing w:after="0" w:line="185" w:lineRule="exact"/>
        <w:rPr>
          <w:sz w:val="20"/>
          <w:szCs w:val="20"/>
          <w:color w:val="auto"/>
        </w:rPr>
      </w:pPr>
    </w:p>
    <w:p>
      <w:pPr>
        <w:ind w:left="560"/>
        <w:spacing w:after="0"/>
        <w:tabs>
          <w:tab w:leader="none" w:pos="2840" w:val="left"/>
        </w:tabs>
        <w:rPr>
          <w:sz w:val="20"/>
          <w:szCs w:val="20"/>
          <w:color w:val="auto"/>
        </w:rPr>
      </w:pPr>
      <w:r>
        <w:rPr>
          <w:rFonts w:ascii="Arial" w:cs="Arial" w:eastAsia="Arial" w:hAnsi="Arial"/>
          <w:sz w:val="17"/>
          <w:szCs w:val="17"/>
          <w:b w:val="1"/>
          <w:bCs w:val="1"/>
          <w:color w:val="auto"/>
        </w:rPr>
        <w:t>Address:</w:t>
      </w:r>
      <w:r>
        <w:rPr>
          <w:sz w:val="20"/>
          <w:szCs w:val="20"/>
          <w:color w:val="auto"/>
        </w:rPr>
        <w:tab/>
      </w:r>
      <w:r>
        <w:rPr>
          <w:rFonts w:ascii="Arial" w:cs="Arial" w:eastAsia="Arial" w:hAnsi="Arial"/>
          <w:sz w:val="17"/>
          <w:szCs w:val="17"/>
          <w:color w:val="auto"/>
        </w:rPr>
        <w:t>[[</w:t>
      </w:r>
      <w:r>
        <w:rPr>
          <w:rFonts w:ascii="Arial" w:cs="Arial" w:eastAsia="Arial" w:hAnsi="Arial"/>
          <w:sz w:val="17"/>
          <w:szCs w:val="17"/>
          <w:color w:val="2B2105"/>
        </w:rPr>
        <w:t>RESADDR1]]</w:t>
      </w:r>
    </w:p>
    <w:p>
      <w:pPr>
        <w:spacing w:after="0" w:line="19" w:lineRule="exact"/>
        <w:rPr>
          <w:sz w:val="20"/>
          <w:szCs w:val="20"/>
          <w:color w:val="auto"/>
        </w:rPr>
      </w:pPr>
    </w:p>
    <w:p>
      <w:pPr>
        <w:ind w:left="2760"/>
        <w:spacing w:after="0"/>
        <w:rPr>
          <w:sz w:val="20"/>
          <w:szCs w:val="20"/>
          <w:color w:val="auto"/>
        </w:rPr>
      </w:pPr>
      <w:r>
        <w:rPr>
          <w:rFonts w:ascii="Arial" w:cs="Arial" w:eastAsia="Arial" w:hAnsi="Arial"/>
          <w:sz w:val="17"/>
          <w:szCs w:val="17"/>
          <w:color w:val="2B2105"/>
        </w:rPr>
        <w:t>[[RESADDR2]]</w:t>
      </w:r>
    </w:p>
    <w:p>
      <w:pPr>
        <w:spacing w:after="0" w:line="1" w:lineRule="exact"/>
        <w:rPr>
          <w:sz w:val="20"/>
          <w:szCs w:val="20"/>
          <w:color w:val="auto"/>
        </w:rPr>
      </w:pPr>
    </w:p>
    <w:p>
      <w:pPr>
        <w:jc w:val="center"/>
        <w:ind w:right="-639"/>
        <w:spacing w:after="0"/>
        <w:rPr>
          <w:sz w:val="20"/>
          <w:szCs w:val="20"/>
          <w:color w:val="auto"/>
        </w:rPr>
      </w:pPr>
      <w:r>
        <w:rPr>
          <w:rFonts w:ascii="Arial" w:cs="Arial" w:eastAsia="Arial" w:hAnsi="Arial"/>
          <w:sz w:val="17"/>
          <w:szCs w:val="17"/>
          <w:color w:val="auto"/>
        </w:rPr>
        <w:t>[[RESCITY]],[[</w:t>
      </w:r>
      <w:r>
        <w:rPr>
          <w:rFonts w:ascii="Arial" w:cs="Arial" w:eastAsia="Arial" w:hAnsi="Arial"/>
          <w:sz w:val="17"/>
          <w:szCs w:val="17"/>
          <w:color w:val="2B2105"/>
        </w:rPr>
        <w:t>RESSTATEORPROV]]  [[RESPOSTALCODE]]</w:t>
      </w:r>
    </w:p>
    <w:p>
      <w:pPr>
        <w:spacing w:after="0" w:line="171"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7"/>
          <w:szCs w:val="17"/>
          <w:color w:val="auto"/>
        </w:rPr>
        <w:t>The undersigned Participant has been granted an Option to purchase Common Stock of Pulse Biosciences, Inc. (the “Company”), subject to the terms and conditions of the Plan and this Award Agreement, as follows:</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2280" w:type="dxa"/>
            <w:vAlign w:val="bottom"/>
            <w:gridSpan w:val="2"/>
          </w:tcPr>
          <w:p>
            <w:pPr>
              <w:spacing w:after="0"/>
              <w:rPr>
                <w:sz w:val="20"/>
                <w:szCs w:val="20"/>
                <w:color w:val="auto"/>
              </w:rPr>
            </w:pPr>
            <w:r>
              <w:rPr>
                <w:rFonts w:ascii="Arial" w:cs="Arial" w:eastAsia="Arial" w:hAnsi="Arial"/>
                <w:sz w:val="17"/>
                <w:szCs w:val="17"/>
                <w:color w:val="auto"/>
              </w:rPr>
              <w:t>Grant Number</w:t>
            </w:r>
          </w:p>
        </w:tc>
        <w:tc>
          <w:tcPr>
            <w:tcW w:w="3080" w:type="dxa"/>
            <w:vAlign w:val="bottom"/>
          </w:tcPr>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GRANTNUMBER]]</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Date of Grant</w:t>
            </w:r>
          </w:p>
        </w:tc>
        <w:tc>
          <w:tcPr>
            <w:tcW w:w="3080" w:type="dxa"/>
            <w:vAlign w:val="bottom"/>
          </w:tcPr>
          <w:p>
            <w:pPr>
              <w:ind w:left="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GRANTDATE]]</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w w:val="99"/>
              </w:rPr>
              <w:t>Vesting Commencement Date</w:t>
            </w:r>
          </w:p>
        </w:tc>
        <w:tc>
          <w:tcPr>
            <w:tcW w:w="3080" w:type="dxa"/>
            <w:vAlign w:val="bottom"/>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VESTINGSTARTDATE]]</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Number of Shares Granted</w:t>
            </w:r>
          </w:p>
        </w:tc>
        <w:tc>
          <w:tcPr>
            <w:tcW w:w="3080" w:type="dxa"/>
            <w:vAlign w:val="bottom"/>
          </w:tcPr>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SHARESGRANTED]]</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Exercise Price per Share</w:t>
            </w:r>
          </w:p>
        </w:tc>
        <w:tc>
          <w:tcPr>
            <w:tcW w:w="3080" w:type="dxa"/>
            <w:vAlign w:val="bottom"/>
          </w:tcPr>
          <w:p>
            <w:pPr>
              <w:ind w:left="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GRANTPRICE]]</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Total Exercise Price</w:t>
            </w:r>
          </w:p>
        </w:tc>
        <w:tc>
          <w:tcPr>
            <w:tcW w:w="3080" w:type="dxa"/>
            <w:vAlign w:val="bottom"/>
          </w:tcPr>
          <w:p>
            <w:pPr>
              <w:ind w:left="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MARKETPRICEATAWARD]]</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Term/Expiration Date</w:t>
            </w:r>
          </w:p>
        </w:tc>
        <w:tc>
          <w:tcPr>
            <w:tcW w:w="3080" w:type="dxa"/>
            <w:vAlign w:val="bottom"/>
          </w:tcPr>
          <w:p>
            <w:pPr>
              <w:ind w:left="8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2B2105"/>
                <w:w w:val="97"/>
              </w:rPr>
              <w:t>GRANTEXPIRATIONDATE]]</w:t>
            </w:r>
          </w:p>
        </w:tc>
      </w:tr>
      <w:tr>
        <w:trPr>
          <w:trHeight w:val="342"/>
        </w:trPr>
        <w:tc>
          <w:tcPr>
            <w:tcW w:w="2280" w:type="dxa"/>
            <w:vAlign w:val="bottom"/>
            <w:gridSpan w:val="2"/>
          </w:tcPr>
          <w:p>
            <w:pPr>
              <w:spacing w:after="0"/>
              <w:rPr>
                <w:sz w:val="20"/>
                <w:szCs w:val="20"/>
                <w:color w:val="auto"/>
              </w:rPr>
            </w:pPr>
            <w:r>
              <w:rPr>
                <w:rFonts w:ascii="Arial" w:cs="Arial" w:eastAsia="Arial" w:hAnsi="Arial"/>
                <w:sz w:val="17"/>
                <w:szCs w:val="17"/>
                <w:color w:val="auto"/>
              </w:rPr>
              <w:t>Vesting Schedule:</w:t>
            </w:r>
          </w:p>
        </w:tc>
        <w:tc>
          <w:tcPr>
            <w:tcW w:w="3080" w:type="dxa"/>
            <w:vAlign w:val="bottom"/>
          </w:tcPr>
          <w:p>
            <w:pPr>
              <w:spacing w:after="0"/>
              <w:rPr>
                <w:sz w:val="24"/>
                <w:szCs w:val="24"/>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7"/>
          <w:szCs w:val="17"/>
          <w:color w:val="auto"/>
        </w:rPr>
        <w:t>Subject to accelerated vesting as set forth below or in the Plan, this Option will be exercisable, in whole or in part, in accordance with the following schedule: [[</w:t>
      </w:r>
      <w:r>
        <w:rPr>
          <w:rFonts w:ascii="Arial" w:cs="Arial" w:eastAsia="Arial" w:hAnsi="Arial"/>
          <w:sz w:val="17"/>
          <w:szCs w:val="17"/>
          <w:color w:val="2B2105"/>
        </w:rPr>
        <w:t>VESTINGTEMPLATEDESC]]</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u w:val="single" w:color="auto"/>
          <w:color w:val="auto"/>
        </w:rPr>
        <w:t>Termination Period</w:t>
      </w:r>
      <w:r>
        <w:rPr>
          <w:rFonts w:ascii="Arial" w:cs="Arial" w:eastAsia="Arial" w:hAnsi="Arial"/>
          <w:sz w:val="17"/>
          <w:szCs w:val="17"/>
          <w:color w:val="auto"/>
        </w:rPr>
        <w:t>:</w:t>
      </w:r>
    </w:p>
    <w:p>
      <w:pPr>
        <w:spacing w:after="0" w:line="185" w:lineRule="exact"/>
        <w:rPr>
          <w:sz w:val="20"/>
          <w:szCs w:val="20"/>
          <w:color w:val="auto"/>
        </w:rPr>
      </w:pPr>
    </w:p>
    <w:p>
      <w:pPr>
        <w:jc w:val="both"/>
        <w:ind w:firstLine="553"/>
        <w:spacing w:after="0" w:line="268" w:lineRule="auto"/>
        <w:rPr>
          <w:sz w:val="20"/>
          <w:szCs w:val="20"/>
          <w:color w:val="auto"/>
        </w:rPr>
      </w:pPr>
      <w:r>
        <w:rPr>
          <w:rFonts w:ascii="Arial" w:cs="Arial" w:eastAsia="Arial" w:hAnsi="Arial"/>
          <w:sz w:val="16"/>
          <w:szCs w:val="16"/>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 sentence, in no event may this Option be exercised after the Term/Expiration Date as provided above and may be subject to earlier termination as provided in Section 15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5937250" cy="222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6">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709" w:right="1159" w:bottom="1440" w:gutter="0" w:footer="0" w:header="0"/>
        </w:sectPr>
      </w:pPr>
    </w:p>
    <w:bookmarkStart w:id="156" w:name="page157"/>
    <w:bookmarkEnd w:id="156"/>
    <w:p>
      <w:pPr>
        <w:jc w:val="both"/>
        <w:ind w:firstLine="553"/>
        <w:spacing w:after="0" w:line="263" w:lineRule="auto"/>
        <w:rPr>
          <w:sz w:val="20"/>
          <w:szCs w:val="20"/>
          <w:color w:val="auto"/>
        </w:rPr>
      </w:pPr>
      <w:r>
        <w:rPr>
          <w:rFonts w:ascii="Arial" w:cs="Arial" w:eastAsia="Arial" w:hAnsi="Arial"/>
          <w:sz w:val="16"/>
          <w:szCs w:val="16"/>
          <w:color w:val="auto"/>
        </w:rPr>
        <w:t>Participant acknowledges receipt of a copy of the Plan and represents that he or she is familiar with the terms and provisions thereof, and hereby accepts this Award Agreement subject to all of the terms and provisions thereof. Participant has reviewed the Plan and this Award Agreement in their entirety, has had an opportunity to obtain the advice of counsel prior to executing this Award Agreement and fully understands all provisions of this Award Agreement. Participant hereby agrees to accept as binding, conclusive and final all decisions or interpretations of the Administrator upon any questions arising under the Plan or this Award Agreement. Participant further agrees to notify the Company upon any change in the residence address indicated below.</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PULSE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1317625" cy="402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7">
                      <a:extLst>
                        <a:ext uri="{28A0092B-C50C-407E-A947-70E740481C1C}"/>
                      </a:extLst>
                    </a:blip>
                    <a:srcRect/>
                    <a:stretch>
                      <a:fillRect/>
                    </a:stretch>
                  </pic:blipFill>
                  <pic:spPr bwMode="auto">
                    <a:xfrm>
                      <a:off x="0" y="0"/>
                      <a:ext cx="131762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Sandra Gardiner, Chief Financial Officer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PARTICIPANT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ACCEPTED: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rPr>
          <w:sz w:val="20"/>
          <w:szCs w:val="20"/>
          <w:color w:val="auto"/>
        </w:rPr>
      </w:pPr>
      <w:r>
        <w:rPr>
          <w:rFonts w:ascii="Arial" w:cs="Arial" w:eastAsia="Arial" w:hAnsi="Arial"/>
          <w:sz w:val="17"/>
          <w:szCs w:val="17"/>
          <w:color w:val="auto"/>
        </w:rPr>
        <w:t>Signature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[[SIGNATURE_DATE]]</w:t>
      </w:r>
    </w:p>
    <w:p>
      <w:pPr>
        <w:spacing w:after="0"/>
        <w:rPr>
          <w:sz w:val="20"/>
          <w:szCs w:val="20"/>
          <w:color w:val="auto"/>
        </w:rPr>
      </w:pPr>
      <w:r>
        <w:rPr>
          <w:rFonts w:ascii="Arial" w:cs="Arial" w:eastAsia="Arial" w:hAnsi="Arial"/>
          <w:sz w:val="17"/>
          <w:szCs w:val="17"/>
          <w:color w:val="auto"/>
        </w:rPr>
        <w:t>Date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u w:val="single" w:color="auto"/>
          <w:color w:val="2B2105"/>
        </w:rPr>
        <w:t>FIRSTNAME]] [[LASTNAME]]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Print Name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RESADDR1]]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B2105"/>
        </w:rPr>
        <w:t>[[RESADDR2]]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[[RESCITY]], [[</w:t>
      </w:r>
      <w:r>
        <w:rPr>
          <w:rFonts w:ascii="Arial" w:cs="Arial" w:eastAsia="Arial" w:hAnsi="Arial"/>
          <w:sz w:val="17"/>
          <w:szCs w:val="17"/>
          <w:color w:val="2B2105"/>
        </w:rPr>
        <w:t>RESSTATEORPROV]] [[RESPOSTALCODE]]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791210</wp:posOffset>
            </wp:positionV>
            <wp:extent cx="5937250" cy="222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8">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20"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STOCK OPTION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PARTICIPANTS SUBJECT TO TAX IN SPAIN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TERMS AND CONDITIONS OF STOCK OPTION GRANT</w:t>
      </w:r>
    </w:p>
    <w:p>
      <w:pPr>
        <w:spacing w:after="0" w:line="189" w:lineRule="exact"/>
        <w:rPr>
          <w:sz w:val="20"/>
          <w:szCs w:val="20"/>
          <w:color w:val="auto"/>
        </w:rPr>
      </w:pPr>
    </w:p>
    <w:p>
      <w:pPr>
        <w:jc w:val="both"/>
        <w:ind w:firstLine="552"/>
        <w:spacing w:after="0" w:line="284" w:lineRule="auto"/>
        <w:tabs>
          <w:tab w:leader="none" w:pos="887" w:val="left"/>
        </w:tabs>
        <w:numPr>
          <w:ilvl w:val="0"/>
          <w:numId w:val="104"/>
        </w:numPr>
        <w:rPr>
          <w:rFonts w:ascii="Arial" w:cs="Arial" w:eastAsia="Arial" w:hAnsi="Arial"/>
          <w:sz w:val="15"/>
          <w:szCs w:val="15"/>
          <w:color w:val="auto"/>
        </w:rPr>
      </w:pPr>
      <w:r>
        <w:rPr>
          <w:rFonts w:ascii="Arial" w:cs="Arial" w:eastAsia="Arial" w:hAnsi="Arial"/>
          <w:sz w:val="15"/>
          <w:szCs w:val="15"/>
          <w:u w:val="single" w:color="auto"/>
          <w:color w:val="auto"/>
        </w:rPr>
        <w:t>Grant of Option</w:t>
      </w:r>
      <w:r>
        <w:rPr>
          <w:rFonts w:ascii="Arial" w:cs="Arial" w:eastAsia="Arial" w:hAnsi="Arial"/>
          <w:sz w:val="15"/>
          <w:szCs w:val="15"/>
          <w:color w:val="auto"/>
        </w:rPr>
        <w:t>. The Company hereby grants to the individual (the “Participant”) named in the Notice of Stock Option Grant of this Award Agreement (the “Notice of Grant”) an option (the “Option”) to purchase the number of Shares, as set forth in the Notice of Grant, at the exercise price per Share set forth in the Notice of Grant (the “Exercise Price”), which is not less than the Fair Market Value of per Share on the Date of Grant of the Option, subject to all of the terms and conditions in this Award Agreement and the Plan, which is incorporated herein by reference. Subject to Section 20(c) of the Plan, in the event of a conflict between the terms and conditions of the Plan and the terms and conditions of this Award Agreement, the terms and conditions of the Plan will prevail.</w:t>
      </w:r>
    </w:p>
    <w:p>
      <w:pPr>
        <w:spacing w:after="0" w:line="135" w:lineRule="exact"/>
        <w:rPr>
          <w:rFonts w:ascii="Arial" w:cs="Arial" w:eastAsia="Arial" w:hAnsi="Arial"/>
          <w:sz w:val="15"/>
          <w:szCs w:val="15"/>
          <w:color w:val="auto"/>
        </w:rPr>
      </w:pPr>
    </w:p>
    <w:p>
      <w:pPr>
        <w:jc w:val="both"/>
        <w:ind w:firstLine="552"/>
        <w:spacing w:after="0" w:line="268" w:lineRule="auto"/>
        <w:tabs>
          <w:tab w:leader="none" w:pos="876"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spacing w:after="0" w:line="146" w:lineRule="exact"/>
        <w:rPr>
          <w:rFonts w:ascii="Arial" w:cs="Arial" w:eastAsia="Arial" w:hAnsi="Arial"/>
          <w:sz w:val="16"/>
          <w:szCs w:val="16"/>
          <w:color w:val="auto"/>
        </w:rPr>
      </w:pPr>
    </w:p>
    <w:p>
      <w:pPr>
        <w:jc w:val="both"/>
        <w:ind w:firstLine="552"/>
        <w:spacing w:after="0" w:line="252" w:lineRule="auto"/>
        <w:tabs>
          <w:tab w:leader="none" w:pos="887"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Administrator Discretion</w:t>
      </w:r>
      <w:r>
        <w:rPr>
          <w:rFonts w:ascii="Arial" w:cs="Arial" w:eastAsia="Arial" w:hAnsi="Arial"/>
          <w:sz w:val="17"/>
          <w:szCs w:val="17"/>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56" w:lineRule="exact"/>
        <w:rPr>
          <w:rFonts w:ascii="Arial" w:cs="Arial" w:eastAsia="Arial" w:hAnsi="Arial"/>
          <w:sz w:val="17"/>
          <w:szCs w:val="17"/>
          <w:color w:val="auto"/>
        </w:rPr>
      </w:pPr>
    </w:p>
    <w:p>
      <w:pPr>
        <w:ind w:left="880" w:hanging="328"/>
        <w:spacing w:after="0"/>
        <w:tabs>
          <w:tab w:leader="none" w:pos="880"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firstLine="829"/>
        <w:spacing w:after="0" w:line="264" w:lineRule="auto"/>
        <w:tabs>
          <w:tab w:leader="none" w:pos="1175"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This Option may be exercised only within the term set out in the Notice of Grant, and may be exercised during such term only in accordance with the Plan and the terms of this Award Agreement.</w:t>
      </w:r>
    </w:p>
    <w:p>
      <w:pPr>
        <w:spacing w:after="0" w:line="146" w:lineRule="exact"/>
        <w:rPr>
          <w:rFonts w:ascii="Arial" w:cs="Arial" w:eastAsia="Arial" w:hAnsi="Arial"/>
          <w:sz w:val="17"/>
          <w:szCs w:val="17"/>
          <w:color w:val="auto"/>
        </w:rPr>
      </w:pPr>
    </w:p>
    <w:p>
      <w:pPr>
        <w:jc w:val="both"/>
        <w:ind w:firstLine="829"/>
        <w:spacing w:after="0" w:line="282" w:lineRule="auto"/>
        <w:tabs>
          <w:tab w:leader="none" w:pos="1173" w:val="left"/>
        </w:tabs>
        <w:numPr>
          <w:ilvl w:val="1"/>
          <w:numId w:val="104"/>
        </w:numPr>
        <w:rPr>
          <w:rFonts w:ascii="Arial" w:cs="Arial" w:eastAsia="Arial" w:hAnsi="Arial"/>
          <w:sz w:val="15"/>
          <w:szCs w:val="15"/>
          <w:color w:val="auto"/>
        </w:rPr>
      </w:pPr>
      <w:r>
        <w:rPr>
          <w:rFonts w:ascii="Arial" w:cs="Arial" w:eastAsia="Arial" w:hAnsi="Arial"/>
          <w:sz w:val="15"/>
          <w:szCs w:val="15"/>
          <w:u w:val="single" w:color="auto"/>
          <w:color w:val="auto"/>
        </w:rPr>
        <w:t>Method of Exercise</w:t>
      </w:r>
      <w:r>
        <w:rPr>
          <w:rFonts w:ascii="Arial" w:cs="Arial" w:eastAsia="Arial" w:hAnsi="Arial"/>
          <w:sz w:val="15"/>
          <w:szCs w:val="15"/>
          <w:color w:val="auto"/>
        </w:rPr>
        <w:t xml:space="preserve">. This Option is exercisable by delivery of an exercise notice (the “Exercise Notice”) in the form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and of any Tax Obligations (as defined in Section 6(a)). This Option will be deemed to be exercised upon receipt by the Company of such fully executed Exercise Notice accompanied by the aggregate Exercise Price.</w:t>
      </w:r>
    </w:p>
    <w:p>
      <w:pPr>
        <w:spacing w:after="0" w:line="137" w:lineRule="exact"/>
        <w:rPr>
          <w:rFonts w:ascii="Arial" w:cs="Arial" w:eastAsia="Arial" w:hAnsi="Arial"/>
          <w:sz w:val="15"/>
          <w:szCs w:val="15"/>
          <w:color w:val="auto"/>
        </w:rPr>
      </w:pPr>
    </w:p>
    <w:p>
      <w:pPr>
        <w:ind w:firstLine="552"/>
        <w:spacing w:after="0" w:line="264" w:lineRule="auto"/>
        <w:tabs>
          <w:tab w:leader="none" w:pos="876"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Payment of the aggregate Exercise Price will be by any of the following, or a combination thereof, at the election of Participant:</w:t>
      </w:r>
    </w:p>
    <w:p>
      <w:pPr>
        <w:spacing w:after="0" w:line="146" w:lineRule="exact"/>
        <w:rPr>
          <w:rFonts w:ascii="Arial" w:cs="Arial" w:eastAsia="Arial" w:hAnsi="Arial"/>
          <w:sz w:val="17"/>
          <w:szCs w:val="17"/>
          <w:color w:val="auto"/>
        </w:rPr>
      </w:pPr>
    </w:p>
    <w:p>
      <w:pPr>
        <w:ind w:left="1160" w:hanging="331"/>
        <w:spacing w:after="0"/>
        <w:tabs>
          <w:tab w:leader="none" w:pos="116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cash;</w:t>
      </w:r>
    </w:p>
    <w:p>
      <w:pPr>
        <w:spacing w:after="0" w:line="184" w:lineRule="exact"/>
        <w:rPr>
          <w:rFonts w:ascii="Arial" w:cs="Arial" w:eastAsia="Arial" w:hAnsi="Arial"/>
          <w:sz w:val="17"/>
          <w:szCs w:val="17"/>
          <w:color w:val="auto"/>
        </w:rPr>
      </w:pPr>
    </w:p>
    <w:p>
      <w:pPr>
        <w:ind w:left="1160" w:hanging="331"/>
        <w:spacing w:after="0"/>
        <w:tabs>
          <w:tab w:leader="none" w:pos="116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check;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5937250" cy="222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9">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158" w:name="page159"/>
    <w:bookmarkEnd w:id="158"/>
    <w:p>
      <w:pPr>
        <w:ind w:left="-20" w:firstLine="829"/>
        <w:spacing w:after="0" w:line="263" w:lineRule="auto"/>
        <w:tabs>
          <w:tab w:leader="none" w:pos="1178" w:val="left"/>
        </w:tabs>
        <w:numPr>
          <w:ilvl w:val="1"/>
          <w:numId w:val="105"/>
        </w:numPr>
        <w:rPr>
          <w:rFonts w:ascii="Arial" w:cs="Arial" w:eastAsia="Arial" w:hAnsi="Arial"/>
          <w:sz w:val="17"/>
          <w:szCs w:val="17"/>
          <w:color w:val="auto"/>
        </w:rPr>
      </w:pPr>
      <w:r>
        <w:rPr>
          <w:rFonts w:ascii="Arial" w:cs="Arial" w:eastAsia="Arial" w:hAnsi="Arial"/>
          <w:sz w:val="17"/>
          <w:szCs w:val="17"/>
          <w:color w:val="auto"/>
        </w:rPr>
        <w:t>consideration received by the Company under a formal cashless exercise program adopted by the Company in connection with the Plan.</w:t>
      </w:r>
    </w:p>
    <w:p>
      <w:pPr>
        <w:spacing w:after="0" w:line="147" w:lineRule="exact"/>
        <w:rPr>
          <w:rFonts w:ascii="Arial" w:cs="Arial" w:eastAsia="Arial" w:hAnsi="Arial"/>
          <w:sz w:val="17"/>
          <w:szCs w:val="17"/>
          <w:color w:val="auto"/>
        </w:rPr>
      </w:pPr>
    </w:p>
    <w:p>
      <w:pPr>
        <w:ind w:left="860" w:hanging="328"/>
        <w:spacing w:after="0"/>
        <w:tabs>
          <w:tab w:leader="none" w:pos="86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Tax Obligations</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left="-20" w:firstLine="829"/>
        <w:spacing w:after="0" w:line="277" w:lineRule="auto"/>
        <w:tabs>
          <w:tab w:leader="none" w:pos="1143" w:val="left"/>
        </w:tabs>
        <w:numPr>
          <w:ilvl w:val="1"/>
          <w:numId w:val="106"/>
        </w:numPr>
        <w:rPr>
          <w:rFonts w:ascii="Arial" w:cs="Arial" w:eastAsia="Arial" w:hAnsi="Arial"/>
          <w:sz w:val="15"/>
          <w:szCs w:val="15"/>
          <w:color w:val="auto"/>
        </w:rPr>
      </w:pPr>
      <w:r>
        <w:rPr>
          <w:rFonts w:ascii="Arial" w:cs="Arial" w:eastAsia="Arial" w:hAnsi="Arial"/>
          <w:sz w:val="15"/>
          <w:szCs w:val="15"/>
          <w:color w:val="auto"/>
        </w:rPr>
        <w:t>Participant acknowledges that, regardless of any action taken by the Company or, if different, Participant’s employer (the “Employer”), the ultimate liability for any tax or other jurisdictional obligations (e.g., social taxes, welfare taxes, etc.),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Employer. Participant further acknowledges that the Company and/or the Employer (i) make no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(ii)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Employer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41" w:lineRule="exact"/>
        <w:rPr>
          <w:rFonts w:ascii="Arial" w:cs="Arial" w:eastAsia="Arial" w:hAnsi="Arial"/>
          <w:sz w:val="15"/>
          <w:szCs w:val="15"/>
          <w:color w:val="auto"/>
        </w:rPr>
      </w:pPr>
    </w:p>
    <w:p>
      <w:pPr>
        <w:jc w:val="both"/>
        <w:ind w:left="-20" w:firstLine="829"/>
        <w:spacing w:after="0" w:line="275" w:lineRule="auto"/>
        <w:tabs>
          <w:tab w:leader="none" w:pos="1164" w:val="left"/>
        </w:tabs>
        <w:numPr>
          <w:ilvl w:val="1"/>
          <w:numId w:val="106"/>
        </w:numPr>
        <w:rPr>
          <w:rFonts w:ascii="Arial" w:cs="Arial" w:eastAsia="Arial" w:hAnsi="Arial"/>
          <w:sz w:val="15"/>
          <w:szCs w:val="15"/>
          <w:color w:val="auto"/>
        </w:rPr>
      </w:pPr>
      <w:r>
        <w:rPr>
          <w:rFonts w:ascii="Arial" w:cs="Arial" w:eastAsia="Arial" w:hAnsi="Arial"/>
          <w:sz w:val="15"/>
          <w:szCs w:val="15"/>
          <w:u w:val="single" w:color="auto"/>
          <w:color w:val="auto"/>
        </w:rPr>
        <w:t>Tax Withholding</w:t>
      </w:r>
      <w:r>
        <w:rPr>
          <w:rFonts w:ascii="Arial" w:cs="Arial" w:eastAsia="Arial" w:hAnsi="Arial"/>
          <w:sz w:val="15"/>
          <w:szCs w:val="15"/>
          <w:color w:val="auto"/>
        </w:rPr>
        <w:t>. When, under applicable tax laws, a Participant incurs a liability to tax, duties or social security contributions in connection with the exercise of any Option that is subject to tax withholding, the Participant is obligated to either enter into an arrangement (as described herein) for the purpose of ensuring the employer or former employer has sufficient funds to discharge the liability or reimburse the employer or former employer the amount required to be paid to the applicable tax authorities. Pursuant to such procedures as the Administrator may specify from time to time, the Company and/or Employer shall withhold the minimum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(a) paying cash, (b) electing to have the Company withhold otherwise deliverable Shares having a Fair Market Value equal to the amount of such Tax Obligations, (c) withholding the amount of such Tax Obligations from Participant’s wages or other cash compensation paid to Participant by the company and/or the Employer, (d) selling a sufficient number of such Shares otherwise deliverable to Participant through such means as the Company may determine in its sole discretion (whether through a broker or otherwise) equal to the amount of the Tax Obligations. To the extent determined appropriate by the Company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Employer (and/or former employer, as applicable) may be required to withhold or account for tax in more than one jurisdiction. Exercise of the Option is conditional upon the Participant having entered into arrangements for this purpose which are satisfactory to the Participant’s employer or former employer.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288290</wp:posOffset>
            </wp:positionV>
            <wp:extent cx="5937250" cy="222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0">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126" w:right="1159" w:bottom="1440" w:gutter="0" w:footer="0" w:header="0"/>
        </w:sectPr>
      </w:pPr>
    </w:p>
    <w:bookmarkStart w:id="159" w:name="page160"/>
    <w:bookmarkEnd w:id="159"/>
    <w:p>
      <w:pPr>
        <w:jc w:val="both"/>
        <w:ind w:left="-20" w:firstLine="552"/>
        <w:spacing w:after="0" w:line="245" w:lineRule="auto"/>
        <w:tabs>
          <w:tab w:leader="none" w:pos="856"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62" w:lineRule="exact"/>
        <w:rPr>
          <w:rFonts w:ascii="Arial" w:cs="Arial" w:eastAsia="Arial" w:hAnsi="Arial"/>
          <w:sz w:val="17"/>
          <w:szCs w:val="17"/>
          <w:color w:val="auto"/>
        </w:rPr>
      </w:pPr>
    </w:p>
    <w:p>
      <w:pPr>
        <w:jc w:val="both"/>
        <w:ind w:left="-20" w:firstLine="552"/>
        <w:spacing w:after="0" w:line="260" w:lineRule="auto"/>
        <w:tabs>
          <w:tab w:leader="none" w:pos="879"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No Guarantee of Continued Service</w:t>
      </w:r>
      <w:r>
        <w:rPr>
          <w:rFonts w:ascii="Arial" w:cs="Arial" w:eastAsia="Arial" w:hAnsi="Arial"/>
          <w:sz w:val="16"/>
          <w:szCs w:val="16"/>
          <w:color w:val="auto"/>
        </w:rPr>
        <w:t>. PARTICIPANT ACKNOWLEDGES AND AGREES THAT THE VESTING OF SHARES PURSUANT TO THE VESTING SCHEDULE HEREOF IS EARNED ONLY BY CONTINUING AS A SERVICE PROVIDER AT THE WILL OF THE COMPANY (OR THE EMPLOYER) AND NOT THROUGH THE ACT OF BEING HIRED, BEING GRANTED THIS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EMPLOYER) TO TERMINATE PARTICIPANT’S RELATIONSHIP AS A SERVICE PROVIDER AT ANY TIME, WITH OR WITHOUT CAUSE.</w:t>
      </w:r>
    </w:p>
    <w:p>
      <w:pPr>
        <w:spacing w:after="0" w:line="154" w:lineRule="exact"/>
        <w:rPr>
          <w:rFonts w:ascii="Arial" w:cs="Arial" w:eastAsia="Arial" w:hAnsi="Arial"/>
          <w:sz w:val="16"/>
          <w:szCs w:val="16"/>
          <w:color w:val="auto"/>
        </w:rPr>
      </w:pPr>
    </w:p>
    <w:p>
      <w:pPr>
        <w:ind w:left="860" w:hanging="328"/>
        <w:spacing w:after="0"/>
        <w:tabs>
          <w:tab w:leader="none" w:pos="860"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In accepting the Option, Participant acknowledges, understands and agrees that:</w:t>
      </w:r>
    </w:p>
    <w:p>
      <w:pPr>
        <w:spacing w:after="0" w:line="184" w:lineRule="exact"/>
        <w:rPr>
          <w:rFonts w:ascii="Arial" w:cs="Arial" w:eastAsia="Arial" w:hAnsi="Arial"/>
          <w:sz w:val="17"/>
          <w:szCs w:val="17"/>
          <w:color w:val="auto"/>
        </w:rPr>
      </w:pPr>
    </w:p>
    <w:p>
      <w:pPr>
        <w:ind w:left="-20" w:firstLine="829"/>
        <w:spacing w:after="0" w:line="264" w:lineRule="auto"/>
        <w:tabs>
          <w:tab w:leader="none" w:pos="1143"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grant of the Option is voluntary and occasional and does not create any contractual or other right to receive future grants of options, or benefits in lieu of options, even if options have been granted in the past;</w:t>
      </w:r>
    </w:p>
    <w:p>
      <w:pPr>
        <w:spacing w:after="0" w:line="146" w:lineRule="exact"/>
        <w:rPr>
          <w:rFonts w:ascii="Arial" w:cs="Arial" w:eastAsia="Arial" w:hAnsi="Arial"/>
          <w:sz w:val="17"/>
          <w:szCs w:val="17"/>
          <w:color w:val="auto"/>
        </w:rPr>
      </w:pPr>
    </w:p>
    <w:p>
      <w:pPr>
        <w:ind w:left="1140" w:hanging="331"/>
        <w:spacing w:after="0"/>
        <w:tabs>
          <w:tab w:leader="none" w:pos="114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decisions with respect to future option or other grants, if any, will be at the sole discretion of the Company;</w:t>
      </w:r>
    </w:p>
    <w:p>
      <w:pPr>
        <w:spacing w:after="0" w:line="196" w:lineRule="exact"/>
        <w:rPr>
          <w:rFonts w:ascii="Arial" w:cs="Arial" w:eastAsia="Arial" w:hAnsi="Arial"/>
          <w:sz w:val="16"/>
          <w:szCs w:val="16"/>
          <w:color w:val="auto"/>
        </w:rPr>
      </w:pPr>
    </w:p>
    <w:p>
      <w:pPr>
        <w:ind w:left="1140" w:hanging="331"/>
        <w:spacing w:after="0"/>
        <w:tabs>
          <w:tab w:leader="none" w:pos="114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Participant is voluntarily participating in the Plan;</w:t>
      </w:r>
    </w:p>
    <w:p>
      <w:pPr>
        <w:spacing w:after="0" w:line="184" w:lineRule="exact"/>
        <w:rPr>
          <w:rFonts w:ascii="Arial" w:cs="Arial" w:eastAsia="Arial" w:hAnsi="Arial"/>
          <w:sz w:val="17"/>
          <w:szCs w:val="17"/>
          <w:color w:val="auto"/>
        </w:rPr>
      </w:pPr>
    </w:p>
    <w:p>
      <w:pPr>
        <w:ind w:left="1140" w:hanging="331"/>
        <w:spacing w:after="0"/>
        <w:tabs>
          <w:tab w:leader="none" w:pos="1140" w:val="left"/>
        </w:tabs>
        <w:numPr>
          <w:ilvl w:val="1"/>
          <w:numId w:val="107"/>
        </w:numPr>
        <w:rPr>
          <w:rFonts w:ascii="Arial" w:cs="Arial" w:eastAsia="Arial" w:hAnsi="Arial"/>
          <w:sz w:val="15"/>
          <w:szCs w:val="15"/>
          <w:color w:val="auto"/>
        </w:rPr>
      </w:pPr>
      <w:r>
        <w:rPr>
          <w:rFonts w:ascii="Arial" w:cs="Arial" w:eastAsia="Arial" w:hAnsi="Arial"/>
          <w:sz w:val="15"/>
          <w:szCs w:val="15"/>
          <w:color w:val="auto"/>
        </w:rPr>
        <w:t>the Option and any Shares acquired under the Plan are not intended to replace any pension rights or compensation;</w:t>
      </w:r>
    </w:p>
    <w:p>
      <w:pPr>
        <w:spacing w:after="0" w:line="207" w:lineRule="exact"/>
        <w:rPr>
          <w:rFonts w:ascii="Arial" w:cs="Arial" w:eastAsia="Arial" w:hAnsi="Arial"/>
          <w:sz w:val="15"/>
          <w:szCs w:val="15"/>
          <w:color w:val="auto"/>
        </w:rPr>
      </w:pPr>
    </w:p>
    <w:p>
      <w:pPr>
        <w:jc w:val="both"/>
        <w:ind w:left="-20" w:firstLine="829"/>
        <w:spacing w:after="0" w:line="252" w:lineRule="auto"/>
        <w:tabs>
          <w:tab w:leader="none" w:pos="1143"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56" w:lineRule="exact"/>
        <w:rPr>
          <w:rFonts w:ascii="Arial" w:cs="Arial" w:eastAsia="Arial" w:hAnsi="Arial"/>
          <w:sz w:val="17"/>
          <w:szCs w:val="17"/>
          <w:color w:val="auto"/>
        </w:rPr>
      </w:pPr>
    </w:p>
    <w:p>
      <w:pPr>
        <w:ind w:left="1120" w:hanging="311"/>
        <w:spacing w:after="0"/>
        <w:tabs>
          <w:tab w:leader="none" w:pos="1120" w:val="left"/>
        </w:tabs>
        <w:numPr>
          <w:ilvl w:val="1"/>
          <w:numId w:val="107"/>
        </w:numPr>
        <w:rPr>
          <w:rFonts w:ascii="Arial" w:cs="Arial" w:eastAsia="Arial" w:hAnsi="Arial"/>
          <w:sz w:val="15"/>
          <w:szCs w:val="15"/>
          <w:color w:val="auto"/>
        </w:rPr>
      </w:pPr>
      <w:r>
        <w:rPr>
          <w:rFonts w:ascii="Arial" w:cs="Arial" w:eastAsia="Arial" w:hAnsi="Arial"/>
          <w:sz w:val="15"/>
          <w:szCs w:val="15"/>
          <w:color w:val="auto"/>
        </w:rPr>
        <w:t>the future value of the Shares underlying the Option is unknown, indeterminable, and cannot be predicted with certainty;</w:t>
      </w:r>
    </w:p>
    <w:p>
      <w:pPr>
        <w:spacing w:after="0" w:line="207" w:lineRule="exact"/>
        <w:rPr>
          <w:rFonts w:ascii="Arial" w:cs="Arial" w:eastAsia="Arial" w:hAnsi="Arial"/>
          <w:sz w:val="15"/>
          <w:szCs w:val="15"/>
          <w:color w:val="auto"/>
        </w:rPr>
      </w:pPr>
    </w:p>
    <w:p>
      <w:pPr>
        <w:ind w:left="1140" w:hanging="331"/>
        <w:spacing w:after="0"/>
        <w:tabs>
          <w:tab w:leader="none" w:pos="114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if the underlying Shares do not increase in value, the Option will have no value;</w:t>
      </w:r>
    </w:p>
    <w:p>
      <w:pPr>
        <w:spacing w:after="0" w:line="184" w:lineRule="exact"/>
        <w:rPr>
          <w:rFonts w:ascii="Arial" w:cs="Arial" w:eastAsia="Arial" w:hAnsi="Arial"/>
          <w:sz w:val="17"/>
          <w:szCs w:val="17"/>
          <w:color w:val="auto"/>
        </w:rPr>
      </w:pPr>
    </w:p>
    <w:p>
      <w:pPr>
        <w:ind w:left="-20" w:firstLine="829"/>
        <w:spacing w:after="0" w:line="264" w:lineRule="auto"/>
        <w:tabs>
          <w:tab w:leader="none" w:pos="1141" w:val="left"/>
        </w:tabs>
        <w:numPr>
          <w:ilvl w:val="1"/>
          <w:numId w:val="107"/>
        </w:numPr>
        <w:rPr>
          <w:rFonts w:ascii="Arial" w:cs="Arial" w:eastAsia="Arial" w:hAnsi="Arial"/>
          <w:sz w:val="17"/>
          <w:szCs w:val="17"/>
          <w:color w:val="auto"/>
        </w:rPr>
      </w:pPr>
      <w:r>
        <w:rPr>
          <w:rFonts w:ascii="Arial" w:cs="Arial" w:eastAsia="Arial" w:hAnsi="Arial"/>
          <w:sz w:val="17"/>
          <w:szCs w:val="17"/>
          <w:color w:val="auto"/>
        </w:rPr>
        <w:t>if Participant exercises the Option and acquires Shares, the value of such Shares may increase or decrease in value, even below the Exercise Price;</w:t>
      </w:r>
    </w:p>
    <w:p>
      <w:pPr>
        <w:spacing w:after="0" w:line="142" w:lineRule="exact"/>
        <w:rPr>
          <w:rFonts w:ascii="Arial" w:cs="Arial" w:eastAsia="Arial" w:hAnsi="Arial"/>
          <w:sz w:val="17"/>
          <w:szCs w:val="17"/>
          <w:color w:val="auto"/>
        </w:rPr>
      </w:pPr>
    </w:p>
    <w:p>
      <w:pPr>
        <w:ind w:left="-20" w:firstLine="829"/>
        <w:spacing w:after="0" w:line="272" w:lineRule="auto"/>
        <w:tabs>
          <w:tab w:leader="none" w:pos="114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for purposes of the Option, Participant’s engagement as a Service Provider will be considered terminated as of the date Participant is no longer actively providing services to the Company or any Parent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277495</wp:posOffset>
            </wp:positionV>
            <wp:extent cx="5937250" cy="222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1">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126" w:right="1159" w:bottom="1440" w:gutter="0" w:footer="0" w:header="0"/>
        </w:sectPr>
      </w:pPr>
    </w:p>
    <w:bookmarkStart w:id="160" w:name="page161"/>
    <w:bookmarkEnd w:id="160"/>
    <w:p>
      <w:pPr>
        <w:jc w:val="both"/>
        <w:spacing w:after="0" w:line="258" w:lineRule="auto"/>
        <w:rPr>
          <w:sz w:val="20"/>
          <w:szCs w:val="20"/>
          <w:color w:val="auto"/>
        </w:rPr>
      </w:pPr>
      <w:r>
        <w:rPr>
          <w:rFonts w:ascii="Arial" w:cs="Arial" w:eastAsia="Arial" w:hAnsi="Arial"/>
          <w:sz w:val="17"/>
          <w:szCs w:val="17"/>
          <w:color w:val="auto"/>
        </w:rPr>
        <w:t>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w:t>
      </w:r>
    </w:p>
    <w:p>
      <w:pPr>
        <w:spacing w:after="0" w:line="151" w:lineRule="exact"/>
        <w:rPr>
          <w:sz w:val="20"/>
          <w:szCs w:val="20"/>
          <w:color w:val="auto"/>
        </w:rPr>
      </w:pPr>
    </w:p>
    <w:p>
      <w:pPr>
        <w:jc w:val="both"/>
        <w:ind w:firstLine="829"/>
        <w:spacing w:after="0" w:line="275" w:lineRule="auto"/>
        <w:tabs>
          <w:tab w:leader="none" w:pos="1147" w:val="left"/>
        </w:tabs>
        <w:numPr>
          <w:ilvl w:val="2"/>
          <w:numId w:val="108"/>
        </w:numPr>
        <w:rPr>
          <w:rFonts w:ascii="Arial" w:cs="Arial" w:eastAsia="Arial" w:hAnsi="Arial"/>
          <w:sz w:val="16"/>
          <w:szCs w:val="16"/>
          <w:color w:val="auto"/>
        </w:rPr>
      </w:pPr>
      <w:r>
        <w:rPr>
          <w:rFonts w:ascii="Arial" w:cs="Arial" w:eastAsia="Arial" w:hAnsi="Arial"/>
          <w:sz w:val="16"/>
          <w:szCs w:val="16"/>
          <w:color w:val="auto"/>
        </w:rPr>
        <w:t>unless otherwise provided in the Plan or by the Company in its discretion, the Option and the benefits evidenced by this Award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39" w:lineRule="exact"/>
        <w:rPr>
          <w:rFonts w:ascii="Arial" w:cs="Arial" w:eastAsia="Arial" w:hAnsi="Arial"/>
          <w:sz w:val="16"/>
          <w:szCs w:val="16"/>
          <w:color w:val="auto"/>
        </w:rPr>
      </w:pPr>
    </w:p>
    <w:p>
      <w:pPr>
        <w:ind w:left="1560" w:hanging="800"/>
        <w:spacing w:after="0"/>
        <w:tabs>
          <w:tab w:leader="none" w:pos="1560" w:val="left"/>
        </w:tabs>
        <w:numPr>
          <w:ilvl w:val="1"/>
          <w:numId w:val="109"/>
        </w:numPr>
        <w:rPr>
          <w:rFonts w:ascii="Arial" w:cs="Arial" w:eastAsia="Arial" w:hAnsi="Arial"/>
          <w:sz w:val="15"/>
          <w:szCs w:val="15"/>
          <w:color w:val="auto"/>
        </w:rPr>
      </w:pPr>
      <w:r>
        <w:rPr>
          <w:rFonts w:ascii="Arial" w:cs="Arial" w:eastAsia="Arial" w:hAnsi="Arial"/>
          <w:sz w:val="15"/>
          <w:szCs w:val="15"/>
          <w:color w:val="auto"/>
        </w:rPr>
        <w:t>the Option and the Shares subject to the Option are not part of normal or expected compensation or salary for any</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purpose;</w:t>
      </w:r>
    </w:p>
    <w:p>
      <w:pPr>
        <w:spacing w:after="0" w:line="170" w:lineRule="exact"/>
        <w:rPr>
          <w:rFonts w:ascii="Arial" w:cs="Arial" w:eastAsia="Arial" w:hAnsi="Arial"/>
          <w:sz w:val="15"/>
          <w:szCs w:val="15"/>
          <w:color w:val="auto"/>
        </w:rPr>
      </w:pPr>
    </w:p>
    <w:p>
      <w:pPr>
        <w:jc w:val="both"/>
        <w:ind w:firstLine="760"/>
        <w:spacing w:after="0" w:line="301" w:lineRule="auto"/>
        <w:tabs>
          <w:tab w:leader="none" w:pos="1520" w:val="left"/>
        </w:tabs>
        <w:numPr>
          <w:ilvl w:val="1"/>
          <w:numId w:val="109"/>
        </w:numPr>
        <w:rPr>
          <w:rFonts w:ascii="Arial" w:cs="Arial" w:eastAsia="Arial" w:hAnsi="Arial"/>
          <w:sz w:val="15"/>
          <w:szCs w:val="15"/>
          <w:color w:val="auto"/>
        </w:rPr>
      </w:pPr>
      <w:r>
        <w:rPr>
          <w:rFonts w:ascii="Arial" w:cs="Arial" w:eastAsia="Arial" w:hAnsi="Arial"/>
          <w:sz w:val="15"/>
          <w:szCs w:val="15"/>
          <w:color w:val="auto"/>
        </w:rPr>
        <w:t>Participant acknowledges and agrees that none of the Company, the Employer, or any Parent or Subsidiary shall be liable for any foreign exchange rate fluctuation between the Euro and the United States Dollar that may affect the value of the Option or of any amounts due to Participant pursuant to the exercise of the Option or the subsequent sale of any Shares acquired upon exercise; and</w:t>
      </w:r>
    </w:p>
    <w:p>
      <w:pPr>
        <w:spacing w:after="0" w:line="123" w:lineRule="exact"/>
        <w:rPr>
          <w:rFonts w:ascii="Arial" w:cs="Arial" w:eastAsia="Arial" w:hAnsi="Arial"/>
          <w:sz w:val="15"/>
          <w:szCs w:val="15"/>
          <w:color w:val="auto"/>
        </w:rPr>
      </w:pPr>
    </w:p>
    <w:p>
      <w:pPr>
        <w:jc w:val="both"/>
        <w:ind w:firstLine="760"/>
        <w:spacing w:after="0" w:line="260" w:lineRule="auto"/>
        <w:tabs>
          <w:tab w:leader="none" w:pos="1165" w:val="left"/>
        </w:tabs>
        <w:numPr>
          <w:ilvl w:val="1"/>
          <w:numId w:val="109"/>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 resulting from the termination of Participant’s engagement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the Company, any Parent, any Subsidiary or the Employer, waives his or her ability, if any, to bring any such claim, and releases the Company, any Parent or Subsidiary and the Employer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54" w:lineRule="exact"/>
        <w:rPr>
          <w:rFonts w:ascii="Arial" w:cs="Arial" w:eastAsia="Arial" w:hAnsi="Arial"/>
          <w:sz w:val="16"/>
          <w:szCs w:val="16"/>
          <w:color w:val="auto"/>
        </w:rPr>
      </w:pPr>
    </w:p>
    <w:p>
      <w:pPr>
        <w:jc w:val="both"/>
        <w:ind w:firstLine="552"/>
        <w:spacing w:after="0" w:line="248" w:lineRule="auto"/>
        <w:tabs>
          <w:tab w:leader="none" w:pos="876"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No Advice Regarding Grant</w:t>
      </w:r>
      <w:r>
        <w:rPr>
          <w:rFonts w:ascii="Arial" w:cs="Arial" w:eastAsia="Arial" w:hAnsi="Arial"/>
          <w:sz w:val="17"/>
          <w:szCs w:val="17"/>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60" w:lineRule="exact"/>
        <w:rPr>
          <w:rFonts w:ascii="Arial" w:cs="Arial" w:eastAsia="Arial" w:hAnsi="Arial"/>
          <w:sz w:val="17"/>
          <w:szCs w:val="17"/>
          <w:color w:val="auto"/>
        </w:rPr>
      </w:pPr>
    </w:p>
    <w:p>
      <w:pPr>
        <w:jc w:val="both"/>
        <w:ind w:firstLine="552"/>
        <w:spacing w:after="0" w:line="252" w:lineRule="auto"/>
        <w:tabs>
          <w:tab w:leader="none" w:pos="876"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Data Privacy</w:t>
      </w:r>
      <w:r>
        <w:rPr>
          <w:rFonts w:ascii="Arial" w:cs="Arial" w:eastAsia="Arial" w:hAnsi="Arial"/>
          <w:sz w:val="17"/>
          <w:szCs w:val="17"/>
          <w:color w:val="auto"/>
        </w:rPr>
        <w:t>. Participant hereby explicitly and unambiguously consents to the collection, use and transfer, in electronic or other form, of Participant’s personal data as described in this Award Agreement and any other Option grant materials by and among, as applicable, the Employer, the Company and any Parent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5937250" cy="222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2">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2" w:right="1159" w:bottom="1440" w:gutter="0" w:footer="0" w:header="0"/>
        </w:sectPr>
      </w:pPr>
    </w:p>
    <w:bookmarkStart w:id="161" w:name="page162"/>
    <w:bookmarkEnd w:id="161"/>
    <w:p>
      <w:pPr>
        <w:jc w:val="both"/>
        <w:spacing w:after="0" w:line="275" w:lineRule="auto"/>
        <w:rPr>
          <w:sz w:val="20"/>
          <w:szCs w:val="20"/>
          <w:color w:val="auto"/>
        </w:rPr>
      </w:pPr>
      <w:r>
        <w:rPr>
          <w:rFonts w:ascii="Arial" w:cs="Arial" w:eastAsia="Arial" w:hAnsi="Arial"/>
          <w:sz w:val="15"/>
          <w:szCs w:val="15"/>
          <w:color w:val="auto"/>
        </w:rPr>
        <w:t>Subsidiary for the exclusive purpose of implementing, administering and managing Participant’s participation in the Plan.Participant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(“Data”), for the exclusive purpose of implementing, administering and managing the Plan. 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he or she may request a list with the names and addresses of any potential recipients of the Data by contacting his or her local human resources representative.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engagement as a Service Provider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46" w:lineRule="exact"/>
        <w:rPr>
          <w:sz w:val="20"/>
          <w:szCs w:val="20"/>
          <w:color w:val="auto"/>
        </w:rPr>
      </w:pPr>
    </w:p>
    <w:p>
      <w:pPr>
        <w:jc w:val="both"/>
        <w:ind w:firstLine="552"/>
        <w:spacing w:after="0" w:line="252" w:lineRule="auto"/>
        <w:tabs>
          <w:tab w:leader="none" w:pos="876"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Address for Notices</w:t>
      </w:r>
      <w:r>
        <w:rPr>
          <w:rFonts w:ascii="Arial" w:cs="Arial" w:eastAsia="Arial" w:hAnsi="Arial"/>
          <w:sz w:val="17"/>
          <w:szCs w:val="17"/>
          <w:color w:val="auto"/>
        </w:rPr>
        <w:t>. Any notice to be given to the Company under the terms of this Award Agreement will be addressed to the Company at Pulse Biosciences, Inc., 849 Mitten Rd. #104, Burlingame, CA 94010, or at such other address as the Company may hereafter designate in writing.</w:t>
      </w:r>
    </w:p>
    <w:p>
      <w:pPr>
        <w:spacing w:after="0" w:line="156" w:lineRule="exact"/>
        <w:rPr>
          <w:rFonts w:ascii="Arial" w:cs="Arial" w:eastAsia="Arial" w:hAnsi="Arial"/>
          <w:sz w:val="17"/>
          <w:szCs w:val="17"/>
          <w:color w:val="auto"/>
        </w:rPr>
      </w:pPr>
    </w:p>
    <w:p>
      <w:pPr>
        <w:ind w:firstLine="552"/>
        <w:spacing w:after="0" w:line="264" w:lineRule="auto"/>
        <w:tabs>
          <w:tab w:leader="none" w:pos="876"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 This Option may not be transferred in any manner otherwise than by will or by the laws of descent or distribution and may be exercised during the lifetime of Participant only by Participant.</w:t>
      </w:r>
    </w:p>
    <w:p>
      <w:pPr>
        <w:spacing w:after="0" w:line="146" w:lineRule="exact"/>
        <w:rPr>
          <w:rFonts w:ascii="Arial" w:cs="Arial" w:eastAsia="Arial" w:hAnsi="Arial"/>
          <w:sz w:val="17"/>
          <w:szCs w:val="17"/>
          <w:color w:val="auto"/>
        </w:rPr>
      </w:pPr>
    </w:p>
    <w:p>
      <w:pPr>
        <w:jc w:val="both"/>
        <w:ind w:firstLine="552"/>
        <w:spacing w:after="0" w:line="246" w:lineRule="auto"/>
        <w:tabs>
          <w:tab w:leader="none" w:pos="899"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62" w:lineRule="exact"/>
        <w:rPr>
          <w:rFonts w:ascii="Arial" w:cs="Arial" w:eastAsia="Arial" w:hAnsi="Arial"/>
          <w:sz w:val="17"/>
          <w:szCs w:val="17"/>
          <w:color w:val="auto"/>
        </w:rPr>
      </w:pPr>
    </w:p>
    <w:p>
      <w:pPr>
        <w:jc w:val="both"/>
        <w:ind w:firstLine="552"/>
        <w:spacing w:after="0" w:line="246" w:lineRule="auto"/>
        <w:tabs>
          <w:tab w:leader="none" w:pos="887"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qualification or rule compliance of the Shares upon any applicable law, governmental regulatory body or the clearance, consent or approval of the United States Securities and Exchange Commission or any other governmental regulatory authority is necessary or desirable as a condition to the purchase by, or issuance of Shares, to Participant (or his or her estate) hereunder, such purchase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295910</wp:posOffset>
            </wp:positionV>
            <wp:extent cx="5937250" cy="222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3">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6" w:right="1159" w:bottom="1440" w:gutter="0" w:footer="0" w:header="0"/>
        </w:sectPr>
      </w:pPr>
    </w:p>
    <w:bookmarkStart w:id="162" w:name="page163"/>
    <w:bookmarkEnd w:id="162"/>
    <w:p>
      <w:pPr>
        <w:jc w:val="both"/>
        <w:spacing w:after="0" w:line="246" w:lineRule="auto"/>
        <w:rPr>
          <w:sz w:val="20"/>
          <w:szCs w:val="20"/>
          <w:color w:val="auto"/>
        </w:rPr>
      </w:pPr>
      <w:r>
        <w:rPr>
          <w:rFonts w:ascii="Arial" w:cs="Arial" w:eastAsia="Arial" w:hAnsi="Arial"/>
          <w:sz w:val="17"/>
          <w:szCs w:val="17"/>
          <w:color w:val="auto"/>
        </w:rPr>
        <w:t>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exercise of the Option as the Administrator may establish from time to time for reasons of administrative convenience.</w:t>
      </w:r>
    </w:p>
    <w:p>
      <w:pPr>
        <w:spacing w:after="0" w:line="162" w:lineRule="exact"/>
        <w:rPr>
          <w:sz w:val="20"/>
          <w:szCs w:val="20"/>
          <w:color w:val="auto"/>
        </w:rPr>
      </w:pPr>
    </w:p>
    <w:p>
      <w:pPr>
        <w:jc w:val="both"/>
        <w:ind w:firstLine="552"/>
        <w:spacing w:after="0" w:line="252" w:lineRule="auto"/>
        <w:tabs>
          <w:tab w:leader="none" w:pos="887"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56" w:lineRule="exact"/>
        <w:rPr>
          <w:rFonts w:ascii="Arial" w:cs="Arial" w:eastAsia="Arial" w:hAnsi="Arial"/>
          <w:sz w:val="17"/>
          <w:szCs w:val="17"/>
          <w:color w:val="auto"/>
        </w:rPr>
      </w:pPr>
    </w:p>
    <w:p>
      <w:pPr>
        <w:jc w:val="both"/>
        <w:ind w:firstLine="552"/>
        <w:spacing w:after="0" w:line="263" w:lineRule="auto"/>
        <w:tabs>
          <w:tab w:leader="none" w:pos="887"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50" w:lineRule="exact"/>
        <w:rPr>
          <w:rFonts w:ascii="Arial" w:cs="Arial" w:eastAsia="Arial" w:hAnsi="Arial"/>
          <w:sz w:val="16"/>
          <w:szCs w:val="16"/>
          <w:color w:val="auto"/>
        </w:rPr>
      </w:pPr>
    </w:p>
    <w:p>
      <w:pPr>
        <w:jc w:val="both"/>
        <w:ind w:firstLine="552"/>
        <w:spacing w:after="0" w:line="246" w:lineRule="auto"/>
        <w:tabs>
          <w:tab w:leader="none" w:pos="876"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62" w:lineRule="exact"/>
        <w:rPr>
          <w:rFonts w:ascii="Arial" w:cs="Arial" w:eastAsia="Arial" w:hAnsi="Arial"/>
          <w:sz w:val="17"/>
          <w:szCs w:val="17"/>
          <w:color w:val="auto"/>
        </w:rPr>
      </w:pPr>
    </w:p>
    <w:p>
      <w:pPr>
        <w:ind w:firstLine="552"/>
        <w:spacing w:after="0" w:line="264" w:lineRule="auto"/>
        <w:tabs>
          <w:tab w:leader="none" w:pos="91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provided herein are for convenience only and are not to serve as a basis for interpretation or construction of this Award Agreement.</w:t>
      </w:r>
    </w:p>
    <w:p>
      <w:pPr>
        <w:spacing w:after="0" w:line="146" w:lineRule="exact"/>
        <w:rPr>
          <w:rFonts w:ascii="Arial" w:cs="Arial" w:eastAsia="Arial" w:hAnsi="Arial"/>
          <w:sz w:val="17"/>
          <w:szCs w:val="17"/>
          <w:color w:val="auto"/>
        </w:rPr>
      </w:pPr>
    </w:p>
    <w:p>
      <w:pPr>
        <w:jc w:val="both"/>
        <w:ind w:firstLine="552"/>
        <w:spacing w:after="0" w:line="252" w:lineRule="auto"/>
        <w:tabs>
          <w:tab w:leader="none" w:pos="876"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56" w:lineRule="exact"/>
        <w:rPr>
          <w:rFonts w:ascii="Arial" w:cs="Arial" w:eastAsia="Arial" w:hAnsi="Arial"/>
          <w:sz w:val="17"/>
          <w:szCs w:val="17"/>
          <w:color w:val="auto"/>
        </w:rPr>
      </w:pPr>
    </w:p>
    <w:p>
      <w:pPr>
        <w:jc w:val="both"/>
        <w:ind w:firstLine="552"/>
        <w:spacing w:after="0" w:line="275" w:lineRule="auto"/>
        <w:tabs>
          <w:tab w:leader="none" w:pos="876"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Amendment, Suspension or Termination of the Plan</w:t>
      </w:r>
      <w:r>
        <w:rPr>
          <w:rFonts w:ascii="Arial" w:cs="Arial" w:eastAsia="Arial" w:hAnsi="Arial"/>
          <w:sz w:val="16"/>
          <w:szCs w:val="16"/>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39" w:lineRule="exact"/>
        <w:rPr>
          <w:rFonts w:ascii="Arial" w:cs="Arial" w:eastAsia="Arial" w:hAnsi="Arial"/>
          <w:sz w:val="16"/>
          <w:szCs w:val="16"/>
          <w:color w:val="auto"/>
        </w:rPr>
      </w:pPr>
    </w:p>
    <w:p>
      <w:pPr>
        <w:jc w:val="both"/>
        <w:ind w:firstLine="552"/>
        <w:spacing w:after="0" w:line="246" w:lineRule="auto"/>
        <w:tabs>
          <w:tab w:leader="none" w:pos="903"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Award Agreement will be governed by the laws of California, without giving effect to the conflict of law principles thereof. For purposes of litigating any dispute that arises under this Option or this Award Agreement, the parties hereby submit to and consent to the jurisdiction of the State of California, and agree that such litigation will be conducted in the courts of San Francisco, California, or the federal courts for the United States for the Northern District of California, and no other courts, where this Option is made and/or to be performed.</w:t>
      </w:r>
    </w:p>
    <w:p>
      <w:pPr>
        <w:spacing w:after="0" w:line="162" w:lineRule="exact"/>
        <w:rPr>
          <w:rFonts w:ascii="Arial" w:cs="Arial" w:eastAsia="Arial" w:hAnsi="Arial"/>
          <w:sz w:val="17"/>
          <w:szCs w:val="17"/>
          <w:color w:val="auto"/>
        </w:rPr>
      </w:pPr>
    </w:p>
    <w:p>
      <w:pPr>
        <w:jc w:val="both"/>
        <w:ind w:firstLine="552"/>
        <w:spacing w:after="0" w:line="248" w:lineRule="auto"/>
        <w:tabs>
          <w:tab w:leader="none" w:pos="903"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Country Addendum</w:t>
      </w:r>
      <w:r>
        <w:rPr>
          <w:rFonts w:ascii="Arial" w:cs="Arial" w:eastAsia="Arial" w:hAnsi="Arial"/>
          <w:sz w:val="17"/>
          <w:szCs w:val="17"/>
          <w:color w:val="auto"/>
        </w:rPr>
        <w:t>. Notwithstanding any provisions in this Award Agreement, this Option shall be subject to any special terms and conditions set forth in any appendix to this Award Agreement for Participant’s country (the “Country Addendum”). Moreover, if Participant relocates to one of the countries included in the Country Addendum, the special terms and conditions for such country will apply to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5937250" cy="222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4">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6" w:right="1159" w:bottom="1440" w:gutter="0" w:footer="0" w:header="0"/>
        </w:sectPr>
      </w:pPr>
    </w:p>
    <w:bookmarkStart w:id="163" w:name="page164"/>
    <w:bookmarkEnd w:id="163"/>
    <w:p>
      <w:pPr>
        <w:spacing w:after="0" w:line="263" w:lineRule="auto"/>
        <w:rPr>
          <w:sz w:val="20"/>
          <w:szCs w:val="20"/>
          <w:color w:val="auto"/>
        </w:rPr>
      </w:pPr>
      <w:r>
        <w:rPr>
          <w:rFonts w:ascii="Arial" w:cs="Arial" w:eastAsia="Arial" w:hAnsi="Arial"/>
          <w:sz w:val="17"/>
          <w:szCs w:val="17"/>
          <w:color w:val="auto"/>
        </w:rPr>
        <w:t>to the extent the Company determines that the application of such terms and conditions is necessary or advisable for legal or administrative reasons. The Country Addendum constitutes part of this Award Agreement.</w:t>
      </w:r>
    </w:p>
    <w:p>
      <w:pPr>
        <w:spacing w:after="0" w:line="147" w:lineRule="exact"/>
        <w:rPr>
          <w:sz w:val="20"/>
          <w:szCs w:val="20"/>
          <w:color w:val="auto"/>
        </w:rPr>
      </w:pPr>
    </w:p>
    <w:p>
      <w:pPr>
        <w:jc w:val="both"/>
        <w:ind w:firstLine="552"/>
        <w:spacing w:after="0" w:line="248" w:lineRule="auto"/>
        <w:tabs>
          <w:tab w:leader="none" w:pos="903"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Modifications to the Agreement</w:t>
      </w:r>
      <w:r>
        <w:rPr>
          <w:rFonts w:ascii="Arial" w:cs="Arial" w:eastAsia="Arial" w:hAnsi="Arial"/>
          <w:sz w:val="17"/>
          <w:szCs w:val="17"/>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w:t>
      </w:r>
    </w:p>
    <w:p>
      <w:pPr>
        <w:spacing w:after="0" w:line="160" w:lineRule="exact"/>
        <w:rPr>
          <w:rFonts w:ascii="Arial" w:cs="Arial" w:eastAsia="Arial" w:hAnsi="Arial"/>
          <w:sz w:val="17"/>
          <w:szCs w:val="17"/>
          <w:color w:val="auto"/>
        </w:rPr>
      </w:pPr>
    </w:p>
    <w:p>
      <w:pPr>
        <w:jc w:val="both"/>
        <w:ind w:firstLine="552"/>
        <w:spacing w:after="0" w:line="248" w:lineRule="auto"/>
        <w:tabs>
          <w:tab w:leader="none" w:pos="903"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60" w:lineRule="exact"/>
        <w:rPr>
          <w:rFonts w:ascii="Arial" w:cs="Arial" w:eastAsia="Arial" w:hAnsi="Arial"/>
          <w:sz w:val="17"/>
          <w:szCs w:val="17"/>
          <w:color w:val="auto"/>
        </w:rPr>
      </w:pPr>
    </w:p>
    <w:p>
      <w:pPr>
        <w:jc w:val="both"/>
        <w:ind w:firstLine="552"/>
        <w:spacing w:after="0" w:line="246" w:lineRule="auto"/>
        <w:tabs>
          <w:tab w:leader="none" w:pos="914"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Tax Consequences</w:t>
      </w:r>
      <w:r>
        <w:rPr>
          <w:rFonts w:ascii="Arial" w:cs="Arial" w:eastAsia="Arial" w:hAnsi="Arial"/>
          <w:sz w:val="17"/>
          <w:szCs w:val="17"/>
          <w:color w:val="auto"/>
        </w:rPr>
        <w:t>. Participant has reviewed with its own tax advisors the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544830</wp:posOffset>
            </wp:positionV>
            <wp:extent cx="5937250" cy="222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5">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6" w:right="115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COUNTRY ADDENDUM</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Country Addendum includes additional terms and conditions that govern the Option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Option, the Company will, in its discretion, determine the extent to which the terms and conditions contained herein will be applicable to Participant.</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Certain capitalized terms used but not defined in this Country Addendum shall have the meanings set forth in the Plan, the and/or the Award Agreement to which this Country Addendum is attached.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Country Addendum also includes notifications relating to exchange control and other issues of which Participant should be aware with respect to his or her participation in the Plan.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exercises the Option or sells Shares acquired under the Plan.</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Finally, if Participant is a citizen or resident of a country other than the one in which Participant is currently working (or is considered as such for local law purposes) or if Participant moves to another country after the Option is granted, the information contained herein may not be applicable to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2378075</wp:posOffset>
            </wp:positionV>
            <wp:extent cx="5937250" cy="222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6">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165" w:name="page166"/>
    <w:bookmarkEnd w:id="165"/>
    <w:p>
      <w:pPr>
        <w:jc w:val="center"/>
        <w:ind w:right="20"/>
        <w:spacing w:after="0"/>
        <w:rPr>
          <w:sz w:val="20"/>
          <w:szCs w:val="20"/>
          <w:color w:val="auto"/>
        </w:rPr>
      </w:pPr>
      <w:r>
        <w:rPr>
          <w:rFonts w:ascii="Arial" w:cs="Arial" w:eastAsia="Arial" w:hAnsi="Arial"/>
          <w:sz w:val="17"/>
          <w:szCs w:val="17"/>
          <w:b w:val="1"/>
          <w:bCs w:val="1"/>
          <w:u w:val="single" w:color="auto"/>
          <w:color w:val="auto"/>
        </w:rPr>
        <w:t>EXHIBIT A</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PULSE BIOSCIENCES,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EXERCISE NOTICE</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PARTICIPANTS SUBJECT TO TAX IN SPAIN</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Pulse Biosciences, Inc.</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3957 Point Eden Way,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Hayward, CA 94545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Attention: Stock Administration</w:t>
      </w:r>
    </w:p>
    <w:p>
      <w:pPr>
        <w:spacing w:after="0" w:line="367" w:lineRule="exact"/>
        <w:rPr>
          <w:sz w:val="20"/>
          <w:szCs w:val="20"/>
          <w:color w:val="auto"/>
        </w:rPr>
      </w:pPr>
    </w:p>
    <w:p>
      <w:pPr>
        <w:jc w:val="both"/>
        <w:ind w:right="20" w:firstLine="552"/>
        <w:spacing w:after="0" w:line="265" w:lineRule="auto"/>
        <w:tabs>
          <w:tab w:leader="none" w:pos="899"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Effective as of today, ________________, _____, the undersigned (“Purchaser”) hereby elects to purchase ______________ shares (the “Shares”) of the Common Stock of Pulse Biosciences, Inc. (the “Company”) under and pursuant to the 2017 Equity Incentive Plan (the “Plan”) and the Stock Option Agreement, dated ________ and including the Notice of Grant, the Terms and Conditions of Stock Option Grant, and appendices and exhibits attached thereto (the “Award Agreement”). The purchase price for the Shares will be $_____________, as required by the Award Agreement.</w:t>
      </w:r>
    </w:p>
    <w:p>
      <w:pPr>
        <w:spacing w:after="0" w:line="148" w:lineRule="exact"/>
        <w:rPr>
          <w:rFonts w:ascii="Arial" w:cs="Arial" w:eastAsia="Arial" w:hAnsi="Arial"/>
          <w:sz w:val="16"/>
          <w:szCs w:val="16"/>
          <w:color w:val="auto"/>
        </w:rPr>
      </w:pPr>
    </w:p>
    <w:p>
      <w:pPr>
        <w:ind w:right="20" w:firstLine="552"/>
        <w:spacing w:after="0" w:line="295" w:lineRule="auto"/>
        <w:tabs>
          <w:tab w:leader="none" w:pos="899"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Delivery of Payment</w:t>
      </w:r>
      <w:r>
        <w:rPr>
          <w:rFonts w:ascii="Arial" w:cs="Arial" w:eastAsia="Arial" w:hAnsi="Arial"/>
          <w:sz w:val="16"/>
          <w:szCs w:val="16"/>
          <w:color w:val="auto"/>
        </w:rPr>
        <w:t>. Purchaser herewith delivers to the Company the full purchase price of the Shares and any Tax Obligations (as defined in Section 7(a) of the Award Agreement) to be paid in connection with the exercise of the Option.</w:t>
      </w:r>
    </w:p>
    <w:p>
      <w:pPr>
        <w:spacing w:after="0" w:line="124" w:lineRule="exact"/>
        <w:rPr>
          <w:rFonts w:ascii="Arial" w:cs="Arial" w:eastAsia="Arial" w:hAnsi="Arial"/>
          <w:sz w:val="16"/>
          <w:szCs w:val="16"/>
          <w:color w:val="auto"/>
        </w:rPr>
      </w:pPr>
    </w:p>
    <w:p>
      <w:pPr>
        <w:ind w:right="20" w:firstLine="552"/>
        <w:spacing w:after="0" w:line="264" w:lineRule="auto"/>
        <w:tabs>
          <w:tab w:leader="none" w:pos="887"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Representations of Purchaser</w:t>
      </w:r>
      <w:r>
        <w:rPr>
          <w:rFonts w:ascii="Arial" w:cs="Arial" w:eastAsia="Arial" w:hAnsi="Arial"/>
          <w:sz w:val="17"/>
          <w:szCs w:val="17"/>
          <w:color w:val="auto"/>
        </w:rPr>
        <w:t>. Purchaser acknowledges that Purchaser has received, read and understood the Plan and the Award Agreement and agrees to abide by and be bound by their terms and conditions.</w:t>
      </w:r>
    </w:p>
    <w:p>
      <w:pPr>
        <w:spacing w:after="0" w:line="146" w:lineRule="exact"/>
        <w:rPr>
          <w:rFonts w:ascii="Arial" w:cs="Arial" w:eastAsia="Arial" w:hAnsi="Arial"/>
          <w:sz w:val="17"/>
          <w:szCs w:val="17"/>
          <w:color w:val="auto"/>
        </w:rPr>
      </w:pPr>
    </w:p>
    <w:p>
      <w:pPr>
        <w:jc w:val="both"/>
        <w:ind w:right="20" w:firstLine="552"/>
        <w:spacing w:after="0" w:line="265" w:lineRule="auto"/>
        <w:tabs>
          <w:tab w:leader="none" w:pos="876"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15 of the Plan.</w:t>
      </w:r>
    </w:p>
    <w:p>
      <w:pPr>
        <w:spacing w:after="0" w:line="148" w:lineRule="exact"/>
        <w:rPr>
          <w:rFonts w:ascii="Arial" w:cs="Arial" w:eastAsia="Arial" w:hAnsi="Arial"/>
          <w:sz w:val="16"/>
          <w:szCs w:val="16"/>
          <w:color w:val="auto"/>
        </w:rPr>
      </w:pPr>
    </w:p>
    <w:p>
      <w:pPr>
        <w:jc w:val="both"/>
        <w:ind w:right="20" w:firstLine="552"/>
        <w:spacing w:after="0" w:line="248" w:lineRule="auto"/>
        <w:tabs>
          <w:tab w:leader="none" w:pos="887"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60" w:lineRule="exact"/>
        <w:rPr>
          <w:rFonts w:ascii="Arial" w:cs="Arial" w:eastAsia="Arial" w:hAnsi="Arial"/>
          <w:sz w:val="17"/>
          <w:szCs w:val="17"/>
          <w:color w:val="auto"/>
        </w:rPr>
      </w:pPr>
    </w:p>
    <w:p>
      <w:pPr>
        <w:jc w:val="both"/>
        <w:ind w:right="20" w:firstLine="552"/>
        <w:spacing w:after="0" w:line="265" w:lineRule="auto"/>
        <w:tabs>
          <w:tab w:leader="none" w:pos="887"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40" w:type="dxa"/>
            <w:vAlign w:val="bottom"/>
          </w:tcPr>
          <w:p>
            <w:pPr>
              <w:spacing w:after="0"/>
              <w:rPr>
                <w:sz w:val="20"/>
                <w:szCs w:val="20"/>
                <w:color w:val="auto"/>
              </w:rPr>
            </w:pPr>
            <w:r>
              <w:rPr>
                <w:rFonts w:ascii="Arial" w:cs="Arial" w:eastAsia="Arial" w:hAnsi="Arial"/>
                <w:sz w:val="17"/>
                <w:szCs w:val="17"/>
                <w:color w:val="auto"/>
              </w:rPr>
              <w:t>Submitted by:</w:t>
            </w:r>
          </w:p>
        </w:tc>
        <w:tc>
          <w:tcPr>
            <w:tcW w:w="6700" w:type="dxa"/>
            <w:vAlign w:val="bottom"/>
          </w:tcPr>
          <w:p>
            <w:pPr>
              <w:ind w:left="1640"/>
              <w:spacing w:after="0"/>
              <w:rPr>
                <w:sz w:val="20"/>
                <w:szCs w:val="20"/>
                <w:color w:val="auto"/>
              </w:rPr>
            </w:pPr>
            <w:r>
              <w:rPr>
                <w:rFonts w:ascii="Arial" w:cs="Arial" w:eastAsia="Arial" w:hAnsi="Arial"/>
                <w:sz w:val="17"/>
                <w:szCs w:val="17"/>
                <w:color w:val="auto"/>
              </w:rPr>
              <w:t>Accepted by:</w:t>
            </w:r>
          </w:p>
        </w:tc>
      </w:tr>
      <w:tr>
        <w:trPr>
          <w:trHeight w:val="380"/>
        </w:trPr>
        <w:tc>
          <w:tcPr>
            <w:tcW w:w="2640" w:type="dxa"/>
            <w:vAlign w:val="bottom"/>
          </w:tcPr>
          <w:p>
            <w:pPr>
              <w:spacing w:after="0"/>
              <w:rPr>
                <w:sz w:val="20"/>
                <w:szCs w:val="20"/>
                <w:color w:val="auto"/>
              </w:rPr>
            </w:pPr>
            <w:r>
              <w:rPr>
                <w:rFonts w:ascii="Arial" w:cs="Arial" w:eastAsia="Arial" w:hAnsi="Arial"/>
                <w:sz w:val="17"/>
                <w:szCs w:val="17"/>
                <w:color w:val="auto"/>
              </w:rPr>
              <w:t>PURCHASER</w:t>
            </w:r>
          </w:p>
        </w:tc>
        <w:tc>
          <w:tcPr>
            <w:tcW w:w="6700" w:type="dxa"/>
            <w:vAlign w:val="bottom"/>
          </w:tcPr>
          <w:p>
            <w:pPr>
              <w:ind w:left="1680"/>
              <w:spacing w:after="0"/>
              <w:rPr>
                <w:sz w:val="20"/>
                <w:szCs w:val="20"/>
                <w:color w:val="auto"/>
              </w:rPr>
            </w:pPr>
            <w:r>
              <w:rPr>
                <w:rFonts w:ascii="Arial" w:cs="Arial" w:eastAsia="Arial" w:hAnsi="Arial"/>
                <w:sz w:val="17"/>
                <w:szCs w:val="17"/>
                <w:color w:val="auto"/>
              </w:rPr>
              <w:t>PULSE BIOSCIENCES, INC.</w:t>
            </w:r>
          </w:p>
        </w:tc>
      </w:tr>
      <w:tr>
        <w:trPr>
          <w:trHeight w:val="469"/>
        </w:trPr>
        <w:tc>
          <w:tcPr>
            <w:tcW w:w="264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r>
      <w:tr>
        <w:trPr>
          <w:trHeight w:val="20"/>
        </w:trPr>
        <w:tc>
          <w:tcPr>
            <w:tcW w:w="2640" w:type="dxa"/>
            <w:vAlign w:val="bottom"/>
            <w:tcBorders>
              <w:bottom w:val="single" w:sz="8" w:color="EEEEEE"/>
            </w:tcBorders>
          </w:tcPr>
          <w:p>
            <w:pPr>
              <w:spacing w:after="0" w:line="20" w:lineRule="exact"/>
              <w:rPr>
                <w:sz w:val="1"/>
                <w:szCs w:val="1"/>
                <w:color w:val="auto"/>
              </w:rPr>
            </w:pPr>
          </w:p>
        </w:tc>
        <w:tc>
          <w:tcPr>
            <w:tcW w:w="6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-13970</wp:posOffset>
            </wp:positionV>
            <wp:extent cx="7620" cy="146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7">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-21590</wp:posOffset>
            </wp:positionV>
            <wp:extent cx="7620" cy="222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8">
                      <a:extLst>
                        <a:ext uri="{28A0092B-C50C-407E-A947-70E740481C1C}"/>
                      </a:extLst>
                    </a:blip>
                    <a:srcRect/>
                    <a:stretch>
                      <a:fillRect/>
                    </a:stretch>
                  </pic:blipFill>
                  <pic:spPr bwMode="auto">
                    <a:xfrm>
                      <a:off x="0" y="0"/>
                      <a:ext cx="7620" cy="22225"/>
                    </a:xfrm>
                    <a:prstGeom prst="rect">
                      <a:avLst/>
                    </a:prstGeom>
                    <a:noFill/>
                  </pic:spPr>
                </pic:pic>
              </a:graphicData>
            </a:graphic>
          </wp:anchor>
        </w:drawing>
      </w:r>
    </w:p>
    <w:p>
      <w:pPr>
        <w:sectPr>
          <w:pgSz w:w="11900" w:h="16838" w:orient="portrait"/>
          <w:cols w:equalWidth="0" w:num="1">
            <w:col w:w="9340"/>
          </w:cols>
          <w:pgMar w:left="1420" w:top="120" w:right="11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15"/>
        </w:trPr>
        <w:tc>
          <w:tcPr>
            <w:tcW w:w="238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1880" w:type="dxa"/>
            <w:vAlign w:val="bottom"/>
          </w:tcPr>
          <w:p>
            <w:pPr>
              <w:ind w:left="1580"/>
              <w:spacing w:after="0"/>
              <w:rPr>
                <w:sz w:val="20"/>
                <w:szCs w:val="20"/>
                <w:color w:val="auto"/>
              </w:rPr>
            </w:pPr>
            <w:r>
              <w:rPr>
                <w:rFonts w:ascii="Arial" w:cs="Arial" w:eastAsia="Arial" w:hAnsi="Arial"/>
                <w:sz w:val="17"/>
                <w:szCs w:val="17"/>
                <w:color w:val="auto"/>
              </w:rPr>
              <w:t>By</w:t>
            </w:r>
          </w:p>
        </w:tc>
      </w:tr>
      <w:tr>
        <w:trPr>
          <w:trHeight w:val="576"/>
        </w:trPr>
        <w:tc>
          <w:tcPr>
            <w:tcW w:w="2380" w:type="dxa"/>
            <w:vAlign w:val="bottom"/>
            <w:gridSpan w:val="2"/>
          </w:tcPr>
          <w:p>
            <w:pPr>
              <w:spacing w:after="0"/>
              <w:rPr>
                <w:sz w:val="20"/>
                <w:szCs w:val="20"/>
                <w:color w:val="auto"/>
              </w:rPr>
            </w:pPr>
            <w:r>
              <w:rPr>
                <w:rFonts w:ascii="Arial" w:cs="Arial" w:eastAsia="Arial" w:hAnsi="Arial"/>
                <w:sz w:val="17"/>
                <w:szCs w:val="17"/>
                <w:color w:val="auto"/>
              </w:rPr>
              <w:t>Print Name</w:t>
            </w:r>
          </w:p>
        </w:tc>
        <w:tc>
          <w:tcPr>
            <w:tcW w:w="1880" w:type="dxa"/>
            <w:vAlign w:val="bottom"/>
          </w:tcPr>
          <w:p>
            <w:pPr>
              <w:ind w:left="1720"/>
              <w:spacing w:after="0"/>
              <w:rPr>
                <w:sz w:val="20"/>
                <w:szCs w:val="20"/>
                <w:color w:val="auto"/>
              </w:rPr>
            </w:pPr>
            <w:r>
              <w:rPr>
                <w:rFonts w:ascii="Arial" w:cs="Arial" w:eastAsia="Arial" w:hAnsi="Arial"/>
                <w:sz w:val="17"/>
                <w:szCs w:val="17"/>
                <w:color w:val="auto"/>
                <w:w w:val="77"/>
              </w:rPr>
              <w:t>Its</w:t>
            </w:r>
          </w:p>
        </w:tc>
      </w:tr>
      <w:tr>
        <w:trPr>
          <w:trHeight w:val="342"/>
        </w:trPr>
        <w:tc>
          <w:tcPr>
            <w:tcW w:w="2380" w:type="dxa"/>
            <w:vAlign w:val="bottom"/>
            <w:gridSpan w:val="2"/>
          </w:tcPr>
          <w:p>
            <w:pPr>
              <w:spacing w:after="0"/>
              <w:rPr>
                <w:sz w:val="20"/>
                <w:szCs w:val="20"/>
                <w:color w:val="auto"/>
              </w:rPr>
            </w:pPr>
            <w:r>
              <w:rPr>
                <w:rFonts w:ascii="Arial" w:cs="Arial" w:eastAsia="Arial" w:hAnsi="Arial"/>
                <w:sz w:val="17"/>
                <w:szCs w:val="17"/>
                <w:color w:val="auto"/>
              </w:rPr>
              <w:t>Address:</w:t>
            </w:r>
          </w:p>
        </w:tc>
        <w:tc>
          <w:tcPr>
            <w:tcW w:w="188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4563110</wp:posOffset>
            </wp:positionV>
            <wp:extent cx="5937250" cy="222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9">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039"/>
          </w:cols>
          <w:pgMar w:left="1420" w:top="713" w:right="1440" w:bottom="1440" w:gutter="0" w:footer="0" w:header="0"/>
        </w:sectPr>
      </w:pPr>
    </w:p>
    <w:bookmarkStart w:id="167" w:name="page168"/>
    <w:bookmarkEnd w:id="167"/>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19"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STOCK OPTION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PARTICIPANTS SUBJECT TO TAX IN SWITZERLAND</w:t>
      </w:r>
    </w:p>
    <w:p>
      <w:pPr>
        <w:spacing w:after="0" w:line="381"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u w:val="single" w:color="auto"/>
          <w:color w:val="auto"/>
        </w:rPr>
        <w:t>NOTICE OF STOCK OPTION GRANT</w:t>
      </w:r>
    </w:p>
    <w:p>
      <w:pPr>
        <w:spacing w:after="0" w:line="189" w:lineRule="exact"/>
        <w:rPr>
          <w:sz w:val="20"/>
          <w:szCs w:val="20"/>
          <w:color w:val="auto"/>
        </w:rPr>
      </w:pPr>
    </w:p>
    <w:p>
      <w:pPr>
        <w:jc w:val="both"/>
        <w:ind w:firstLine="553"/>
        <w:spacing w:after="0" w:line="301" w:lineRule="auto"/>
        <w:rPr>
          <w:sz w:val="20"/>
          <w:szCs w:val="20"/>
          <w:color w:val="auto"/>
        </w:rPr>
      </w:pPr>
      <w:r>
        <w:rPr>
          <w:rFonts w:ascii="Arial" w:cs="Arial" w:eastAsia="Arial" w:hAnsi="Arial"/>
          <w:sz w:val="15"/>
          <w:szCs w:val="15"/>
          <w:color w:val="auto"/>
        </w:rPr>
        <w:t>Unless otherwise defined herein, the terms defined in the Pulse Biosciences, Inc. 2017 Equity Incentive Plan (the “Plan”) will have the same defined meanings in this Stock Option Agreement including the Notice of Stock Option Grant (the “Notice of Grant”), the Terms and Conditions of Stock Option Grant, and the appendices and exhibits attached thereto (all together, the “Award Agreement”).</w:t>
      </w:r>
    </w:p>
    <w:p>
      <w:pPr>
        <w:spacing w:after="0" w:line="119" w:lineRule="exact"/>
        <w:rPr>
          <w:sz w:val="20"/>
          <w:szCs w:val="20"/>
          <w:color w:val="auto"/>
        </w:rPr>
      </w:pPr>
    </w:p>
    <w:p>
      <w:pPr>
        <w:ind w:left="560"/>
        <w:spacing w:after="0"/>
        <w:tabs>
          <w:tab w:leader="none" w:pos="2700" w:val="left"/>
        </w:tabs>
        <w:rPr>
          <w:sz w:val="20"/>
          <w:szCs w:val="20"/>
          <w:color w:val="auto"/>
        </w:rPr>
      </w:pPr>
      <w:r>
        <w:rPr>
          <w:rFonts w:ascii="Arial" w:cs="Arial" w:eastAsia="Arial" w:hAnsi="Arial"/>
          <w:sz w:val="17"/>
          <w:szCs w:val="17"/>
          <w:b w:val="1"/>
          <w:bCs w:val="1"/>
          <w:color w:val="auto"/>
        </w:rPr>
        <w:t>Name (“Participant”):</w:t>
      </w:r>
      <w:r>
        <w:rPr>
          <w:sz w:val="20"/>
          <w:szCs w:val="20"/>
          <w:color w:val="auto"/>
        </w:rPr>
        <w:tab/>
      </w:r>
      <w:r>
        <w:rPr>
          <w:rFonts w:ascii="Arial" w:cs="Arial" w:eastAsia="Arial" w:hAnsi="Arial"/>
          <w:sz w:val="17"/>
          <w:szCs w:val="17"/>
          <w:color w:val="auto"/>
        </w:rPr>
        <w:t>[[</w:t>
      </w:r>
      <w:r>
        <w:rPr>
          <w:rFonts w:ascii="Arial" w:cs="Arial" w:eastAsia="Arial" w:hAnsi="Arial"/>
          <w:sz w:val="17"/>
          <w:szCs w:val="17"/>
          <w:color w:val="2B2105"/>
        </w:rPr>
        <w:t>FIRSTNAME]] [[LASTNAME]]</w:t>
      </w:r>
    </w:p>
    <w:p>
      <w:pPr>
        <w:spacing w:after="0" w:line="185" w:lineRule="exact"/>
        <w:rPr>
          <w:sz w:val="20"/>
          <w:szCs w:val="20"/>
          <w:color w:val="auto"/>
        </w:rPr>
      </w:pPr>
    </w:p>
    <w:p>
      <w:pPr>
        <w:ind w:left="560"/>
        <w:spacing w:after="0"/>
        <w:tabs>
          <w:tab w:leader="none" w:pos="2840" w:val="left"/>
        </w:tabs>
        <w:rPr>
          <w:sz w:val="20"/>
          <w:szCs w:val="20"/>
          <w:color w:val="auto"/>
        </w:rPr>
      </w:pPr>
      <w:r>
        <w:rPr>
          <w:rFonts w:ascii="Arial" w:cs="Arial" w:eastAsia="Arial" w:hAnsi="Arial"/>
          <w:sz w:val="17"/>
          <w:szCs w:val="17"/>
          <w:b w:val="1"/>
          <w:bCs w:val="1"/>
          <w:color w:val="auto"/>
        </w:rPr>
        <w:t>Address:</w:t>
      </w:r>
      <w:r>
        <w:rPr>
          <w:sz w:val="20"/>
          <w:szCs w:val="20"/>
          <w:color w:val="auto"/>
        </w:rPr>
        <w:tab/>
      </w:r>
      <w:r>
        <w:rPr>
          <w:rFonts w:ascii="Arial" w:cs="Arial" w:eastAsia="Arial" w:hAnsi="Arial"/>
          <w:sz w:val="17"/>
          <w:szCs w:val="17"/>
          <w:color w:val="auto"/>
        </w:rPr>
        <w:t>[[</w:t>
      </w:r>
      <w:r>
        <w:rPr>
          <w:rFonts w:ascii="Arial" w:cs="Arial" w:eastAsia="Arial" w:hAnsi="Arial"/>
          <w:sz w:val="17"/>
          <w:szCs w:val="17"/>
          <w:color w:val="2B2105"/>
        </w:rPr>
        <w:t>RESADDR1]]</w:t>
      </w:r>
    </w:p>
    <w:p>
      <w:pPr>
        <w:spacing w:after="0" w:line="19" w:lineRule="exact"/>
        <w:rPr>
          <w:sz w:val="20"/>
          <w:szCs w:val="20"/>
          <w:color w:val="auto"/>
        </w:rPr>
      </w:pPr>
    </w:p>
    <w:p>
      <w:pPr>
        <w:ind w:left="2760"/>
        <w:spacing w:after="0"/>
        <w:rPr>
          <w:sz w:val="20"/>
          <w:szCs w:val="20"/>
          <w:color w:val="auto"/>
        </w:rPr>
      </w:pPr>
      <w:r>
        <w:rPr>
          <w:rFonts w:ascii="Arial" w:cs="Arial" w:eastAsia="Arial" w:hAnsi="Arial"/>
          <w:sz w:val="17"/>
          <w:szCs w:val="17"/>
          <w:color w:val="2B2105"/>
        </w:rPr>
        <w:t>[[RESADDR2]]</w:t>
      </w:r>
    </w:p>
    <w:p>
      <w:pPr>
        <w:spacing w:after="0" w:line="1" w:lineRule="exact"/>
        <w:rPr>
          <w:sz w:val="20"/>
          <w:szCs w:val="20"/>
          <w:color w:val="auto"/>
        </w:rPr>
      </w:pPr>
    </w:p>
    <w:p>
      <w:pPr>
        <w:jc w:val="center"/>
        <w:ind w:right="-639"/>
        <w:spacing w:after="0"/>
        <w:rPr>
          <w:sz w:val="20"/>
          <w:szCs w:val="20"/>
          <w:color w:val="auto"/>
        </w:rPr>
      </w:pPr>
      <w:r>
        <w:rPr>
          <w:rFonts w:ascii="Arial" w:cs="Arial" w:eastAsia="Arial" w:hAnsi="Arial"/>
          <w:sz w:val="17"/>
          <w:szCs w:val="17"/>
          <w:color w:val="auto"/>
        </w:rPr>
        <w:t>[[RESCITY]],[[</w:t>
      </w:r>
      <w:r>
        <w:rPr>
          <w:rFonts w:ascii="Arial" w:cs="Arial" w:eastAsia="Arial" w:hAnsi="Arial"/>
          <w:sz w:val="17"/>
          <w:szCs w:val="17"/>
          <w:color w:val="2B2105"/>
        </w:rPr>
        <w:t>RESSTATEORPROV]]  [[RESPOSTALCODE]]</w:t>
      </w:r>
    </w:p>
    <w:p>
      <w:pPr>
        <w:spacing w:after="0" w:line="171"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7"/>
          <w:szCs w:val="17"/>
          <w:color w:val="auto"/>
        </w:rPr>
        <w:t>The undersigned Participant has been granted an Option to purchase Common Stock of Pulse Biosciences, Inc. (the “Company”), subject to the terms and conditions of the Plan and this Award Agreement, as follows:</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2280" w:type="dxa"/>
            <w:vAlign w:val="bottom"/>
            <w:gridSpan w:val="2"/>
          </w:tcPr>
          <w:p>
            <w:pPr>
              <w:spacing w:after="0"/>
              <w:rPr>
                <w:sz w:val="20"/>
                <w:szCs w:val="20"/>
                <w:color w:val="auto"/>
              </w:rPr>
            </w:pPr>
            <w:r>
              <w:rPr>
                <w:rFonts w:ascii="Arial" w:cs="Arial" w:eastAsia="Arial" w:hAnsi="Arial"/>
                <w:sz w:val="17"/>
                <w:szCs w:val="17"/>
                <w:color w:val="auto"/>
              </w:rPr>
              <w:t>Grant Number</w:t>
            </w:r>
          </w:p>
        </w:tc>
        <w:tc>
          <w:tcPr>
            <w:tcW w:w="3080" w:type="dxa"/>
            <w:vAlign w:val="bottom"/>
          </w:tcPr>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GRANTNUMBER]]</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Date of Grant</w:t>
            </w:r>
          </w:p>
        </w:tc>
        <w:tc>
          <w:tcPr>
            <w:tcW w:w="3080" w:type="dxa"/>
            <w:vAlign w:val="bottom"/>
          </w:tcPr>
          <w:p>
            <w:pPr>
              <w:ind w:left="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GRANTDATE]]</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w w:val="99"/>
              </w:rPr>
              <w:t>Vesting Commencement Date</w:t>
            </w:r>
          </w:p>
        </w:tc>
        <w:tc>
          <w:tcPr>
            <w:tcW w:w="3080" w:type="dxa"/>
            <w:vAlign w:val="bottom"/>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VESTINGSTARTDATE]]</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Number of Shares Granted</w:t>
            </w:r>
          </w:p>
        </w:tc>
        <w:tc>
          <w:tcPr>
            <w:tcW w:w="3080" w:type="dxa"/>
            <w:vAlign w:val="bottom"/>
          </w:tcPr>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SHARESGRANTED]]</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Exercise Price per Share</w:t>
            </w:r>
          </w:p>
        </w:tc>
        <w:tc>
          <w:tcPr>
            <w:tcW w:w="3080" w:type="dxa"/>
            <w:vAlign w:val="bottom"/>
          </w:tcPr>
          <w:p>
            <w:pPr>
              <w:ind w:left="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GRANTPRICE]]</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Total Exercise Price</w:t>
            </w:r>
          </w:p>
        </w:tc>
        <w:tc>
          <w:tcPr>
            <w:tcW w:w="3080" w:type="dxa"/>
            <w:vAlign w:val="bottom"/>
          </w:tcPr>
          <w:p>
            <w:pPr>
              <w:ind w:left="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MARKETPRICEATAWARD]]</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Term/Expiration Date</w:t>
            </w:r>
          </w:p>
        </w:tc>
        <w:tc>
          <w:tcPr>
            <w:tcW w:w="3080" w:type="dxa"/>
            <w:vAlign w:val="bottom"/>
          </w:tcPr>
          <w:p>
            <w:pPr>
              <w:ind w:left="8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2B2105"/>
                <w:w w:val="97"/>
              </w:rPr>
              <w:t>GRANTEXPIRATIONDATE]]</w:t>
            </w:r>
          </w:p>
        </w:tc>
      </w:tr>
      <w:tr>
        <w:trPr>
          <w:trHeight w:val="342"/>
        </w:trPr>
        <w:tc>
          <w:tcPr>
            <w:tcW w:w="2280" w:type="dxa"/>
            <w:vAlign w:val="bottom"/>
            <w:gridSpan w:val="2"/>
          </w:tcPr>
          <w:p>
            <w:pPr>
              <w:spacing w:after="0"/>
              <w:rPr>
                <w:sz w:val="20"/>
                <w:szCs w:val="20"/>
                <w:color w:val="auto"/>
              </w:rPr>
            </w:pPr>
            <w:r>
              <w:rPr>
                <w:rFonts w:ascii="Arial" w:cs="Arial" w:eastAsia="Arial" w:hAnsi="Arial"/>
                <w:sz w:val="17"/>
                <w:szCs w:val="17"/>
                <w:color w:val="auto"/>
              </w:rPr>
              <w:t>Vesting Schedule:</w:t>
            </w:r>
          </w:p>
        </w:tc>
        <w:tc>
          <w:tcPr>
            <w:tcW w:w="3080" w:type="dxa"/>
            <w:vAlign w:val="bottom"/>
          </w:tcPr>
          <w:p>
            <w:pPr>
              <w:spacing w:after="0"/>
              <w:rPr>
                <w:sz w:val="24"/>
                <w:szCs w:val="24"/>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7"/>
          <w:szCs w:val="17"/>
          <w:color w:val="auto"/>
        </w:rPr>
        <w:t>Subject to accelerated vesting as set forth below or in the Plan, this Option will be exercisable, in whole or in part, in accordance with the following schedule: [[</w:t>
      </w:r>
      <w:r>
        <w:rPr>
          <w:rFonts w:ascii="Arial" w:cs="Arial" w:eastAsia="Arial" w:hAnsi="Arial"/>
          <w:sz w:val="17"/>
          <w:szCs w:val="17"/>
          <w:color w:val="2B2105"/>
        </w:rPr>
        <w:t>VESTINGTEMPLATEDESC]]</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u w:val="single" w:color="auto"/>
          <w:color w:val="auto"/>
        </w:rPr>
        <w:t>Termination Period</w:t>
      </w:r>
      <w:r>
        <w:rPr>
          <w:rFonts w:ascii="Arial" w:cs="Arial" w:eastAsia="Arial" w:hAnsi="Arial"/>
          <w:sz w:val="17"/>
          <w:szCs w:val="17"/>
          <w:color w:val="auto"/>
        </w:rPr>
        <w:t>:</w:t>
      </w:r>
    </w:p>
    <w:p>
      <w:pPr>
        <w:spacing w:after="0" w:line="185" w:lineRule="exact"/>
        <w:rPr>
          <w:sz w:val="20"/>
          <w:szCs w:val="20"/>
          <w:color w:val="auto"/>
        </w:rPr>
      </w:pPr>
    </w:p>
    <w:p>
      <w:pPr>
        <w:jc w:val="both"/>
        <w:ind w:firstLine="553"/>
        <w:spacing w:after="0" w:line="268" w:lineRule="auto"/>
        <w:rPr>
          <w:sz w:val="20"/>
          <w:szCs w:val="20"/>
          <w:color w:val="auto"/>
        </w:rPr>
      </w:pPr>
      <w:r>
        <w:rPr>
          <w:rFonts w:ascii="Arial" w:cs="Arial" w:eastAsia="Arial" w:hAnsi="Arial"/>
          <w:sz w:val="16"/>
          <w:szCs w:val="16"/>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 sentence, in no event may this Option be exercised after the Term/Expiration Date as provided above and may be subject to earlier termination as provided in Section 15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5937250" cy="222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0">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709" w:right="1159" w:bottom="1440" w:gutter="0" w:footer="0" w:header="0"/>
        </w:sectPr>
      </w:pPr>
    </w:p>
    <w:bookmarkStart w:id="168" w:name="page169"/>
    <w:bookmarkEnd w:id="168"/>
    <w:p>
      <w:pPr>
        <w:jc w:val="both"/>
        <w:ind w:firstLine="553"/>
        <w:spacing w:after="0" w:line="263" w:lineRule="auto"/>
        <w:rPr>
          <w:sz w:val="20"/>
          <w:szCs w:val="20"/>
          <w:color w:val="auto"/>
        </w:rPr>
      </w:pPr>
      <w:r>
        <w:rPr>
          <w:rFonts w:ascii="Arial" w:cs="Arial" w:eastAsia="Arial" w:hAnsi="Arial"/>
          <w:sz w:val="16"/>
          <w:szCs w:val="16"/>
          <w:color w:val="auto"/>
        </w:rPr>
        <w:t>Participant acknowledges receipt of a copy of the Plan and represents that he or she is familiar with the terms and provisions thereof, and hereby accepts this Award Agreement subject to all of the terms and provisions thereof. Participant has reviewed the Plan and this Award Agreement in their entirety, has had an opportunity to obtain the advice of counsel prior to executing this Award Agreement and fully understands all provisions of this Award Agreement. Participant hereby agrees to accept as binding, conclusive and final all decisions or interpretations of the Administrator upon any questions arising under the Plan or this Award Agreement. Participant further agrees to notify the Company upon any change in the residence address indicated below.</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PULSE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1405890" cy="5562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1">
                      <a:extLst>
                        <a:ext uri="{28A0092B-C50C-407E-A947-70E740481C1C}"/>
                      </a:extLst>
                    </a:blip>
                    <a:srcRect/>
                    <a:stretch>
                      <a:fillRect/>
                    </a:stretch>
                  </pic:blipFill>
                  <pic:spPr bwMode="auto">
                    <a:xfrm>
                      <a:off x="0" y="0"/>
                      <a:ext cx="1405890" cy="55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Sandra Gardiner, Chief Financial Officer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PARTICIPANT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ACCEPTED: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rPr>
          <w:sz w:val="20"/>
          <w:szCs w:val="20"/>
          <w:color w:val="auto"/>
        </w:rPr>
      </w:pPr>
      <w:r>
        <w:rPr>
          <w:rFonts w:ascii="Arial" w:cs="Arial" w:eastAsia="Arial" w:hAnsi="Arial"/>
          <w:sz w:val="17"/>
          <w:szCs w:val="17"/>
          <w:color w:val="auto"/>
        </w:rPr>
        <w:t>Signature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[[SIGNATURE_DATE]]</w:t>
      </w:r>
    </w:p>
    <w:p>
      <w:pPr>
        <w:spacing w:after="0"/>
        <w:rPr>
          <w:sz w:val="20"/>
          <w:szCs w:val="20"/>
          <w:color w:val="auto"/>
        </w:rPr>
      </w:pPr>
      <w:r>
        <w:rPr>
          <w:rFonts w:ascii="Arial" w:cs="Arial" w:eastAsia="Arial" w:hAnsi="Arial"/>
          <w:sz w:val="17"/>
          <w:szCs w:val="17"/>
          <w:color w:val="auto"/>
        </w:rPr>
        <w:t>Date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u w:val="single" w:color="auto"/>
          <w:color w:val="2B2105"/>
        </w:rPr>
        <w:t>FIRSTNAME]] [[LASTNAME]]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Print Name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RESADDR1]]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B2105"/>
        </w:rPr>
        <w:t>[[RESADDR2]]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[[RESCITY]], [[</w:t>
      </w:r>
      <w:r>
        <w:rPr>
          <w:rFonts w:ascii="Arial" w:cs="Arial" w:eastAsia="Arial" w:hAnsi="Arial"/>
          <w:sz w:val="17"/>
          <w:szCs w:val="17"/>
          <w:color w:val="2B2105"/>
        </w:rPr>
        <w:t>RESSTATEORPROV]] [[RESPOSTALCODE]]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791210</wp:posOffset>
            </wp:positionV>
            <wp:extent cx="5937250" cy="222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2">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20"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STOCK OPTION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PARTICIPANTS SUBJECT TO TAX IN SWITZERLAND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TERMS AND CONDITIONS OF STOCK OPTION GRANT</w:t>
      </w:r>
    </w:p>
    <w:p>
      <w:pPr>
        <w:spacing w:after="0" w:line="189" w:lineRule="exact"/>
        <w:rPr>
          <w:sz w:val="20"/>
          <w:szCs w:val="20"/>
          <w:color w:val="auto"/>
        </w:rPr>
      </w:pPr>
    </w:p>
    <w:p>
      <w:pPr>
        <w:jc w:val="both"/>
        <w:ind w:firstLine="552"/>
        <w:spacing w:after="0" w:line="284" w:lineRule="auto"/>
        <w:tabs>
          <w:tab w:leader="none" w:pos="914" w:val="left"/>
        </w:tabs>
        <w:numPr>
          <w:ilvl w:val="0"/>
          <w:numId w:val="115"/>
        </w:numPr>
        <w:rPr>
          <w:rFonts w:ascii="Arial" w:cs="Arial" w:eastAsia="Arial" w:hAnsi="Arial"/>
          <w:sz w:val="15"/>
          <w:szCs w:val="15"/>
          <w:color w:val="auto"/>
        </w:rPr>
      </w:pPr>
      <w:r>
        <w:rPr>
          <w:rFonts w:ascii="Arial" w:cs="Arial" w:eastAsia="Arial" w:hAnsi="Arial"/>
          <w:sz w:val="15"/>
          <w:szCs w:val="15"/>
          <w:u w:val="single" w:color="auto"/>
          <w:color w:val="auto"/>
        </w:rPr>
        <w:t>Grant of Option</w:t>
      </w:r>
      <w:r>
        <w:rPr>
          <w:rFonts w:ascii="Arial" w:cs="Arial" w:eastAsia="Arial" w:hAnsi="Arial"/>
          <w:sz w:val="15"/>
          <w:szCs w:val="15"/>
          <w:color w:val="auto"/>
        </w:rPr>
        <w:t>. The Company hereby grants to the individual (the “Participant”) named in the Notice of Stock Option Grant of this Award Agreement (the “Notice of Grant”) an option (the “Option”) to purchase the number of Shares, as set forth in the Notice of Grant, at the exercise price per Share set forth in the Notice of Grant (the “Exercise Price”), which is not less than the Fair Market Value per Share on the Date of Grant of the Option, subject to all of the terms and conditions in this Award Agreement and the Plan, which is incorporated herein by reference. Subject to Section 20(c) of the Plan, in the event of a conflict between the terms and conditions of the Plan and the terms and conditions of this Award Agreement, the terms and conditions of the Plan will prevail.</w:t>
      </w:r>
    </w:p>
    <w:p>
      <w:pPr>
        <w:spacing w:after="0" w:line="135" w:lineRule="exact"/>
        <w:rPr>
          <w:rFonts w:ascii="Arial" w:cs="Arial" w:eastAsia="Arial" w:hAnsi="Arial"/>
          <w:sz w:val="15"/>
          <w:szCs w:val="15"/>
          <w:color w:val="auto"/>
        </w:rPr>
      </w:pPr>
    </w:p>
    <w:p>
      <w:pPr>
        <w:jc w:val="both"/>
        <w:ind w:firstLine="552"/>
        <w:spacing w:after="0" w:line="268" w:lineRule="auto"/>
        <w:tabs>
          <w:tab w:leader="none" w:pos="903"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spacing w:after="0" w:line="146" w:lineRule="exact"/>
        <w:rPr>
          <w:rFonts w:ascii="Arial" w:cs="Arial" w:eastAsia="Arial" w:hAnsi="Arial"/>
          <w:sz w:val="16"/>
          <w:szCs w:val="16"/>
          <w:color w:val="auto"/>
        </w:rPr>
      </w:pPr>
    </w:p>
    <w:p>
      <w:pPr>
        <w:jc w:val="both"/>
        <w:ind w:firstLine="552"/>
        <w:spacing w:after="0" w:line="252" w:lineRule="auto"/>
        <w:tabs>
          <w:tab w:leader="none" w:pos="914"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Administrator Discretion</w:t>
      </w:r>
      <w:r>
        <w:rPr>
          <w:rFonts w:ascii="Arial" w:cs="Arial" w:eastAsia="Arial" w:hAnsi="Arial"/>
          <w:sz w:val="17"/>
          <w:szCs w:val="17"/>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56" w:lineRule="exact"/>
        <w:rPr>
          <w:rFonts w:ascii="Arial" w:cs="Arial" w:eastAsia="Arial" w:hAnsi="Arial"/>
          <w:sz w:val="17"/>
          <w:szCs w:val="17"/>
          <w:color w:val="auto"/>
        </w:rPr>
      </w:pPr>
    </w:p>
    <w:p>
      <w:pPr>
        <w:ind w:left="900" w:hanging="348"/>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firstLine="829"/>
        <w:spacing w:after="0" w:line="264" w:lineRule="auto"/>
        <w:tabs>
          <w:tab w:leader="none" w:pos="1175"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This Option may be exercised only within the term set out in the Notice of Grant, and may be exercised during such term only in accordance with the Plan and the terms of this Award Agreement.</w:t>
      </w:r>
    </w:p>
    <w:p>
      <w:pPr>
        <w:spacing w:after="0" w:line="146" w:lineRule="exact"/>
        <w:rPr>
          <w:rFonts w:ascii="Arial" w:cs="Arial" w:eastAsia="Arial" w:hAnsi="Arial"/>
          <w:sz w:val="17"/>
          <w:szCs w:val="17"/>
          <w:color w:val="auto"/>
        </w:rPr>
      </w:pPr>
    </w:p>
    <w:p>
      <w:pPr>
        <w:jc w:val="both"/>
        <w:ind w:firstLine="829"/>
        <w:spacing w:after="0" w:line="282" w:lineRule="auto"/>
        <w:tabs>
          <w:tab w:leader="none" w:pos="1173" w:val="left"/>
        </w:tabs>
        <w:numPr>
          <w:ilvl w:val="1"/>
          <w:numId w:val="115"/>
        </w:numPr>
        <w:rPr>
          <w:rFonts w:ascii="Arial" w:cs="Arial" w:eastAsia="Arial" w:hAnsi="Arial"/>
          <w:sz w:val="15"/>
          <w:szCs w:val="15"/>
          <w:color w:val="auto"/>
        </w:rPr>
      </w:pPr>
      <w:r>
        <w:rPr>
          <w:rFonts w:ascii="Arial" w:cs="Arial" w:eastAsia="Arial" w:hAnsi="Arial"/>
          <w:sz w:val="15"/>
          <w:szCs w:val="15"/>
          <w:u w:val="single" w:color="auto"/>
          <w:color w:val="auto"/>
        </w:rPr>
        <w:t>Method of Exercise</w:t>
      </w:r>
      <w:r>
        <w:rPr>
          <w:rFonts w:ascii="Arial" w:cs="Arial" w:eastAsia="Arial" w:hAnsi="Arial"/>
          <w:sz w:val="15"/>
          <w:szCs w:val="15"/>
          <w:color w:val="auto"/>
        </w:rPr>
        <w:t xml:space="preserve">. This Option is exercisable by delivery of an exercise notice (the “Exercise Notice”) in the form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and of any Tax Obligations (as defined in Section 6(a)). This Option will be deemed to be exercised upon receipt by the Company of such fully executed Exercise Notice accompanied by the aggregate Exercise Price.</w:t>
      </w:r>
    </w:p>
    <w:p>
      <w:pPr>
        <w:spacing w:after="0" w:line="137" w:lineRule="exact"/>
        <w:rPr>
          <w:rFonts w:ascii="Arial" w:cs="Arial" w:eastAsia="Arial" w:hAnsi="Arial"/>
          <w:sz w:val="15"/>
          <w:szCs w:val="15"/>
          <w:color w:val="auto"/>
        </w:rPr>
      </w:pPr>
    </w:p>
    <w:p>
      <w:pPr>
        <w:ind w:firstLine="552"/>
        <w:spacing w:after="0" w:line="264" w:lineRule="auto"/>
        <w:tabs>
          <w:tab w:leader="none" w:pos="903"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Payment of the aggregate Exercise Price will be by any of the following, or a combination thereof, at the election of Participant:</w:t>
      </w:r>
    </w:p>
    <w:p>
      <w:pPr>
        <w:spacing w:after="0" w:line="146" w:lineRule="exact"/>
        <w:rPr>
          <w:rFonts w:ascii="Arial" w:cs="Arial" w:eastAsia="Arial" w:hAnsi="Arial"/>
          <w:sz w:val="17"/>
          <w:szCs w:val="17"/>
          <w:color w:val="auto"/>
        </w:rPr>
      </w:pPr>
    </w:p>
    <w:p>
      <w:pPr>
        <w:ind w:left="1160" w:hanging="331"/>
        <w:spacing w:after="0"/>
        <w:tabs>
          <w:tab w:leader="none" w:pos="11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cash;</w:t>
      </w:r>
    </w:p>
    <w:p>
      <w:pPr>
        <w:spacing w:after="0" w:line="184" w:lineRule="exact"/>
        <w:rPr>
          <w:rFonts w:ascii="Arial" w:cs="Arial" w:eastAsia="Arial" w:hAnsi="Arial"/>
          <w:sz w:val="17"/>
          <w:szCs w:val="17"/>
          <w:color w:val="auto"/>
        </w:rPr>
      </w:pPr>
    </w:p>
    <w:p>
      <w:pPr>
        <w:ind w:left="1160" w:hanging="331"/>
        <w:spacing w:after="0"/>
        <w:tabs>
          <w:tab w:leader="none" w:pos="11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check;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5937250" cy="222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3">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170" w:name="page171"/>
    <w:bookmarkEnd w:id="170"/>
    <w:p>
      <w:pPr>
        <w:ind w:left="-20" w:firstLine="829"/>
        <w:spacing w:after="0" w:line="265" w:lineRule="auto"/>
        <w:tabs>
          <w:tab w:leader="none" w:pos="1178" w:val="left"/>
        </w:tabs>
        <w:numPr>
          <w:ilvl w:val="1"/>
          <w:numId w:val="116"/>
        </w:numPr>
        <w:rPr>
          <w:rFonts w:ascii="Arial" w:cs="Arial" w:eastAsia="Arial" w:hAnsi="Arial"/>
          <w:sz w:val="17"/>
          <w:szCs w:val="17"/>
          <w:color w:val="auto"/>
        </w:rPr>
      </w:pPr>
      <w:r>
        <w:rPr>
          <w:rFonts w:ascii="Arial" w:cs="Arial" w:eastAsia="Arial" w:hAnsi="Arial"/>
          <w:sz w:val="17"/>
          <w:szCs w:val="17"/>
          <w:color w:val="auto"/>
        </w:rPr>
        <w:t>consideration received by the Company under a formal cashless exercise program adopted by the Company in connection with the Plan.</w:t>
      </w:r>
    </w:p>
    <w:p>
      <w:pPr>
        <w:spacing w:after="0" w:line="145" w:lineRule="exact"/>
        <w:rPr>
          <w:rFonts w:ascii="Arial" w:cs="Arial" w:eastAsia="Arial" w:hAnsi="Arial"/>
          <w:sz w:val="17"/>
          <w:szCs w:val="17"/>
          <w:color w:val="auto"/>
        </w:rPr>
      </w:pPr>
    </w:p>
    <w:p>
      <w:pPr>
        <w:ind w:left="880" w:hanging="348"/>
        <w:spacing w:after="0"/>
        <w:tabs>
          <w:tab w:leader="none" w:pos="880"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Tax Obligations</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left="-20" w:firstLine="829"/>
        <w:spacing w:after="0" w:line="277" w:lineRule="auto"/>
        <w:tabs>
          <w:tab w:leader="none" w:pos="1143" w:val="left"/>
        </w:tabs>
        <w:numPr>
          <w:ilvl w:val="1"/>
          <w:numId w:val="117"/>
        </w:numPr>
        <w:rPr>
          <w:rFonts w:ascii="Arial" w:cs="Arial" w:eastAsia="Arial" w:hAnsi="Arial"/>
          <w:sz w:val="15"/>
          <w:szCs w:val="15"/>
          <w:color w:val="auto"/>
        </w:rPr>
      </w:pPr>
      <w:r>
        <w:rPr>
          <w:rFonts w:ascii="Arial" w:cs="Arial" w:eastAsia="Arial" w:hAnsi="Arial"/>
          <w:sz w:val="15"/>
          <w:szCs w:val="15"/>
          <w:color w:val="auto"/>
        </w:rPr>
        <w:t>Participant acknowledges that, regardless of any action taken by the Company or, if different, Participant’s employer (the “Employer”), the ultimate liability for any tax or other jurisdictional obligations (e.g., social taxes, welfare taxes, etc.),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Employer. Participant further acknowledges that the Company and/or the Employer (i) make no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(ii)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Employer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41" w:lineRule="exact"/>
        <w:rPr>
          <w:rFonts w:ascii="Arial" w:cs="Arial" w:eastAsia="Arial" w:hAnsi="Arial"/>
          <w:sz w:val="15"/>
          <w:szCs w:val="15"/>
          <w:color w:val="auto"/>
        </w:rPr>
      </w:pPr>
    </w:p>
    <w:p>
      <w:pPr>
        <w:jc w:val="both"/>
        <w:ind w:left="-20" w:firstLine="829"/>
        <w:spacing w:after="0" w:line="275" w:lineRule="auto"/>
        <w:tabs>
          <w:tab w:leader="none" w:pos="1164" w:val="left"/>
        </w:tabs>
        <w:numPr>
          <w:ilvl w:val="1"/>
          <w:numId w:val="117"/>
        </w:numPr>
        <w:rPr>
          <w:rFonts w:ascii="Arial" w:cs="Arial" w:eastAsia="Arial" w:hAnsi="Arial"/>
          <w:sz w:val="15"/>
          <w:szCs w:val="15"/>
          <w:color w:val="auto"/>
        </w:rPr>
      </w:pPr>
      <w:r>
        <w:rPr>
          <w:rFonts w:ascii="Arial" w:cs="Arial" w:eastAsia="Arial" w:hAnsi="Arial"/>
          <w:sz w:val="15"/>
          <w:szCs w:val="15"/>
          <w:u w:val="single" w:color="auto"/>
          <w:color w:val="auto"/>
        </w:rPr>
        <w:t>Tax Withholding</w:t>
      </w:r>
      <w:r>
        <w:rPr>
          <w:rFonts w:ascii="Arial" w:cs="Arial" w:eastAsia="Arial" w:hAnsi="Arial"/>
          <w:sz w:val="15"/>
          <w:szCs w:val="15"/>
          <w:color w:val="auto"/>
        </w:rPr>
        <w:t>. When, under applicable tax laws, a Participant incurs a liability to tax, duties or social security contributions in connection with the exercise of any Option that is subject to tax withholding, the Participant is obligated to either enter into an arrangement (as described herein) for the purpose of ensuring the employer or former employer has sufficient funds to discharge the liability or reimburse the employer or former employer the amount required to be paid to the applicable tax authorities. Pursuant to such procedures as the Administrator may specify from time to time, the Company and/or Employer shall withhold the minimum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(a) paying cash, (b) electing to have the Company withhold otherwise deliverable Shares having a Fair Market Value equal to the amount of such Tax Obligations, (c) withholding the amount of such Tax Obligations from Participant’s wages or other cash compensation paid to Participant by the company and/or the Employer, (d) selling a sufficient number of such Shares otherwise deliverable to Participant through such means as the Company may determine in its sole discretion (whether through a broker or otherwise) equal to the amount of the Tax Obligations. To the extent determined appropriate by the Company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Employer (and/or former employer, as applicable) may be required to withhold or account for tax in more than one jurisdiction. Exercise of the Option is conditional upon the Participant having entered into arrangements for this purpose which are satisfactory to the Participant’s employer or former employer.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288290</wp:posOffset>
            </wp:positionV>
            <wp:extent cx="5937250" cy="222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4">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124" w:right="1159" w:bottom="1440" w:gutter="0" w:footer="0" w:header="0"/>
        </w:sectPr>
      </w:pPr>
    </w:p>
    <w:bookmarkStart w:id="171" w:name="page172"/>
    <w:bookmarkEnd w:id="171"/>
    <w:p>
      <w:pPr>
        <w:jc w:val="both"/>
        <w:ind w:left="-20" w:firstLine="552"/>
        <w:spacing w:after="0" w:line="245" w:lineRule="auto"/>
        <w:tabs>
          <w:tab w:leader="none" w:pos="882"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62" w:lineRule="exact"/>
        <w:rPr>
          <w:rFonts w:ascii="Arial" w:cs="Arial" w:eastAsia="Arial" w:hAnsi="Arial"/>
          <w:sz w:val="17"/>
          <w:szCs w:val="17"/>
          <w:color w:val="auto"/>
        </w:rPr>
      </w:pPr>
    </w:p>
    <w:p>
      <w:pPr>
        <w:jc w:val="both"/>
        <w:ind w:left="-20" w:firstLine="552"/>
        <w:spacing w:after="0" w:line="260" w:lineRule="auto"/>
        <w:tabs>
          <w:tab w:leader="none" w:pos="911"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No Guarantee of Continued Service</w:t>
      </w:r>
      <w:r>
        <w:rPr>
          <w:rFonts w:ascii="Arial" w:cs="Arial" w:eastAsia="Arial" w:hAnsi="Arial"/>
          <w:sz w:val="16"/>
          <w:szCs w:val="16"/>
          <w:color w:val="auto"/>
        </w:rPr>
        <w:t>. PARTICIPANT ACKNOWLEDGES AND AGREES THAT THE VESTING OF SHARES PURSUANT TO THE VESTING SCHEDULE HEREOF IS EARNED ONLY BY CONTINUING AS A SERVICE PROVIDER AT THE WILL OF THE COMPANY (OR THE EMPLOYER) AND NOT THROUGH THE ACT OF BEING HIRED, BEING GRANTED THIS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EMPLOYER) TO TERMINATE PARTICIPANT’S RELATIONSHIP AS A SERVICE PROVIDER AT ANY TIME, WITH OR WITHOUT CAUSE.</w:t>
      </w:r>
    </w:p>
    <w:p>
      <w:pPr>
        <w:spacing w:after="0" w:line="154" w:lineRule="exact"/>
        <w:rPr>
          <w:rFonts w:ascii="Arial" w:cs="Arial" w:eastAsia="Arial" w:hAnsi="Arial"/>
          <w:sz w:val="16"/>
          <w:szCs w:val="16"/>
          <w:color w:val="auto"/>
        </w:rPr>
      </w:pPr>
    </w:p>
    <w:p>
      <w:pPr>
        <w:ind w:left="880" w:hanging="348"/>
        <w:spacing w:after="0"/>
        <w:tabs>
          <w:tab w:leader="none" w:pos="880"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In accepting the Option, Participant acknowledges, understands and agrees that:</w:t>
      </w:r>
    </w:p>
    <w:p>
      <w:pPr>
        <w:spacing w:after="0" w:line="184" w:lineRule="exact"/>
        <w:rPr>
          <w:rFonts w:ascii="Arial" w:cs="Arial" w:eastAsia="Arial" w:hAnsi="Arial"/>
          <w:sz w:val="17"/>
          <w:szCs w:val="17"/>
          <w:color w:val="auto"/>
        </w:rPr>
      </w:pPr>
    </w:p>
    <w:p>
      <w:pPr>
        <w:ind w:left="-20" w:firstLine="829"/>
        <w:spacing w:after="0" w:line="264" w:lineRule="auto"/>
        <w:tabs>
          <w:tab w:leader="none" w:pos="1143"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grant of the Option is voluntary and occasional and does not create any contractual or other right to receive future grants of options, or benefits in lieu of options, even if options have been granted in the past;</w:t>
      </w:r>
    </w:p>
    <w:p>
      <w:pPr>
        <w:spacing w:after="0" w:line="146" w:lineRule="exact"/>
        <w:rPr>
          <w:rFonts w:ascii="Arial" w:cs="Arial" w:eastAsia="Arial" w:hAnsi="Arial"/>
          <w:sz w:val="17"/>
          <w:szCs w:val="17"/>
          <w:color w:val="auto"/>
        </w:rPr>
      </w:pPr>
    </w:p>
    <w:p>
      <w:pPr>
        <w:ind w:left="1140" w:hanging="331"/>
        <w:spacing w:after="0"/>
        <w:tabs>
          <w:tab w:leader="none" w:pos="114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all decisions with respect to future option or other grants, if any, will be at the sole discretion of the Company;</w:t>
      </w:r>
    </w:p>
    <w:p>
      <w:pPr>
        <w:spacing w:after="0" w:line="196" w:lineRule="exact"/>
        <w:rPr>
          <w:rFonts w:ascii="Arial" w:cs="Arial" w:eastAsia="Arial" w:hAnsi="Arial"/>
          <w:sz w:val="16"/>
          <w:szCs w:val="16"/>
          <w:color w:val="auto"/>
        </w:rPr>
      </w:pPr>
    </w:p>
    <w:p>
      <w:pPr>
        <w:ind w:left="1140" w:hanging="331"/>
        <w:spacing w:after="0"/>
        <w:tabs>
          <w:tab w:leader="none" w:pos="114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Participant is voluntarily participating in the Plan;</w:t>
      </w:r>
    </w:p>
    <w:p>
      <w:pPr>
        <w:spacing w:after="0" w:line="184" w:lineRule="exact"/>
        <w:rPr>
          <w:rFonts w:ascii="Arial" w:cs="Arial" w:eastAsia="Arial" w:hAnsi="Arial"/>
          <w:sz w:val="17"/>
          <w:szCs w:val="17"/>
          <w:color w:val="auto"/>
        </w:rPr>
      </w:pPr>
    </w:p>
    <w:p>
      <w:pPr>
        <w:ind w:left="1140" w:hanging="331"/>
        <w:spacing w:after="0"/>
        <w:tabs>
          <w:tab w:leader="none" w:pos="1140" w:val="left"/>
        </w:tabs>
        <w:numPr>
          <w:ilvl w:val="1"/>
          <w:numId w:val="118"/>
        </w:numPr>
        <w:rPr>
          <w:rFonts w:ascii="Arial" w:cs="Arial" w:eastAsia="Arial" w:hAnsi="Arial"/>
          <w:sz w:val="15"/>
          <w:szCs w:val="15"/>
          <w:color w:val="auto"/>
        </w:rPr>
      </w:pPr>
      <w:r>
        <w:rPr>
          <w:rFonts w:ascii="Arial" w:cs="Arial" w:eastAsia="Arial" w:hAnsi="Arial"/>
          <w:sz w:val="15"/>
          <w:szCs w:val="15"/>
          <w:color w:val="auto"/>
        </w:rPr>
        <w:t>the Option and any Shares acquired under the Plan are not intended to replace any pension rights or compensation;</w:t>
      </w:r>
    </w:p>
    <w:p>
      <w:pPr>
        <w:spacing w:after="0" w:line="207" w:lineRule="exact"/>
        <w:rPr>
          <w:rFonts w:ascii="Arial" w:cs="Arial" w:eastAsia="Arial" w:hAnsi="Arial"/>
          <w:sz w:val="15"/>
          <w:szCs w:val="15"/>
          <w:color w:val="auto"/>
        </w:rPr>
      </w:pPr>
    </w:p>
    <w:p>
      <w:pPr>
        <w:jc w:val="both"/>
        <w:ind w:left="-20" w:firstLine="829"/>
        <w:spacing w:after="0" w:line="252" w:lineRule="auto"/>
        <w:tabs>
          <w:tab w:leader="none" w:pos="1143"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56" w:lineRule="exact"/>
        <w:rPr>
          <w:rFonts w:ascii="Arial" w:cs="Arial" w:eastAsia="Arial" w:hAnsi="Arial"/>
          <w:sz w:val="17"/>
          <w:szCs w:val="17"/>
          <w:color w:val="auto"/>
        </w:rPr>
      </w:pPr>
    </w:p>
    <w:p>
      <w:pPr>
        <w:ind w:left="1120" w:hanging="311"/>
        <w:spacing w:after="0"/>
        <w:tabs>
          <w:tab w:leader="none" w:pos="1120" w:val="left"/>
        </w:tabs>
        <w:numPr>
          <w:ilvl w:val="1"/>
          <w:numId w:val="118"/>
        </w:numPr>
        <w:rPr>
          <w:rFonts w:ascii="Arial" w:cs="Arial" w:eastAsia="Arial" w:hAnsi="Arial"/>
          <w:sz w:val="15"/>
          <w:szCs w:val="15"/>
          <w:color w:val="auto"/>
        </w:rPr>
      </w:pPr>
      <w:r>
        <w:rPr>
          <w:rFonts w:ascii="Arial" w:cs="Arial" w:eastAsia="Arial" w:hAnsi="Arial"/>
          <w:sz w:val="15"/>
          <w:szCs w:val="15"/>
          <w:color w:val="auto"/>
        </w:rPr>
        <w:t>the future value of the Shares underlying the Option is unknown, indeterminable, and cannot be predicted with certainty;</w:t>
      </w:r>
    </w:p>
    <w:p>
      <w:pPr>
        <w:spacing w:after="0" w:line="207" w:lineRule="exact"/>
        <w:rPr>
          <w:rFonts w:ascii="Arial" w:cs="Arial" w:eastAsia="Arial" w:hAnsi="Arial"/>
          <w:sz w:val="15"/>
          <w:szCs w:val="15"/>
          <w:color w:val="auto"/>
        </w:rPr>
      </w:pPr>
    </w:p>
    <w:p>
      <w:pPr>
        <w:ind w:left="1140" w:hanging="331"/>
        <w:spacing w:after="0"/>
        <w:tabs>
          <w:tab w:leader="none" w:pos="114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if the underlying Shares do not increase in value, the Option will have no value;</w:t>
      </w:r>
    </w:p>
    <w:p>
      <w:pPr>
        <w:spacing w:after="0" w:line="184" w:lineRule="exact"/>
        <w:rPr>
          <w:rFonts w:ascii="Arial" w:cs="Arial" w:eastAsia="Arial" w:hAnsi="Arial"/>
          <w:sz w:val="17"/>
          <w:szCs w:val="17"/>
          <w:color w:val="auto"/>
        </w:rPr>
      </w:pPr>
    </w:p>
    <w:p>
      <w:pPr>
        <w:ind w:left="-20" w:firstLine="829"/>
        <w:spacing w:after="0" w:line="264" w:lineRule="auto"/>
        <w:tabs>
          <w:tab w:leader="none" w:pos="1141" w:val="left"/>
        </w:tabs>
        <w:numPr>
          <w:ilvl w:val="1"/>
          <w:numId w:val="118"/>
        </w:numPr>
        <w:rPr>
          <w:rFonts w:ascii="Arial" w:cs="Arial" w:eastAsia="Arial" w:hAnsi="Arial"/>
          <w:sz w:val="17"/>
          <w:szCs w:val="17"/>
          <w:color w:val="auto"/>
        </w:rPr>
      </w:pPr>
      <w:r>
        <w:rPr>
          <w:rFonts w:ascii="Arial" w:cs="Arial" w:eastAsia="Arial" w:hAnsi="Arial"/>
          <w:sz w:val="17"/>
          <w:szCs w:val="17"/>
          <w:color w:val="auto"/>
        </w:rPr>
        <w:t>if Participant exercises the Option and acquires Shares, the value of such Shares may increase or decrease in value, even below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285115</wp:posOffset>
            </wp:positionV>
            <wp:extent cx="5937250" cy="222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5">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126" w:right="1159" w:bottom="1440" w:gutter="0" w:footer="0" w:header="0"/>
        </w:sectPr>
      </w:pPr>
    </w:p>
    <w:bookmarkStart w:id="172" w:name="page173"/>
    <w:bookmarkEnd w:id="172"/>
    <w:p>
      <w:pPr>
        <w:jc w:val="both"/>
        <w:ind w:firstLine="829"/>
        <w:spacing w:after="0" w:line="257" w:lineRule="auto"/>
        <w:tabs>
          <w:tab w:leader="none" w:pos="1165" w:val="left"/>
        </w:tabs>
        <w:numPr>
          <w:ilvl w:val="2"/>
          <w:numId w:val="119"/>
        </w:numPr>
        <w:rPr>
          <w:rFonts w:ascii="Arial" w:cs="Arial" w:eastAsia="Arial" w:hAnsi="Arial"/>
          <w:sz w:val="17"/>
          <w:szCs w:val="17"/>
          <w:color w:val="auto"/>
        </w:rPr>
      </w:pPr>
      <w:r>
        <w:rPr>
          <w:rFonts w:ascii="Arial" w:cs="Arial" w:eastAsia="Arial" w:hAnsi="Arial"/>
          <w:sz w:val="17"/>
          <w:szCs w:val="17"/>
          <w:color w:val="auto"/>
        </w:rPr>
        <w:t>for purposes of the Option, Participant’s engagement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w:t>
      </w:r>
    </w:p>
    <w:p>
      <w:pPr>
        <w:spacing w:after="0" w:line="158" w:lineRule="exact"/>
        <w:rPr>
          <w:rFonts w:ascii="Arial" w:cs="Arial" w:eastAsia="Arial" w:hAnsi="Arial"/>
          <w:sz w:val="17"/>
          <w:szCs w:val="17"/>
          <w:color w:val="auto"/>
        </w:rPr>
      </w:pPr>
    </w:p>
    <w:p>
      <w:pPr>
        <w:jc w:val="both"/>
        <w:ind w:firstLine="829"/>
        <w:spacing w:after="0" w:line="275" w:lineRule="auto"/>
        <w:tabs>
          <w:tab w:leader="none" w:pos="1147" w:val="left"/>
        </w:tabs>
        <w:numPr>
          <w:ilvl w:val="2"/>
          <w:numId w:val="119"/>
        </w:numPr>
        <w:rPr>
          <w:rFonts w:ascii="Arial" w:cs="Arial" w:eastAsia="Arial" w:hAnsi="Arial"/>
          <w:sz w:val="16"/>
          <w:szCs w:val="16"/>
          <w:color w:val="auto"/>
        </w:rPr>
      </w:pPr>
      <w:r>
        <w:rPr>
          <w:rFonts w:ascii="Arial" w:cs="Arial" w:eastAsia="Arial" w:hAnsi="Arial"/>
          <w:sz w:val="16"/>
          <w:szCs w:val="16"/>
          <w:color w:val="auto"/>
        </w:rPr>
        <w:t>unless otherwise provided in the Plan or by the Company in its discretion, the Option and the benefits evidenced by this Award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39" w:lineRule="exact"/>
        <w:rPr>
          <w:rFonts w:ascii="Arial" w:cs="Arial" w:eastAsia="Arial" w:hAnsi="Arial"/>
          <w:sz w:val="16"/>
          <w:szCs w:val="16"/>
          <w:color w:val="auto"/>
        </w:rPr>
      </w:pPr>
    </w:p>
    <w:p>
      <w:pPr>
        <w:ind w:left="1560" w:hanging="800"/>
        <w:spacing w:after="0"/>
        <w:tabs>
          <w:tab w:leader="none" w:pos="1560" w:val="left"/>
        </w:tabs>
        <w:numPr>
          <w:ilvl w:val="1"/>
          <w:numId w:val="120"/>
        </w:numPr>
        <w:rPr>
          <w:rFonts w:ascii="Arial" w:cs="Arial" w:eastAsia="Arial" w:hAnsi="Arial"/>
          <w:sz w:val="15"/>
          <w:szCs w:val="15"/>
          <w:color w:val="auto"/>
        </w:rPr>
      </w:pPr>
      <w:r>
        <w:rPr>
          <w:rFonts w:ascii="Arial" w:cs="Arial" w:eastAsia="Arial" w:hAnsi="Arial"/>
          <w:sz w:val="15"/>
          <w:szCs w:val="15"/>
          <w:color w:val="auto"/>
        </w:rPr>
        <w:t>the Option and the Shares subject to the Option are not part of normal or expected compensation or salary for any</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purpose;</w:t>
      </w:r>
    </w:p>
    <w:p>
      <w:pPr>
        <w:spacing w:after="0" w:line="170" w:lineRule="exact"/>
        <w:rPr>
          <w:rFonts w:ascii="Arial" w:cs="Arial" w:eastAsia="Arial" w:hAnsi="Arial"/>
          <w:sz w:val="15"/>
          <w:szCs w:val="15"/>
          <w:color w:val="auto"/>
        </w:rPr>
      </w:pPr>
    </w:p>
    <w:p>
      <w:pPr>
        <w:jc w:val="both"/>
        <w:ind w:firstLine="760"/>
        <w:spacing w:after="0" w:line="248" w:lineRule="auto"/>
        <w:tabs>
          <w:tab w:leader="none" w:pos="152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Participant acknowledges and agrees that none of the Company, the Employer, or any Parent or Subsidiary shall be liable for any foreign exchange rate fluctuation between the Swiss Franc and the United States Dollar that may affect the value of the Option or of any amounts due to Participant pursuant to the exercise of the Option or the subsequent sale of any Shares acquired upon exercise; and</w:t>
      </w:r>
    </w:p>
    <w:p>
      <w:pPr>
        <w:spacing w:after="0" w:line="160" w:lineRule="exact"/>
        <w:rPr>
          <w:rFonts w:ascii="Arial" w:cs="Arial" w:eastAsia="Arial" w:hAnsi="Arial"/>
          <w:sz w:val="17"/>
          <w:szCs w:val="17"/>
          <w:color w:val="auto"/>
        </w:rPr>
      </w:pPr>
    </w:p>
    <w:p>
      <w:pPr>
        <w:jc w:val="both"/>
        <w:ind w:firstLine="760"/>
        <w:spacing w:after="0" w:line="260" w:lineRule="auto"/>
        <w:tabs>
          <w:tab w:leader="none" w:pos="1165" w:val="left"/>
        </w:tabs>
        <w:numPr>
          <w:ilvl w:val="1"/>
          <w:numId w:val="120"/>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 resulting from the termination of Participant’s engagement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the Company, any Parent, any Subsidiary or the Employer, waives his or her ability, if any, to bring any such claim, and releases the Company, any Parent or Subsidiary and the Employer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54" w:lineRule="exact"/>
        <w:rPr>
          <w:rFonts w:ascii="Arial" w:cs="Arial" w:eastAsia="Arial" w:hAnsi="Arial"/>
          <w:sz w:val="16"/>
          <w:szCs w:val="16"/>
          <w:color w:val="auto"/>
        </w:rPr>
      </w:pPr>
    </w:p>
    <w:p>
      <w:pPr>
        <w:jc w:val="both"/>
        <w:ind w:firstLine="552"/>
        <w:spacing w:after="0" w:line="248" w:lineRule="auto"/>
        <w:tabs>
          <w:tab w:leader="none" w:pos="908"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No Advice Regarding Grant</w:t>
      </w:r>
      <w:r>
        <w:rPr>
          <w:rFonts w:ascii="Arial" w:cs="Arial" w:eastAsia="Arial" w:hAnsi="Arial"/>
          <w:sz w:val="17"/>
          <w:szCs w:val="17"/>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5937250" cy="222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6">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2" w:right="1159" w:bottom="1440" w:gutter="0" w:footer="0" w:header="0"/>
        </w:sectPr>
      </w:pPr>
    </w:p>
    <w:bookmarkStart w:id="173" w:name="page174"/>
    <w:bookmarkEnd w:id="173"/>
    <w:p>
      <w:pPr>
        <w:jc w:val="both"/>
        <w:ind w:left="-20" w:firstLine="552"/>
        <w:spacing w:after="0" w:line="275" w:lineRule="auto"/>
        <w:tabs>
          <w:tab w:leader="none" w:pos="888" w:val="left"/>
        </w:tabs>
        <w:numPr>
          <w:ilvl w:val="0"/>
          <w:numId w:val="122"/>
        </w:numPr>
        <w:rPr>
          <w:rFonts w:ascii="Arial" w:cs="Arial" w:eastAsia="Arial" w:hAnsi="Arial"/>
          <w:sz w:val="15"/>
          <w:szCs w:val="15"/>
          <w:color w:val="auto"/>
        </w:rPr>
      </w:pPr>
      <w:r>
        <w:rPr>
          <w:rFonts w:ascii="Arial" w:cs="Arial" w:eastAsia="Arial" w:hAnsi="Arial"/>
          <w:sz w:val="15"/>
          <w:szCs w:val="15"/>
          <w:u w:val="single" w:color="auto"/>
          <w:color w:val="auto"/>
        </w:rPr>
        <w:t>Data Privacy</w:t>
      </w:r>
      <w:r>
        <w:rPr>
          <w:rFonts w:ascii="Arial" w:cs="Arial" w:eastAsia="Arial" w:hAnsi="Arial"/>
          <w:sz w:val="15"/>
          <w:szCs w:val="15"/>
          <w:color w:val="auto"/>
        </w:rPr>
        <w:t>. Participant hereby explicitly and unambiguously consents to the collection, use and transfer, in electronic or other form, of Participant’s personal data as described in this Award Agreement and any other Option grant materials by and among, as applicable, the Employer, the Company and any Parent or Subsidiary for the exclusive purpose of implementing, administering and managing Participant’s participation in the Plan.Participant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(“Data”), for the exclusive purpose of implementing, administering and managing the Plan. 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he or she may request a list with the names and addresses of any potential recipients of the Data by contacting his or her local human resources representative.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engagement as a Service Provider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338" w:lineRule="exact"/>
        <w:rPr>
          <w:rFonts w:ascii="Arial" w:cs="Arial" w:eastAsia="Arial" w:hAnsi="Arial"/>
          <w:sz w:val="15"/>
          <w:szCs w:val="15"/>
          <w:color w:val="auto"/>
        </w:rPr>
      </w:pPr>
    </w:p>
    <w:p>
      <w:pPr>
        <w:jc w:val="both"/>
        <w:ind w:left="-20" w:firstLine="552"/>
        <w:spacing w:after="0" w:line="252" w:lineRule="auto"/>
        <w:tabs>
          <w:tab w:leader="none" w:pos="888"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Address for Notices</w:t>
      </w:r>
      <w:r>
        <w:rPr>
          <w:rFonts w:ascii="Arial" w:cs="Arial" w:eastAsia="Arial" w:hAnsi="Arial"/>
          <w:sz w:val="17"/>
          <w:szCs w:val="17"/>
          <w:color w:val="auto"/>
        </w:rPr>
        <w:t>. Any notice to be given to the Company under the terms of this Award Agreement will be addressed to the Company at Pulse Biosciences, Inc., 849 Mitten Rd. #104, Burlingame, CA 94010, or at such other address as the Company may hereafter designate in writing.</w:t>
      </w:r>
    </w:p>
    <w:p>
      <w:pPr>
        <w:spacing w:after="0" w:line="156" w:lineRule="exact"/>
        <w:rPr>
          <w:rFonts w:ascii="Arial" w:cs="Arial" w:eastAsia="Arial" w:hAnsi="Arial"/>
          <w:sz w:val="17"/>
          <w:szCs w:val="17"/>
          <w:color w:val="auto"/>
        </w:rPr>
      </w:pPr>
    </w:p>
    <w:p>
      <w:pPr>
        <w:ind w:left="-20" w:firstLine="552"/>
        <w:spacing w:after="0" w:line="264" w:lineRule="auto"/>
        <w:tabs>
          <w:tab w:leader="none" w:pos="888"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 This Option may not be transferred in any manner otherwise than by will or by the laws of descent or distribution and may be exercised during the lifetime of Participant only by Participant.</w:t>
      </w:r>
    </w:p>
    <w:p>
      <w:pPr>
        <w:spacing w:after="0" w:line="146" w:lineRule="exact"/>
        <w:rPr>
          <w:rFonts w:ascii="Arial" w:cs="Arial" w:eastAsia="Arial" w:hAnsi="Arial"/>
          <w:sz w:val="17"/>
          <w:szCs w:val="17"/>
          <w:color w:val="auto"/>
        </w:rPr>
      </w:pPr>
    </w:p>
    <w:p>
      <w:pPr>
        <w:jc w:val="both"/>
        <w:ind w:left="-20" w:firstLine="552"/>
        <w:spacing w:after="0" w:line="246" w:lineRule="auto"/>
        <w:tabs>
          <w:tab w:leader="none" w:pos="899"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62" w:lineRule="exact"/>
        <w:rPr>
          <w:rFonts w:ascii="Arial" w:cs="Arial" w:eastAsia="Arial" w:hAnsi="Arial"/>
          <w:sz w:val="17"/>
          <w:szCs w:val="17"/>
          <w:color w:val="auto"/>
        </w:rPr>
      </w:pPr>
    </w:p>
    <w:p>
      <w:pPr>
        <w:ind w:left="-20" w:firstLine="552"/>
        <w:spacing w:after="0" w:line="264" w:lineRule="auto"/>
        <w:tabs>
          <w:tab w:leader="none" w:pos="899"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qualification or rule compliance of the Shares upon any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285115</wp:posOffset>
            </wp:positionV>
            <wp:extent cx="5937250" cy="222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7">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126" w:right="1159" w:bottom="1440" w:gutter="0" w:footer="0" w:header="0"/>
        </w:sectPr>
      </w:pPr>
    </w:p>
    <w:bookmarkStart w:id="174" w:name="page175"/>
    <w:bookmarkEnd w:id="174"/>
    <w:p>
      <w:pPr>
        <w:jc w:val="both"/>
        <w:spacing w:after="0" w:line="262" w:lineRule="auto"/>
        <w:rPr>
          <w:sz w:val="20"/>
          <w:szCs w:val="20"/>
          <w:color w:val="auto"/>
        </w:rPr>
      </w:pPr>
      <w:r>
        <w:rPr>
          <w:rFonts w:ascii="Arial" w:cs="Arial" w:eastAsia="Arial" w:hAnsi="Arial"/>
          <w:sz w:val="16"/>
          <w:szCs w:val="16"/>
          <w:color w:val="auto"/>
        </w:rPr>
        <w:t>governmental regulatory body or the clearance, consent or approval of the United States Securities and Exchange Commission or any other governmental regulatory authority is necessary or desirable as a condition to the purchase by, or issuance of Shares, to Participant (or his or her estate) hereunder, such purchase or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exercise of the Option as the Administrator may establish from time to time for reasons of administrative convenience.</w:t>
      </w:r>
    </w:p>
    <w:p>
      <w:pPr>
        <w:spacing w:after="0" w:line="152" w:lineRule="exact"/>
        <w:rPr>
          <w:sz w:val="20"/>
          <w:szCs w:val="20"/>
          <w:color w:val="auto"/>
        </w:rPr>
      </w:pPr>
    </w:p>
    <w:p>
      <w:pPr>
        <w:jc w:val="both"/>
        <w:ind w:firstLine="552"/>
        <w:spacing w:after="0" w:line="252" w:lineRule="auto"/>
        <w:tabs>
          <w:tab w:leader="none" w:pos="914"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56" w:lineRule="exact"/>
        <w:rPr>
          <w:rFonts w:ascii="Arial" w:cs="Arial" w:eastAsia="Arial" w:hAnsi="Arial"/>
          <w:sz w:val="17"/>
          <w:szCs w:val="17"/>
          <w:color w:val="auto"/>
        </w:rPr>
      </w:pPr>
    </w:p>
    <w:p>
      <w:pPr>
        <w:jc w:val="both"/>
        <w:ind w:firstLine="552"/>
        <w:spacing w:after="0" w:line="263" w:lineRule="auto"/>
        <w:tabs>
          <w:tab w:leader="none" w:pos="914"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50" w:lineRule="exact"/>
        <w:rPr>
          <w:rFonts w:ascii="Arial" w:cs="Arial" w:eastAsia="Arial" w:hAnsi="Arial"/>
          <w:sz w:val="16"/>
          <w:szCs w:val="16"/>
          <w:color w:val="auto"/>
        </w:rPr>
      </w:pPr>
    </w:p>
    <w:p>
      <w:pPr>
        <w:jc w:val="both"/>
        <w:ind w:firstLine="552"/>
        <w:spacing w:after="0" w:line="246" w:lineRule="auto"/>
        <w:tabs>
          <w:tab w:leader="none" w:pos="903"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62" w:lineRule="exact"/>
        <w:rPr>
          <w:rFonts w:ascii="Arial" w:cs="Arial" w:eastAsia="Arial" w:hAnsi="Arial"/>
          <w:sz w:val="17"/>
          <w:szCs w:val="17"/>
          <w:color w:val="auto"/>
        </w:rPr>
      </w:pPr>
    </w:p>
    <w:p>
      <w:pPr>
        <w:ind w:firstLine="552"/>
        <w:spacing w:after="0" w:line="264" w:lineRule="auto"/>
        <w:tabs>
          <w:tab w:leader="none" w:pos="937"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provided herein are for convenience only and are not to serve as a basis for interpretation or construction of this Award Agreement.</w:t>
      </w:r>
    </w:p>
    <w:p>
      <w:pPr>
        <w:spacing w:after="0" w:line="146" w:lineRule="exact"/>
        <w:rPr>
          <w:rFonts w:ascii="Arial" w:cs="Arial" w:eastAsia="Arial" w:hAnsi="Arial"/>
          <w:sz w:val="17"/>
          <w:szCs w:val="17"/>
          <w:color w:val="auto"/>
        </w:rPr>
      </w:pPr>
    </w:p>
    <w:p>
      <w:pPr>
        <w:jc w:val="both"/>
        <w:ind w:firstLine="552"/>
        <w:spacing w:after="0" w:line="252" w:lineRule="auto"/>
        <w:tabs>
          <w:tab w:leader="none" w:pos="903"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56" w:lineRule="exact"/>
        <w:rPr>
          <w:rFonts w:ascii="Arial" w:cs="Arial" w:eastAsia="Arial" w:hAnsi="Arial"/>
          <w:sz w:val="17"/>
          <w:szCs w:val="17"/>
          <w:color w:val="auto"/>
        </w:rPr>
      </w:pPr>
    </w:p>
    <w:p>
      <w:pPr>
        <w:jc w:val="both"/>
        <w:ind w:firstLine="552"/>
        <w:spacing w:after="0" w:line="275" w:lineRule="auto"/>
        <w:tabs>
          <w:tab w:leader="none" w:pos="903"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Amendment, Suspension or Termination of the Plan</w:t>
      </w:r>
      <w:r>
        <w:rPr>
          <w:rFonts w:ascii="Arial" w:cs="Arial" w:eastAsia="Arial" w:hAnsi="Arial"/>
          <w:sz w:val="16"/>
          <w:szCs w:val="16"/>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39" w:lineRule="exact"/>
        <w:rPr>
          <w:rFonts w:ascii="Arial" w:cs="Arial" w:eastAsia="Arial" w:hAnsi="Arial"/>
          <w:sz w:val="16"/>
          <w:szCs w:val="16"/>
          <w:color w:val="auto"/>
        </w:rPr>
      </w:pPr>
    </w:p>
    <w:p>
      <w:pPr>
        <w:jc w:val="both"/>
        <w:ind w:firstLine="552"/>
        <w:spacing w:after="0" w:line="246" w:lineRule="auto"/>
        <w:tabs>
          <w:tab w:leader="none" w:pos="903"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Award Agreement will be governed by the laws of California, without giving effect to the conflict of law principles thereof. For purposes of litigating any dispute that arises under this Option or this Award Agreement, the parties hereby submit to and consent to the jurisdiction of the State of California, and agree that such litigation will be conducted in the courts of San Francisco, California, or the federal courts for the United States for the Northern District of California, and no other courts, where this Option is made and/or to be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295910</wp:posOffset>
            </wp:positionV>
            <wp:extent cx="5937250" cy="222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8">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4" w:right="1159" w:bottom="1440" w:gutter="0" w:footer="0" w:header="0"/>
        </w:sectPr>
      </w:pPr>
    </w:p>
    <w:bookmarkStart w:id="175" w:name="page176"/>
    <w:bookmarkEnd w:id="175"/>
    <w:p>
      <w:pPr>
        <w:jc w:val="both"/>
        <w:ind w:left="-20" w:firstLine="552"/>
        <w:spacing w:after="0" w:line="265" w:lineRule="auto"/>
        <w:tabs>
          <w:tab w:leader="none" w:pos="883"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Country Addendum</w:t>
      </w:r>
      <w:r>
        <w:rPr>
          <w:rFonts w:ascii="Arial" w:cs="Arial" w:eastAsia="Arial" w:hAnsi="Arial"/>
          <w:sz w:val="16"/>
          <w:szCs w:val="16"/>
          <w:color w:val="auto"/>
        </w:rPr>
        <w:t>. Notwithstanding any provisions in this Award Agreement, this Option shall be subject to any special terms and conditions set forth in any appendix to this Award Agreement for Participant’s country (the “Country Addendum”). Moreover, if Participant relocates to one of the countries included in the Country Addendum,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47" w:lineRule="exact"/>
        <w:rPr>
          <w:rFonts w:ascii="Arial" w:cs="Arial" w:eastAsia="Arial" w:hAnsi="Arial"/>
          <w:sz w:val="16"/>
          <w:szCs w:val="16"/>
          <w:color w:val="auto"/>
        </w:rPr>
      </w:pPr>
    </w:p>
    <w:p>
      <w:pPr>
        <w:jc w:val="both"/>
        <w:ind w:left="-20" w:firstLine="552"/>
        <w:spacing w:after="0" w:line="248" w:lineRule="auto"/>
        <w:tabs>
          <w:tab w:leader="none" w:pos="883"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Modifications to the Agreement</w:t>
      </w:r>
      <w:r>
        <w:rPr>
          <w:rFonts w:ascii="Arial" w:cs="Arial" w:eastAsia="Arial" w:hAnsi="Arial"/>
          <w:sz w:val="17"/>
          <w:szCs w:val="17"/>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w:t>
      </w:r>
    </w:p>
    <w:p>
      <w:pPr>
        <w:spacing w:after="0" w:line="160" w:lineRule="exact"/>
        <w:rPr>
          <w:rFonts w:ascii="Arial" w:cs="Arial" w:eastAsia="Arial" w:hAnsi="Arial"/>
          <w:sz w:val="17"/>
          <w:szCs w:val="17"/>
          <w:color w:val="auto"/>
        </w:rPr>
      </w:pPr>
    </w:p>
    <w:p>
      <w:pPr>
        <w:jc w:val="both"/>
        <w:ind w:left="-20" w:firstLine="552"/>
        <w:spacing w:after="0" w:line="248" w:lineRule="auto"/>
        <w:tabs>
          <w:tab w:leader="none" w:pos="883"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60" w:lineRule="exact"/>
        <w:rPr>
          <w:rFonts w:ascii="Arial" w:cs="Arial" w:eastAsia="Arial" w:hAnsi="Arial"/>
          <w:sz w:val="17"/>
          <w:szCs w:val="17"/>
          <w:color w:val="auto"/>
        </w:rPr>
      </w:pPr>
    </w:p>
    <w:p>
      <w:pPr>
        <w:jc w:val="both"/>
        <w:ind w:left="-20" w:firstLine="552"/>
        <w:spacing w:after="0" w:line="246" w:lineRule="auto"/>
        <w:tabs>
          <w:tab w:leader="none" w:pos="894"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Tax Consequences</w:t>
      </w:r>
      <w:r>
        <w:rPr>
          <w:rFonts w:ascii="Arial" w:cs="Arial" w:eastAsia="Arial" w:hAnsi="Arial"/>
          <w:sz w:val="17"/>
          <w:szCs w:val="17"/>
          <w:color w:val="auto"/>
        </w:rPr>
        <w:t>. Participant has reviewed with its own tax advisors the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544830</wp:posOffset>
            </wp:positionV>
            <wp:extent cx="5937250" cy="222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9">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126" w:right="115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COUNTRY ADDENDUM</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Country Addendum includes additional terms and conditions that govern the Option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Option, the Company will, in its discretion, determine the extent to which the terms and conditions contained herein will be applicable to Participant.</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Certain capitalized terms used but not defined in this Country Addendum shall have the meanings set forth in the Plan, the and/or the Award Agreement to which this Country Addendum is attached.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Country Addendum also includes notifications relating to exchange control and other issues of which Participant should be aware with respect to his or her participation in the Plan.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exercises the Option or sells Shares acquired under the Plan.</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Finally, if Participant is a citizen or resident of a country other than the one in which Participant is currently working (or is considered as such for local law purposes) or if Participant moves to another country after the Option is granted, the information contained herein may not be applicable to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2378075</wp:posOffset>
            </wp:positionV>
            <wp:extent cx="5937250" cy="222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0">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177" w:name="page178"/>
    <w:bookmarkEnd w:id="177"/>
    <w:p>
      <w:pPr>
        <w:jc w:val="center"/>
        <w:ind w:right="20"/>
        <w:spacing w:after="0"/>
        <w:rPr>
          <w:sz w:val="20"/>
          <w:szCs w:val="20"/>
          <w:color w:val="auto"/>
        </w:rPr>
      </w:pPr>
      <w:r>
        <w:rPr>
          <w:rFonts w:ascii="Arial" w:cs="Arial" w:eastAsia="Arial" w:hAnsi="Arial"/>
          <w:sz w:val="17"/>
          <w:szCs w:val="17"/>
          <w:b w:val="1"/>
          <w:bCs w:val="1"/>
          <w:u w:val="single" w:color="auto"/>
          <w:color w:val="auto"/>
        </w:rPr>
        <w:t>EXHIBIT A</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PULSE BIOSCIENCES,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EXERCISE NOTICE</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PARTICIPANTS SUBJECT TO TAX IN SWITZERLAND</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Pulse Biosciences, Inc.</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3957 Point Eden Way,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Hayward, CA 94545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Attention: Stock Administration</w:t>
      </w:r>
    </w:p>
    <w:p>
      <w:pPr>
        <w:spacing w:after="0" w:line="367" w:lineRule="exact"/>
        <w:rPr>
          <w:sz w:val="20"/>
          <w:szCs w:val="20"/>
          <w:color w:val="auto"/>
        </w:rPr>
      </w:pPr>
    </w:p>
    <w:p>
      <w:pPr>
        <w:jc w:val="both"/>
        <w:ind w:right="20" w:firstLine="552"/>
        <w:spacing w:after="0" w:line="265" w:lineRule="auto"/>
        <w:tabs>
          <w:tab w:leader="none" w:pos="899"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Effective as of today, ________________, _____, the undersigned (“Purchaser”) hereby elects to purchase ______________ shares (the “Shares”) of the Common Stock of Pulse Biosciences, Inc. (the “Company”) under and pursuant to the 2017 Equity Incentive Plan (the “Plan”) and the Stock Option Agreement, dated ________ and including the Notice of Grant, the Terms and Conditions of Stock Option Grant, and appendices and exhibits attached thereto (the “Award Agreement”). The purchase price for the Shares will be $_____________, as required by the Award Agreement.</w:t>
      </w:r>
    </w:p>
    <w:p>
      <w:pPr>
        <w:spacing w:after="0" w:line="148" w:lineRule="exact"/>
        <w:rPr>
          <w:rFonts w:ascii="Arial" w:cs="Arial" w:eastAsia="Arial" w:hAnsi="Arial"/>
          <w:sz w:val="16"/>
          <w:szCs w:val="16"/>
          <w:color w:val="auto"/>
        </w:rPr>
      </w:pPr>
    </w:p>
    <w:p>
      <w:pPr>
        <w:ind w:right="20" w:firstLine="552"/>
        <w:spacing w:after="0" w:line="295" w:lineRule="auto"/>
        <w:tabs>
          <w:tab w:leader="none" w:pos="899"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Delivery of Payment</w:t>
      </w:r>
      <w:r>
        <w:rPr>
          <w:rFonts w:ascii="Arial" w:cs="Arial" w:eastAsia="Arial" w:hAnsi="Arial"/>
          <w:sz w:val="16"/>
          <w:szCs w:val="16"/>
          <w:color w:val="auto"/>
        </w:rPr>
        <w:t>. Purchaser herewith delivers to the Company the full purchase price of the Shares and any Tax Obligations (as defined in Section 7(a) of the Award Agreement) to be paid in connection with the exercise of the Option.</w:t>
      </w:r>
    </w:p>
    <w:p>
      <w:pPr>
        <w:spacing w:after="0" w:line="124" w:lineRule="exact"/>
        <w:rPr>
          <w:rFonts w:ascii="Arial" w:cs="Arial" w:eastAsia="Arial" w:hAnsi="Arial"/>
          <w:sz w:val="16"/>
          <w:szCs w:val="16"/>
          <w:color w:val="auto"/>
        </w:rPr>
      </w:pPr>
    </w:p>
    <w:p>
      <w:pPr>
        <w:ind w:right="20" w:firstLine="552"/>
        <w:spacing w:after="0" w:line="264" w:lineRule="auto"/>
        <w:tabs>
          <w:tab w:leader="none" w:pos="887"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Representations of Purchaser</w:t>
      </w:r>
      <w:r>
        <w:rPr>
          <w:rFonts w:ascii="Arial" w:cs="Arial" w:eastAsia="Arial" w:hAnsi="Arial"/>
          <w:sz w:val="17"/>
          <w:szCs w:val="17"/>
          <w:color w:val="auto"/>
        </w:rPr>
        <w:t>. Purchaser acknowledges that Purchaser has received, read and understood the Plan and the Award Agreement and agrees to abide by and be bound by their terms and conditions.</w:t>
      </w:r>
    </w:p>
    <w:p>
      <w:pPr>
        <w:spacing w:after="0" w:line="146" w:lineRule="exact"/>
        <w:rPr>
          <w:rFonts w:ascii="Arial" w:cs="Arial" w:eastAsia="Arial" w:hAnsi="Arial"/>
          <w:sz w:val="17"/>
          <w:szCs w:val="17"/>
          <w:color w:val="auto"/>
        </w:rPr>
      </w:pPr>
    </w:p>
    <w:p>
      <w:pPr>
        <w:jc w:val="both"/>
        <w:ind w:right="20" w:firstLine="552"/>
        <w:spacing w:after="0" w:line="265" w:lineRule="auto"/>
        <w:tabs>
          <w:tab w:leader="none" w:pos="876"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15 of the Plan.</w:t>
      </w:r>
    </w:p>
    <w:p>
      <w:pPr>
        <w:spacing w:after="0" w:line="148" w:lineRule="exact"/>
        <w:rPr>
          <w:rFonts w:ascii="Arial" w:cs="Arial" w:eastAsia="Arial" w:hAnsi="Arial"/>
          <w:sz w:val="16"/>
          <w:szCs w:val="16"/>
          <w:color w:val="auto"/>
        </w:rPr>
      </w:pPr>
    </w:p>
    <w:p>
      <w:pPr>
        <w:jc w:val="both"/>
        <w:ind w:right="20" w:firstLine="552"/>
        <w:spacing w:after="0" w:line="248" w:lineRule="auto"/>
        <w:tabs>
          <w:tab w:leader="none" w:pos="887"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60" w:lineRule="exact"/>
        <w:rPr>
          <w:rFonts w:ascii="Arial" w:cs="Arial" w:eastAsia="Arial" w:hAnsi="Arial"/>
          <w:sz w:val="17"/>
          <w:szCs w:val="17"/>
          <w:color w:val="auto"/>
        </w:rPr>
      </w:pPr>
    </w:p>
    <w:p>
      <w:pPr>
        <w:jc w:val="both"/>
        <w:ind w:right="20" w:firstLine="552"/>
        <w:spacing w:after="0" w:line="265" w:lineRule="auto"/>
        <w:tabs>
          <w:tab w:leader="none" w:pos="887"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40" w:type="dxa"/>
            <w:vAlign w:val="bottom"/>
          </w:tcPr>
          <w:p>
            <w:pPr>
              <w:spacing w:after="0"/>
              <w:rPr>
                <w:sz w:val="20"/>
                <w:szCs w:val="20"/>
                <w:color w:val="auto"/>
              </w:rPr>
            </w:pPr>
            <w:r>
              <w:rPr>
                <w:rFonts w:ascii="Arial" w:cs="Arial" w:eastAsia="Arial" w:hAnsi="Arial"/>
                <w:sz w:val="17"/>
                <w:szCs w:val="17"/>
                <w:color w:val="auto"/>
              </w:rPr>
              <w:t>Submitted by:</w:t>
            </w:r>
          </w:p>
        </w:tc>
        <w:tc>
          <w:tcPr>
            <w:tcW w:w="6700" w:type="dxa"/>
            <w:vAlign w:val="bottom"/>
          </w:tcPr>
          <w:p>
            <w:pPr>
              <w:ind w:left="1640"/>
              <w:spacing w:after="0"/>
              <w:rPr>
                <w:sz w:val="20"/>
                <w:szCs w:val="20"/>
                <w:color w:val="auto"/>
              </w:rPr>
            </w:pPr>
            <w:r>
              <w:rPr>
                <w:rFonts w:ascii="Arial" w:cs="Arial" w:eastAsia="Arial" w:hAnsi="Arial"/>
                <w:sz w:val="17"/>
                <w:szCs w:val="17"/>
                <w:color w:val="auto"/>
              </w:rPr>
              <w:t>Accepted by:</w:t>
            </w:r>
          </w:p>
        </w:tc>
      </w:tr>
      <w:tr>
        <w:trPr>
          <w:trHeight w:val="380"/>
        </w:trPr>
        <w:tc>
          <w:tcPr>
            <w:tcW w:w="2640" w:type="dxa"/>
            <w:vAlign w:val="bottom"/>
          </w:tcPr>
          <w:p>
            <w:pPr>
              <w:spacing w:after="0"/>
              <w:rPr>
                <w:sz w:val="20"/>
                <w:szCs w:val="20"/>
                <w:color w:val="auto"/>
              </w:rPr>
            </w:pPr>
            <w:r>
              <w:rPr>
                <w:rFonts w:ascii="Arial" w:cs="Arial" w:eastAsia="Arial" w:hAnsi="Arial"/>
                <w:sz w:val="17"/>
                <w:szCs w:val="17"/>
                <w:color w:val="auto"/>
              </w:rPr>
              <w:t>PURCHASER</w:t>
            </w:r>
          </w:p>
        </w:tc>
        <w:tc>
          <w:tcPr>
            <w:tcW w:w="6700" w:type="dxa"/>
            <w:vAlign w:val="bottom"/>
          </w:tcPr>
          <w:p>
            <w:pPr>
              <w:ind w:left="1680"/>
              <w:spacing w:after="0"/>
              <w:rPr>
                <w:sz w:val="20"/>
                <w:szCs w:val="20"/>
                <w:color w:val="auto"/>
              </w:rPr>
            </w:pPr>
            <w:r>
              <w:rPr>
                <w:rFonts w:ascii="Arial" w:cs="Arial" w:eastAsia="Arial" w:hAnsi="Arial"/>
                <w:sz w:val="17"/>
                <w:szCs w:val="17"/>
                <w:color w:val="auto"/>
              </w:rPr>
              <w:t>PULSE BIOSCIENCES, INC.</w:t>
            </w:r>
          </w:p>
        </w:tc>
      </w:tr>
      <w:tr>
        <w:trPr>
          <w:trHeight w:val="469"/>
        </w:trPr>
        <w:tc>
          <w:tcPr>
            <w:tcW w:w="264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r>
      <w:tr>
        <w:trPr>
          <w:trHeight w:val="20"/>
        </w:trPr>
        <w:tc>
          <w:tcPr>
            <w:tcW w:w="2640" w:type="dxa"/>
            <w:vAlign w:val="bottom"/>
            <w:tcBorders>
              <w:bottom w:val="single" w:sz="8" w:color="EEEEEE"/>
            </w:tcBorders>
          </w:tcPr>
          <w:p>
            <w:pPr>
              <w:spacing w:after="0" w:line="20" w:lineRule="exact"/>
              <w:rPr>
                <w:sz w:val="1"/>
                <w:szCs w:val="1"/>
                <w:color w:val="auto"/>
              </w:rPr>
            </w:pPr>
          </w:p>
        </w:tc>
        <w:tc>
          <w:tcPr>
            <w:tcW w:w="6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-13970</wp:posOffset>
            </wp:positionV>
            <wp:extent cx="7620" cy="146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1">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-21590</wp:posOffset>
            </wp:positionV>
            <wp:extent cx="7620" cy="222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2">
                      <a:extLst>
                        <a:ext uri="{28A0092B-C50C-407E-A947-70E740481C1C}"/>
                      </a:extLst>
                    </a:blip>
                    <a:srcRect/>
                    <a:stretch>
                      <a:fillRect/>
                    </a:stretch>
                  </pic:blipFill>
                  <pic:spPr bwMode="auto">
                    <a:xfrm>
                      <a:off x="0" y="0"/>
                      <a:ext cx="7620" cy="22225"/>
                    </a:xfrm>
                    <a:prstGeom prst="rect">
                      <a:avLst/>
                    </a:prstGeom>
                    <a:noFill/>
                  </pic:spPr>
                </pic:pic>
              </a:graphicData>
            </a:graphic>
          </wp:anchor>
        </w:drawing>
      </w:r>
    </w:p>
    <w:p>
      <w:pPr>
        <w:sectPr>
          <w:pgSz w:w="11900" w:h="16838" w:orient="portrait"/>
          <w:cols w:equalWidth="0" w:num="1">
            <w:col w:w="9340"/>
          </w:cols>
          <w:pgMar w:left="1420" w:top="120" w:right="11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15"/>
        </w:trPr>
        <w:tc>
          <w:tcPr>
            <w:tcW w:w="238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1880" w:type="dxa"/>
            <w:vAlign w:val="bottom"/>
          </w:tcPr>
          <w:p>
            <w:pPr>
              <w:ind w:left="1580"/>
              <w:spacing w:after="0"/>
              <w:rPr>
                <w:sz w:val="20"/>
                <w:szCs w:val="20"/>
                <w:color w:val="auto"/>
              </w:rPr>
            </w:pPr>
            <w:r>
              <w:rPr>
                <w:rFonts w:ascii="Arial" w:cs="Arial" w:eastAsia="Arial" w:hAnsi="Arial"/>
                <w:sz w:val="17"/>
                <w:szCs w:val="17"/>
                <w:color w:val="auto"/>
              </w:rPr>
              <w:t>By</w:t>
            </w:r>
          </w:p>
        </w:tc>
      </w:tr>
      <w:tr>
        <w:trPr>
          <w:trHeight w:val="576"/>
        </w:trPr>
        <w:tc>
          <w:tcPr>
            <w:tcW w:w="2380" w:type="dxa"/>
            <w:vAlign w:val="bottom"/>
            <w:gridSpan w:val="2"/>
          </w:tcPr>
          <w:p>
            <w:pPr>
              <w:spacing w:after="0"/>
              <w:rPr>
                <w:sz w:val="20"/>
                <w:szCs w:val="20"/>
                <w:color w:val="auto"/>
              </w:rPr>
            </w:pPr>
            <w:r>
              <w:rPr>
                <w:rFonts w:ascii="Arial" w:cs="Arial" w:eastAsia="Arial" w:hAnsi="Arial"/>
                <w:sz w:val="17"/>
                <w:szCs w:val="17"/>
                <w:color w:val="auto"/>
              </w:rPr>
              <w:t>Print Name</w:t>
            </w:r>
          </w:p>
        </w:tc>
        <w:tc>
          <w:tcPr>
            <w:tcW w:w="1880" w:type="dxa"/>
            <w:vAlign w:val="bottom"/>
          </w:tcPr>
          <w:p>
            <w:pPr>
              <w:ind w:left="1720"/>
              <w:spacing w:after="0"/>
              <w:rPr>
                <w:sz w:val="20"/>
                <w:szCs w:val="20"/>
                <w:color w:val="auto"/>
              </w:rPr>
            </w:pPr>
            <w:r>
              <w:rPr>
                <w:rFonts w:ascii="Arial" w:cs="Arial" w:eastAsia="Arial" w:hAnsi="Arial"/>
                <w:sz w:val="17"/>
                <w:szCs w:val="17"/>
                <w:color w:val="auto"/>
                <w:w w:val="77"/>
              </w:rPr>
              <w:t>Its</w:t>
            </w:r>
          </w:p>
        </w:tc>
      </w:tr>
      <w:tr>
        <w:trPr>
          <w:trHeight w:val="342"/>
        </w:trPr>
        <w:tc>
          <w:tcPr>
            <w:tcW w:w="2380" w:type="dxa"/>
            <w:vAlign w:val="bottom"/>
            <w:gridSpan w:val="2"/>
          </w:tcPr>
          <w:p>
            <w:pPr>
              <w:spacing w:after="0"/>
              <w:rPr>
                <w:sz w:val="20"/>
                <w:szCs w:val="20"/>
                <w:color w:val="auto"/>
              </w:rPr>
            </w:pPr>
            <w:r>
              <w:rPr>
                <w:rFonts w:ascii="Arial" w:cs="Arial" w:eastAsia="Arial" w:hAnsi="Arial"/>
                <w:sz w:val="17"/>
                <w:szCs w:val="17"/>
                <w:color w:val="auto"/>
              </w:rPr>
              <w:t>Address:</w:t>
            </w:r>
          </w:p>
        </w:tc>
        <w:tc>
          <w:tcPr>
            <w:tcW w:w="188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4563110</wp:posOffset>
            </wp:positionV>
            <wp:extent cx="5937250" cy="222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3">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039"/>
          </w:cols>
          <w:pgMar w:left="1420" w:top="713" w:right="1440" w:bottom="1440" w:gutter="0" w:footer="0" w:header="0"/>
        </w:sectPr>
      </w:pPr>
    </w:p>
    <w:bookmarkStart w:id="179" w:name="page180"/>
    <w:bookmarkEnd w:id="179"/>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19"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STOCK OPTION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PARTICIPANTS SUBJECT TO TAX IN THE UNITED KINGDOM</w:t>
      </w:r>
    </w:p>
    <w:p>
      <w:pPr>
        <w:spacing w:after="0" w:line="381"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u w:val="single" w:color="auto"/>
          <w:color w:val="auto"/>
        </w:rPr>
        <w:t>NOTICE OF STOCK OPTION GRANT</w:t>
      </w:r>
    </w:p>
    <w:p>
      <w:pPr>
        <w:spacing w:after="0" w:line="189" w:lineRule="exact"/>
        <w:rPr>
          <w:sz w:val="20"/>
          <w:szCs w:val="20"/>
          <w:color w:val="auto"/>
        </w:rPr>
      </w:pPr>
    </w:p>
    <w:p>
      <w:pPr>
        <w:jc w:val="both"/>
        <w:ind w:firstLine="553"/>
        <w:spacing w:after="0" w:line="301" w:lineRule="auto"/>
        <w:rPr>
          <w:sz w:val="20"/>
          <w:szCs w:val="20"/>
          <w:color w:val="auto"/>
        </w:rPr>
      </w:pPr>
      <w:r>
        <w:rPr>
          <w:rFonts w:ascii="Arial" w:cs="Arial" w:eastAsia="Arial" w:hAnsi="Arial"/>
          <w:sz w:val="15"/>
          <w:szCs w:val="15"/>
          <w:color w:val="auto"/>
        </w:rPr>
        <w:t>Unless otherwise defined herein, the terms defined in the Pulse Biosciences, Inc. 2017 Equity Incentive Plan (the “Plan”) will have the same defined meanings in this Stock Option Agreement including the Notice of Stock Option Grant (the “Notice of Grant”), the Terms and Conditions of Stock Option Grant, and the appendices and exhibits attached thereto (all together, the “Award Agreement”).</w:t>
      </w:r>
    </w:p>
    <w:p>
      <w:pPr>
        <w:spacing w:after="0" w:line="119" w:lineRule="exact"/>
        <w:rPr>
          <w:sz w:val="20"/>
          <w:szCs w:val="20"/>
          <w:color w:val="auto"/>
        </w:rPr>
      </w:pPr>
    </w:p>
    <w:p>
      <w:pPr>
        <w:ind w:left="560"/>
        <w:spacing w:after="0"/>
        <w:tabs>
          <w:tab w:leader="none" w:pos="2700" w:val="left"/>
        </w:tabs>
        <w:rPr>
          <w:sz w:val="20"/>
          <w:szCs w:val="20"/>
          <w:color w:val="auto"/>
        </w:rPr>
      </w:pPr>
      <w:r>
        <w:rPr>
          <w:rFonts w:ascii="Arial" w:cs="Arial" w:eastAsia="Arial" w:hAnsi="Arial"/>
          <w:sz w:val="17"/>
          <w:szCs w:val="17"/>
          <w:b w:val="1"/>
          <w:bCs w:val="1"/>
          <w:color w:val="auto"/>
        </w:rPr>
        <w:t>Name (“Participant”):</w:t>
      </w:r>
      <w:r>
        <w:rPr>
          <w:sz w:val="20"/>
          <w:szCs w:val="20"/>
          <w:color w:val="auto"/>
        </w:rPr>
        <w:tab/>
      </w:r>
      <w:r>
        <w:rPr>
          <w:rFonts w:ascii="Arial" w:cs="Arial" w:eastAsia="Arial" w:hAnsi="Arial"/>
          <w:sz w:val="17"/>
          <w:szCs w:val="17"/>
          <w:color w:val="auto"/>
        </w:rPr>
        <w:t>[[</w:t>
      </w:r>
      <w:r>
        <w:rPr>
          <w:rFonts w:ascii="Arial" w:cs="Arial" w:eastAsia="Arial" w:hAnsi="Arial"/>
          <w:sz w:val="17"/>
          <w:szCs w:val="17"/>
          <w:color w:val="2B2105"/>
        </w:rPr>
        <w:t>FIRSTNAME]] [[LASTNAME]]</w:t>
      </w:r>
    </w:p>
    <w:p>
      <w:pPr>
        <w:spacing w:after="0" w:line="185" w:lineRule="exact"/>
        <w:rPr>
          <w:sz w:val="20"/>
          <w:szCs w:val="20"/>
          <w:color w:val="auto"/>
        </w:rPr>
      </w:pPr>
    </w:p>
    <w:p>
      <w:pPr>
        <w:ind w:left="560"/>
        <w:spacing w:after="0"/>
        <w:tabs>
          <w:tab w:leader="none" w:pos="2840" w:val="left"/>
        </w:tabs>
        <w:rPr>
          <w:sz w:val="20"/>
          <w:szCs w:val="20"/>
          <w:color w:val="auto"/>
        </w:rPr>
      </w:pPr>
      <w:r>
        <w:rPr>
          <w:rFonts w:ascii="Arial" w:cs="Arial" w:eastAsia="Arial" w:hAnsi="Arial"/>
          <w:sz w:val="17"/>
          <w:szCs w:val="17"/>
          <w:b w:val="1"/>
          <w:bCs w:val="1"/>
          <w:color w:val="auto"/>
        </w:rPr>
        <w:t>Address:</w:t>
      </w:r>
      <w:r>
        <w:rPr>
          <w:sz w:val="20"/>
          <w:szCs w:val="20"/>
          <w:color w:val="auto"/>
        </w:rPr>
        <w:tab/>
      </w:r>
      <w:r>
        <w:rPr>
          <w:rFonts w:ascii="Arial" w:cs="Arial" w:eastAsia="Arial" w:hAnsi="Arial"/>
          <w:sz w:val="17"/>
          <w:szCs w:val="17"/>
          <w:color w:val="auto"/>
        </w:rPr>
        <w:t>[[</w:t>
      </w:r>
      <w:r>
        <w:rPr>
          <w:rFonts w:ascii="Arial" w:cs="Arial" w:eastAsia="Arial" w:hAnsi="Arial"/>
          <w:sz w:val="17"/>
          <w:szCs w:val="17"/>
          <w:color w:val="2B2105"/>
        </w:rPr>
        <w:t>RESADDR1]]</w:t>
      </w:r>
    </w:p>
    <w:p>
      <w:pPr>
        <w:spacing w:after="0" w:line="19" w:lineRule="exact"/>
        <w:rPr>
          <w:sz w:val="20"/>
          <w:szCs w:val="20"/>
          <w:color w:val="auto"/>
        </w:rPr>
      </w:pPr>
    </w:p>
    <w:p>
      <w:pPr>
        <w:ind w:left="2760"/>
        <w:spacing w:after="0"/>
        <w:rPr>
          <w:sz w:val="20"/>
          <w:szCs w:val="20"/>
          <w:color w:val="auto"/>
        </w:rPr>
      </w:pPr>
      <w:r>
        <w:rPr>
          <w:rFonts w:ascii="Arial" w:cs="Arial" w:eastAsia="Arial" w:hAnsi="Arial"/>
          <w:sz w:val="17"/>
          <w:szCs w:val="17"/>
          <w:color w:val="2B2105"/>
        </w:rPr>
        <w:t>[[RESADDR2]]</w:t>
      </w:r>
    </w:p>
    <w:p>
      <w:pPr>
        <w:spacing w:after="0" w:line="1" w:lineRule="exact"/>
        <w:rPr>
          <w:sz w:val="20"/>
          <w:szCs w:val="20"/>
          <w:color w:val="auto"/>
        </w:rPr>
      </w:pPr>
    </w:p>
    <w:p>
      <w:pPr>
        <w:jc w:val="center"/>
        <w:ind w:right="-639"/>
        <w:spacing w:after="0"/>
        <w:rPr>
          <w:sz w:val="20"/>
          <w:szCs w:val="20"/>
          <w:color w:val="auto"/>
        </w:rPr>
      </w:pPr>
      <w:r>
        <w:rPr>
          <w:rFonts w:ascii="Arial" w:cs="Arial" w:eastAsia="Arial" w:hAnsi="Arial"/>
          <w:sz w:val="17"/>
          <w:szCs w:val="17"/>
          <w:color w:val="auto"/>
        </w:rPr>
        <w:t>[[RESCITY]],[[</w:t>
      </w:r>
      <w:r>
        <w:rPr>
          <w:rFonts w:ascii="Arial" w:cs="Arial" w:eastAsia="Arial" w:hAnsi="Arial"/>
          <w:sz w:val="17"/>
          <w:szCs w:val="17"/>
          <w:color w:val="2B2105"/>
        </w:rPr>
        <w:t>RESSTATEORPROV]]  [[RESPOSTALCODE]]</w:t>
      </w:r>
    </w:p>
    <w:p>
      <w:pPr>
        <w:spacing w:after="0" w:line="171"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7"/>
          <w:szCs w:val="17"/>
          <w:color w:val="auto"/>
        </w:rPr>
        <w:t>The undersigned Participant has been granted an Option to purchase Common Stock of Pulse Biosciences, Inc. (the “Company”), subject to the terms and conditions of the Plan and this Award Agreement, as follows:</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2280" w:type="dxa"/>
            <w:vAlign w:val="bottom"/>
            <w:gridSpan w:val="2"/>
          </w:tcPr>
          <w:p>
            <w:pPr>
              <w:spacing w:after="0"/>
              <w:rPr>
                <w:sz w:val="20"/>
                <w:szCs w:val="20"/>
                <w:color w:val="auto"/>
              </w:rPr>
            </w:pPr>
            <w:r>
              <w:rPr>
                <w:rFonts w:ascii="Arial" w:cs="Arial" w:eastAsia="Arial" w:hAnsi="Arial"/>
                <w:sz w:val="17"/>
                <w:szCs w:val="17"/>
                <w:color w:val="auto"/>
              </w:rPr>
              <w:t>Grant Number</w:t>
            </w:r>
          </w:p>
        </w:tc>
        <w:tc>
          <w:tcPr>
            <w:tcW w:w="3080" w:type="dxa"/>
            <w:vAlign w:val="bottom"/>
          </w:tcPr>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GRANTNUMBER]]</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Date of Grant</w:t>
            </w:r>
          </w:p>
        </w:tc>
        <w:tc>
          <w:tcPr>
            <w:tcW w:w="3080" w:type="dxa"/>
            <w:vAlign w:val="bottom"/>
          </w:tcPr>
          <w:p>
            <w:pPr>
              <w:ind w:left="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GRANTDATE]]</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w w:val="99"/>
              </w:rPr>
              <w:t>Vesting Commencement Date</w:t>
            </w:r>
          </w:p>
        </w:tc>
        <w:tc>
          <w:tcPr>
            <w:tcW w:w="3080" w:type="dxa"/>
            <w:vAlign w:val="bottom"/>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VESTINGSTARTDATE]]</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Number of Shares Granted</w:t>
            </w:r>
          </w:p>
        </w:tc>
        <w:tc>
          <w:tcPr>
            <w:tcW w:w="3080" w:type="dxa"/>
            <w:vAlign w:val="bottom"/>
          </w:tcPr>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SHARESGRANTED]]</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Exercise Price per Share</w:t>
            </w:r>
          </w:p>
        </w:tc>
        <w:tc>
          <w:tcPr>
            <w:tcW w:w="3080" w:type="dxa"/>
            <w:vAlign w:val="bottom"/>
          </w:tcPr>
          <w:p>
            <w:pPr>
              <w:ind w:left="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GRANTPRICE]]</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Total Exercise Price</w:t>
            </w:r>
          </w:p>
        </w:tc>
        <w:tc>
          <w:tcPr>
            <w:tcW w:w="3080" w:type="dxa"/>
            <w:vAlign w:val="bottom"/>
          </w:tcPr>
          <w:p>
            <w:pPr>
              <w:ind w:left="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MARKETPRICEATAWARD]]</w:t>
            </w:r>
          </w:p>
        </w:tc>
      </w:tr>
      <w:tr>
        <w:trPr>
          <w:trHeight w:val="380"/>
        </w:trPr>
        <w:tc>
          <w:tcPr>
            <w:tcW w:w="2280" w:type="dxa"/>
            <w:vAlign w:val="bottom"/>
            <w:gridSpan w:val="2"/>
          </w:tcPr>
          <w:p>
            <w:pPr>
              <w:spacing w:after="0"/>
              <w:rPr>
                <w:sz w:val="20"/>
                <w:szCs w:val="20"/>
                <w:color w:val="auto"/>
              </w:rPr>
            </w:pPr>
            <w:r>
              <w:rPr>
                <w:rFonts w:ascii="Arial" w:cs="Arial" w:eastAsia="Arial" w:hAnsi="Arial"/>
                <w:sz w:val="17"/>
                <w:szCs w:val="17"/>
                <w:color w:val="auto"/>
              </w:rPr>
              <w:t>Term/Expiration Date</w:t>
            </w:r>
          </w:p>
        </w:tc>
        <w:tc>
          <w:tcPr>
            <w:tcW w:w="3080" w:type="dxa"/>
            <w:vAlign w:val="bottom"/>
          </w:tcPr>
          <w:p>
            <w:pPr>
              <w:ind w:left="8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2B2105"/>
                <w:w w:val="97"/>
              </w:rPr>
              <w:t>GRANTEXPIRATIONDATE]]</w:t>
            </w:r>
          </w:p>
        </w:tc>
      </w:tr>
      <w:tr>
        <w:trPr>
          <w:trHeight w:val="342"/>
        </w:trPr>
        <w:tc>
          <w:tcPr>
            <w:tcW w:w="2280" w:type="dxa"/>
            <w:vAlign w:val="bottom"/>
            <w:gridSpan w:val="2"/>
          </w:tcPr>
          <w:p>
            <w:pPr>
              <w:spacing w:after="0"/>
              <w:rPr>
                <w:sz w:val="20"/>
                <w:szCs w:val="20"/>
                <w:color w:val="auto"/>
              </w:rPr>
            </w:pPr>
            <w:r>
              <w:rPr>
                <w:rFonts w:ascii="Arial" w:cs="Arial" w:eastAsia="Arial" w:hAnsi="Arial"/>
                <w:sz w:val="17"/>
                <w:szCs w:val="17"/>
                <w:color w:val="auto"/>
              </w:rPr>
              <w:t>Vesting Schedule:</w:t>
            </w:r>
          </w:p>
        </w:tc>
        <w:tc>
          <w:tcPr>
            <w:tcW w:w="3080" w:type="dxa"/>
            <w:vAlign w:val="bottom"/>
          </w:tcPr>
          <w:p>
            <w:pPr>
              <w:spacing w:after="0"/>
              <w:rPr>
                <w:sz w:val="24"/>
                <w:szCs w:val="24"/>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7"/>
          <w:szCs w:val="17"/>
          <w:color w:val="auto"/>
        </w:rPr>
        <w:t>Subject to accelerated vesting as set forth below or in the Plan, this Option will be exercisable, in whole or in part, in accordance with the following schedule: [[</w:t>
      </w:r>
      <w:r>
        <w:rPr>
          <w:rFonts w:ascii="Arial" w:cs="Arial" w:eastAsia="Arial" w:hAnsi="Arial"/>
          <w:sz w:val="17"/>
          <w:szCs w:val="17"/>
          <w:color w:val="2B2105"/>
        </w:rPr>
        <w:t>VESTINGTEMPLATEDESC]]</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u w:val="single" w:color="auto"/>
          <w:color w:val="auto"/>
        </w:rPr>
        <w:t>Termination Period</w:t>
      </w:r>
      <w:r>
        <w:rPr>
          <w:rFonts w:ascii="Arial" w:cs="Arial" w:eastAsia="Arial" w:hAnsi="Arial"/>
          <w:sz w:val="17"/>
          <w:szCs w:val="17"/>
          <w:color w:val="auto"/>
        </w:rPr>
        <w:t>:</w:t>
      </w:r>
    </w:p>
    <w:p>
      <w:pPr>
        <w:spacing w:after="0" w:line="185" w:lineRule="exact"/>
        <w:rPr>
          <w:sz w:val="20"/>
          <w:szCs w:val="20"/>
          <w:color w:val="auto"/>
        </w:rPr>
      </w:pPr>
    </w:p>
    <w:p>
      <w:pPr>
        <w:jc w:val="both"/>
        <w:ind w:firstLine="553"/>
        <w:spacing w:after="0" w:line="268" w:lineRule="auto"/>
        <w:rPr>
          <w:sz w:val="20"/>
          <w:szCs w:val="20"/>
          <w:color w:val="auto"/>
        </w:rPr>
      </w:pPr>
      <w:r>
        <w:rPr>
          <w:rFonts w:ascii="Arial" w:cs="Arial" w:eastAsia="Arial" w:hAnsi="Arial"/>
          <w:sz w:val="16"/>
          <w:szCs w:val="16"/>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 sentence, in no event may this Option be exercised after the Term/Expiration Date as provided above and may be subject to earlier termination as provided in Section 15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5937250" cy="222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4">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709" w:right="1159" w:bottom="1440" w:gutter="0" w:footer="0" w:header="0"/>
        </w:sectPr>
      </w:pPr>
    </w:p>
    <w:bookmarkStart w:id="180" w:name="page181"/>
    <w:bookmarkEnd w:id="180"/>
    <w:p>
      <w:pPr>
        <w:jc w:val="both"/>
        <w:ind w:firstLine="553"/>
        <w:spacing w:after="0" w:line="263" w:lineRule="auto"/>
        <w:rPr>
          <w:sz w:val="20"/>
          <w:szCs w:val="20"/>
          <w:color w:val="auto"/>
        </w:rPr>
      </w:pPr>
      <w:r>
        <w:rPr>
          <w:rFonts w:ascii="Arial" w:cs="Arial" w:eastAsia="Arial" w:hAnsi="Arial"/>
          <w:sz w:val="16"/>
          <w:szCs w:val="16"/>
          <w:color w:val="auto"/>
        </w:rPr>
        <w:t>Participant acknowledges receipt of a copy of the Plan and represents that he or she is familiar with the terms and provisions thereof, and hereby accepts this Award Agreement subject to all of the terms and provisions thereof. Participant has reviewed the Plan and this Award Agreement in their entirety, has had an opportunity to obtain the advice of counsel prior to executing this Award Agreement and fully understands all provisions of this Award Agreement. Participant hereby agrees to accept as binding, conclusive and final all decisions or interpretations of the Administrator upon any questions arising under the Plan or this Award Agreement. Participant further agrees to notify the Company upon any change in the residence address indicated below.</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PULSE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1317625" cy="402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5">
                      <a:extLst>
                        <a:ext uri="{28A0092B-C50C-407E-A947-70E740481C1C}"/>
                      </a:extLst>
                    </a:blip>
                    <a:srcRect/>
                    <a:stretch>
                      <a:fillRect/>
                    </a:stretch>
                  </pic:blipFill>
                  <pic:spPr bwMode="auto">
                    <a:xfrm>
                      <a:off x="0" y="0"/>
                      <a:ext cx="131762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Sandra Gardiner, Chief Financial Officer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PARTICIPANT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ACCEPTED: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rPr>
          <w:sz w:val="20"/>
          <w:szCs w:val="20"/>
          <w:color w:val="auto"/>
        </w:rPr>
      </w:pPr>
      <w:r>
        <w:rPr>
          <w:rFonts w:ascii="Arial" w:cs="Arial" w:eastAsia="Arial" w:hAnsi="Arial"/>
          <w:sz w:val="17"/>
          <w:szCs w:val="17"/>
          <w:color w:val="auto"/>
        </w:rPr>
        <w:t>Signature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[[SIGNATURE_DATE]]</w:t>
      </w:r>
    </w:p>
    <w:p>
      <w:pPr>
        <w:spacing w:after="0"/>
        <w:rPr>
          <w:sz w:val="20"/>
          <w:szCs w:val="20"/>
          <w:color w:val="auto"/>
        </w:rPr>
      </w:pPr>
      <w:r>
        <w:rPr>
          <w:rFonts w:ascii="Arial" w:cs="Arial" w:eastAsia="Arial" w:hAnsi="Arial"/>
          <w:sz w:val="17"/>
          <w:szCs w:val="17"/>
          <w:color w:val="auto"/>
        </w:rPr>
        <w:t>Date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u w:val="single" w:color="auto"/>
          <w:color w:val="2B2105"/>
        </w:rPr>
        <w:t>FIRSTNAME]] [[LASTNAME]]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Print Name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2B2105"/>
        </w:rPr>
        <w:t>RESADDR1]]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B2105"/>
        </w:rPr>
        <w:t>[[RESADDR2]]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[[RESCITY]], [[</w:t>
      </w:r>
      <w:r>
        <w:rPr>
          <w:rFonts w:ascii="Arial" w:cs="Arial" w:eastAsia="Arial" w:hAnsi="Arial"/>
          <w:sz w:val="17"/>
          <w:szCs w:val="17"/>
          <w:color w:val="2B2105"/>
        </w:rPr>
        <w:t>RESSTATEORPROV]] [[RESPOSTALCODE]]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791210</wp:posOffset>
            </wp:positionV>
            <wp:extent cx="5937250" cy="222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6">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20"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STOCK OPTION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PARTICIPANTS SUBJECT TO TAX IN THE UNITED KINGDOM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TERMS AND CONDITIONS OF STOCK OPTION GRANT</w:t>
      </w:r>
    </w:p>
    <w:p>
      <w:pPr>
        <w:spacing w:after="0" w:line="189" w:lineRule="exact"/>
        <w:rPr>
          <w:sz w:val="20"/>
          <w:szCs w:val="20"/>
          <w:color w:val="auto"/>
        </w:rPr>
      </w:pPr>
    </w:p>
    <w:p>
      <w:pPr>
        <w:jc w:val="both"/>
        <w:ind w:firstLine="552"/>
        <w:spacing w:after="0" w:line="245" w:lineRule="auto"/>
        <w:tabs>
          <w:tab w:leader="none" w:pos="914"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The Company hereby grants to the individual (the “Participant”) named in the Notice of Stock Option Grant of this Award Agreement (the “Notice of Grant”) an option (the “Option”) to purchase the number of Shares, as set forth in the Notice of Grant, at the exercise price per Share set forth in the Notice of Grant (the “Exercise Price”), subject to all of the terms and conditions in this Award Agreement and the Plan, which is incorporated herein by reference. Subject to Section 20(c) of the Plan, in the event of a conflict between the terms and conditions of the Plan and the terms and conditions of this Award Agreement, the terms and conditions of the Plan will prevail.</w:t>
      </w:r>
    </w:p>
    <w:p>
      <w:pPr>
        <w:spacing w:after="0" w:line="163" w:lineRule="exact"/>
        <w:rPr>
          <w:rFonts w:ascii="Arial" w:cs="Arial" w:eastAsia="Arial" w:hAnsi="Arial"/>
          <w:sz w:val="17"/>
          <w:szCs w:val="17"/>
          <w:color w:val="auto"/>
        </w:rPr>
      </w:pPr>
    </w:p>
    <w:p>
      <w:pPr>
        <w:jc w:val="both"/>
        <w:ind w:firstLine="552"/>
        <w:spacing w:after="0" w:line="268" w:lineRule="auto"/>
        <w:tabs>
          <w:tab w:leader="none" w:pos="903"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spacing w:after="0" w:line="146" w:lineRule="exact"/>
        <w:rPr>
          <w:rFonts w:ascii="Arial" w:cs="Arial" w:eastAsia="Arial" w:hAnsi="Arial"/>
          <w:sz w:val="16"/>
          <w:szCs w:val="16"/>
          <w:color w:val="auto"/>
        </w:rPr>
      </w:pPr>
    </w:p>
    <w:p>
      <w:pPr>
        <w:jc w:val="both"/>
        <w:ind w:firstLine="552"/>
        <w:spacing w:after="0" w:line="252" w:lineRule="auto"/>
        <w:tabs>
          <w:tab w:leader="none" w:pos="914"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Administrator Discretion</w:t>
      </w:r>
      <w:r>
        <w:rPr>
          <w:rFonts w:ascii="Arial" w:cs="Arial" w:eastAsia="Arial" w:hAnsi="Arial"/>
          <w:sz w:val="17"/>
          <w:szCs w:val="17"/>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56" w:lineRule="exact"/>
        <w:rPr>
          <w:rFonts w:ascii="Arial" w:cs="Arial" w:eastAsia="Arial" w:hAnsi="Arial"/>
          <w:sz w:val="17"/>
          <w:szCs w:val="17"/>
          <w:color w:val="auto"/>
        </w:rPr>
      </w:pPr>
    </w:p>
    <w:p>
      <w:pPr>
        <w:ind w:left="900" w:hanging="348"/>
        <w:spacing w:after="0"/>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firstLine="829"/>
        <w:spacing w:after="0" w:line="264" w:lineRule="auto"/>
        <w:tabs>
          <w:tab w:leader="none" w:pos="1175" w:val="left"/>
        </w:tabs>
        <w:numPr>
          <w:ilvl w:val="1"/>
          <w:numId w:val="126"/>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This Option may be exercised only within the term set out in the Notice of Grant, and may be exercised during such term only in accordance with the Plan and the terms of this Award Agreement.</w:t>
      </w:r>
    </w:p>
    <w:p>
      <w:pPr>
        <w:spacing w:after="0" w:line="146" w:lineRule="exact"/>
        <w:rPr>
          <w:rFonts w:ascii="Arial" w:cs="Arial" w:eastAsia="Arial" w:hAnsi="Arial"/>
          <w:sz w:val="17"/>
          <w:szCs w:val="17"/>
          <w:color w:val="auto"/>
        </w:rPr>
      </w:pPr>
    </w:p>
    <w:p>
      <w:pPr>
        <w:jc w:val="both"/>
        <w:ind w:firstLine="829"/>
        <w:spacing w:after="0" w:line="282" w:lineRule="auto"/>
        <w:tabs>
          <w:tab w:leader="none" w:pos="1173" w:val="left"/>
        </w:tabs>
        <w:numPr>
          <w:ilvl w:val="1"/>
          <w:numId w:val="126"/>
        </w:numPr>
        <w:rPr>
          <w:rFonts w:ascii="Arial" w:cs="Arial" w:eastAsia="Arial" w:hAnsi="Arial"/>
          <w:sz w:val="15"/>
          <w:szCs w:val="15"/>
          <w:color w:val="auto"/>
        </w:rPr>
      </w:pPr>
      <w:r>
        <w:rPr>
          <w:rFonts w:ascii="Arial" w:cs="Arial" w:eastAsia="Arial" w:hAnsi="Arial"/>
          <w:sz w:val="15"/>
          <w:szCs w:val="15"/>
          <w:u w:val="single" w:color="auto"/>
          <w:color w:val="auto"/>
        </w:rPr>
        <w:t>Method of Exercise</w:t>
      </w:r>
      <w:r>
        <w:rPr>
          <w:rFonts w:ascii="Arial" w:cs="Arial" w:eastAsia="Arial" w:hAnsi="Arial"/>
          <w:sz w:val="15"/>
          <w:szCs w:val="15"/>
          <w:color w:val="auto"/>
        </w:rPr>
        <w:t xml:space="preserve">. This Option is exercisable by delivery of an exercise notice (the “Exercise Notice”) in the form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and of any Tax Obligations (as defined in Section 6(a)). This Option will be deemed to be exercised upon receipt by the Company of such fully executed Exercise Notice accompanied by the aggregate Exercise Price.</w:t>
      </w:r>
    </w:p>
    <w:p>
      <w:pPr>
        <w:spacing w:after="0" w:line="137" w:lineRule="exact"/>
        <w:rPr>
          <w:rFonts w:ascii="Arial" w:cs="Arial" w:eastAsia="Arial" w:hAnsi="Arial"/>
          <w:sz w:val="15"/>
          <w:szCs w:val="15"/>
          <w:color w:val="auto"/>
        </w:rPr>
      </w:pPr>
    </w:p>
    <w:p>
      <w:pPr>
        <w:ind w:firstLine="552"/>
        <w:spacing w:after="0" w:line="264" w:lineRule="auto"/>
        <w:tabs>
          <w:tab w:leader="none" w:pos="903"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Payment of the aggregate Exercise Price will be by any of the following, or a combination thereof, at the election of Participant:</w:t>
      </w:r>
    </w:p>
    <w:p>
      <w:pPr>
        <w:spacing w:after="0" w:line="146" w:lineRule="exact"/>
        <w:rPr>
          <w:rFonts w:ascii="Arial" w:cs="Arial" w:eastAsia="Arial" w:hAnsi="Arial"/>
          <w:sz w:val="17"/>
          <w:szCs w:val="17"/>
          <w:color w:val="auto"/>
        </w:rPr>
      </w:pPr>
    </w:p>
    <w:p>
      <w:pPr>
        <w:ind w:left="1160" w:hanging="331"/>
        <w:spacing w:after="0"/>
        <w:tabs>
          <w:tab w:leader="none" w:pos="116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cash;</w:t>
      </w:r>
    </w:p>
    <w:p>
      <w:pPr>
        <w:spacing w:after="0" w:line="184" w:lineRule="exact"/>
        <w:rPr>
          <w:rFonts w:ascii="Arial" w:cs="Arial" w:eastAsia="Arial" w:hAnsi="Arial"/>
          <w:sz w:val="17"/>
          <w:szCs w:val="17"/>
          <w:color w:val="auto"/>
        </w:rPr>
      </w:pPr>
    </w:p>
    <w:p>
      <w:pPr>
        <w:ind w:left="1160" w:hanging="331"/>
        <w:spacing w:after="0"/>
        <w:tabs>
          <w:tab w:leader="none" w:pos="116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check;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5937250" cy="222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7">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182" w:name="page183"/>
    <w:bookmarkEnd w:id="182"/>
    <w:p>
      <w:pPr>
        <w:ind w:left="-20" w:firstLine="829"/>
        <w:spacing w:after="0" w:line="263" w:lineRule="auto"/>
        <w:tabs>
          <w:tab w:leader="none" w:pos="1178" w:val="left"/>
        </w:tabs>
        <w:numPr>
          <w:ilvl w:val="1"/>
          <w:numId w:val="127"/>
        </w:numPr>
        <w:rPr>
          <w:rFonts w:ascii="Arial" w:cs="Arial" w:eastAsia="Arial" w:hAnsi="Arial"/>
          <w:sz w:val="17"/>
          <w:szCs w:val="17"/>
          <w:color w:val="auto"/>
        </w:rPr>
      </w:pPr>
      <w:r>
        <w:rPr>
          <w:rFonts w:ascii="Arial" w:cs="Arial" w:eastAsia="Arial" w:hAnsi="Arial"/>
          <w:sz w:val="17"/>
          <w:szCs w:val="17"/>
          <w:color w:val="auto"/>
        </w:rPr>
        <w:t>consideration received by the Company under a formal cashless exercise program adopted by the Company in connection with the Plan.</w:t>
      </w:r>
    </w:p>
    <w:p>
      <w:pPr>
        <w:spacing w:after="0" w:line="147" w:lineRule="exact"/>
        <w:rPr>
          <w:rFonts w:ascii="Arial" w:cs="Arial" w:eastAsia="Arial" w:hAnsi="Arial"/>
          <w:sz w:val="17"/>
          <w:szCs w:val="17"/>
          <w:color w:val="auto"/>
        </w:rPr>
      </w:pPr>
    </w:p>
    <w:p>
      <w:pPr>
        <w:ind w:left="880" w:hanging="348"/>
        <w:spacing w:after="0"/>
        <w:tabs>
          <w:tab w:leader="none" w:pos="880"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Tax Obligations</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left="-20" w:firstLine="829"/>
        <w:spacing w:after="0" w:line="277" w:lineRule="auto"/>
        <w:tabs>
          <w:tab w:leader="none" w:pos="1143" w:val="left"/>
        </w:tabs>
        <w:numPr>
          <w:ilvl w:val="1"/>
          <w:numId w:val="128"/>
        </w:numPr>
        <w:rPr>
          <w:rFonts w:ascii="Arial" w:cs="Arial" w:eastAsia="Arial" w:hAnsi="Arial"/>
          <w:sz w:val="15"/>
          <w:szCs w:val="15"/>
          <w:color w:val="auto"/>
        </w:rPr>
      </w:pPr>
      <w:r>
        <w:rPr>
          <w:rFonts w:ascii="Arial" w:cs="Arial" w:eastAsia="Arial" w:hAnsi="Arial"/>
          <w:sz w:val="15"/>
          <w:szCs w:val="15"/>
          <w:color w:val="auto"/>
        </w:rPr>
        <w:t>Participant acknowledges that, regardless of any action taken by the Company or, if different, Participant’s employer (the “Employer”), the ultimate liability for any tax or other jurisdictional obligations (e.g., social taxes, welfare taxes, etc.),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Employer. Participant further acknowledges that the Company and/or the Employer (i) make no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(ii)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Employer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41" w:lineRule="exact"/>
        <w:rPr>
          <w:rFonts w:ascii="Arial" w:cs="Arial" w:eastAsia="Arial" w:hAnsi="Arial"/>
          <w:sz w:val="15"/>
          <w:szCs w:val="15"/>
          <w:color w:val="auto"/>
        </w:rPr>
      </w:pPr>
    </w:p>
    <w:p>
      <w:pPr>
        <w:jc w:val="both"/>
        <w:ind w:left="-20" w:firstLine="829"/>
        <w:spacing w:after="0" w:line="275" w:lineRule="auto"/>
        <w:tabs>
          <w:tab w:leader="none" w:pos="1164" w:val="left"/>
        </w:tabs>
        <w:numPr>
          <w:ilvl w:val="1"/>
          <w:numId w:val="128"/>
        </w:numPr>
        <w:rPr>
          <w:rFonts w:ascii="Arial" w:cs="Arial" w:eastAsia="Arial" w:hAnsi="Arial"/>
          <w:sz w:val="15"/>
          <w:szCs w:val="15"/>
          <w:color w:val="auto"/>
        </w:rPr>
      </w:pPr>
      <w:r>
        <w:rPr>
          <w:rFonts w:ascii="Arial" w:cs="Arial" w:eastAsia="Arial" w:hAnsi="Arial"/>
          <w:sz w:val="15"/>
          <w:szCs w:val="15"/>
          <w:u w:val="single" w:color="auto"/>
          <w:color w:val="auto"/>
        </w:rPr>
        <w:t>Tax Withholding</w:t>
      </w:r>
      <w:r>
        <w:rPr>
          <w:rFonts w:ascii="Arial" w:cs="Arial" w:eastAsia="Arial" w:hAnsi="Arial"/>
          <w:sz w:val="15"/>
          <w:szCs w:val="15"/>
          <w:color w:val="auto"/>
        </w:rPr>
        <w:t>. When, under applicable tax laws, a Participant incurs a liability to tax, duties or social security contributions (including, where relevant, any primary and/or secondary National Insurance Contributions) in connection with the exercise of any Option that is subject to tax withholding, the Participant is obligated to either enter into an arrangement (as described herein) for the purpose of ensuring the employer or former employer has sufficient funds to discharge the liability or reimburse the employer or former employer the amount required to be paid to the applicable tax authorities. Pursuant to such procedures as the Administrator may specify from time to time, the Company and/or Employer shall withhold the minimum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(a) paying cash, (b) electing to have the Company withhold otherwise deliverable Shares having a Fair Market Value equal to the amount of such Tax Obligations, (c) withholding the amount of such Tax Obligations from Participant’s wages or other cash compensation paid to Participant by the company and/or the Employer, (d) selling a sufficient number of such Shares otherwise deliverable to Participant through such means as the Company may determine in its sole discretion (whether through a broker or otherwise) equal to the amount of the Tax Obligations. To the extent determined appropriate by the Company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Employer (and/or former employer, as applicable) may be required to withhold or account for tax in more than one jurisdiction. Exercise of the Option is conditional upon the Participant having entered into arrangements for this purpose which are satisfactory to the Participant’s employer or former employer.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412750</wp:posOffset>
            </wp:positionV>
            <wp:extent cx="5937250" cy="222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8">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125" w:right="1159" w:bottom="1440" w:gutter="0" w:footer="0" w:header="0"/>
        </w:sectPr>
      </w:pPr>
    </w:p>
    <w:bookmarkStart w:id="183" w:name="page184"/>
    <w:bookmarkEnd w:id="183"/>
    <w:p>
      <w:pPr>
        <w:jc w:val="both"/>
        <w:ind w:left="-20" w:firstLine="552"/>
        <w:spacing w:after="0" w:line="245" w:lineRule="auto"/>
        <w:tabs>
          <w:tab w:leader="none" w:pos="883"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62" w:lineRule="exact"/>
        <w:rPr>
          <w:rFonts w:ascii="Arial" w:cs="Arial" w:eastAsia="Arial" w:hAnsi="Arial"/>
          <w:sz w:val="17"/>
          <w:szCs w:val="17"/>
          <w:color w:val="auto"/>
        </w:rPr>
      </w:pPr>
    </w:p>
    <w:p>
      <w:pPr>
        <w:jc w:val="both"/>
        <w:ind w:left="-20" w:firstLine="552"/>
        <w:spacing w:after="0" w:line="260" w:lineRule="auto"/>
        <w:tabs>
          <w:tab w:leader="none" w:pos="906"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No Guarantee of Continued Service</w:t>
      </w:r>
      <w:r>
        <w:rPr>
          <w:rFonts w:ascii="Arial" w:cs="Arial" w:eastAsia="Arial" w:hAnsi="Arial"/>
          <w:sz w:val="16"/>
          <w:szCs w:val="16"/>
          <w:color w:val="auto"/>
        </w:rPr>
        <w:t>. PARTICIPANT ACKNOWLEDGES AND AGREES THAT THE VESTING OF SHARES PURSUANT TO THE VESTING SCHEDULE HEREOF IS EARNED ONLY BY CONTINUING AS A SERVICE PROVIDER AT THE WILL OF THE COMPANY (OR THE EMPLOYER) AND NOT THROUGH THE ACT OF BEING HIRED, BEING GRANTED THIS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EMPLOYER) TO TERMINATE PARTICIPANT’S RELATIONSHIP AS A SERVICE PROVIDER AT ANY TIME, WITH OR WITHOUT CAUSE.</w:t>
      </w:r>
    </w:p>
    <w:p>
      <w:pPr>
        <w:spacing w:after="0" w:line="154" w:lineRule="exact"/>
        <w:rPr>
          <w:rFonts w:ascii="Arial" w:cs="Arial" w:eastAsia="Arial" w:hAnsi="Arial"/>
          <w:sz w:val="16"/>
          <w:szCs w:val="16"/>
          <w:color w:val="auto"/>
        </w:rPr>
      </w:pPr>
    </w:p>
    <w:p>
      <w:pPr>
        <w:ind w:left="880" w:hanging="348"/>
        <w:spacing w:after="0"/>
        <w:tabs>
          <w:tab w:leader="none" w:pos="880"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In accepting the Option, Participant acknowledges, understands and agrees that:</w:t>
      </w:r>
    </w:p>
    <w:p>
      <w:pPr>
        <w:spacing w:after="0" w:line="184" w:lineRule="exact"/>
        <w:rPr>
          <w:rFonts w:ascii="Arial" w:cs="Arial" w:eastAsia="Arial" w:hAnsi="Arial"/>
          <w:sz w:val="17"/>
          <w:szCs w:val="17"/>
          <w:color w:val="auto"/>
        </w:rPr>
      </w:pPr>
    </w:p>
    <w:p>
      <w:pPr>
        <w:ind w:left="-20" w:firstLine="829"/>
        <w:spacing w:after="0" w:line="264" w:lineRule="auto"/>
        <w:tabs>
          <w:tab w:leader="none" w:pos="1143" w:val="left"/>
        </w:tabs>
        <w:numPr>
          <w:ilvl w:val="1"/>
          <w:numId w:val="129"/>
        </w:numPr>
        <w:rPr>
          <w:rFonts w:ascii="Arial" w:cs="Arial" w:eastAsia="Arial" w:hAnsi="Arial"/>
          <w:sz w:val="17"/>
          <w:szCs w:val="17"/>
          <w:color w:val="auto"/>
        </w:rPr>
      </w:pPr>
      <w:r>
        <w:rPr>
          <w:rFonts w:ascii="Arial" w:cs="Arial" w:eastAsia="Arial" w:hAnsi="Arial"/>
          <w:sz w:val="17"/>
          <w:szCs w:val="17"/>
          <w:color w:val="auto"/>
        </w:rPr>
        <w:t>the grant of the Option is voluntary and occasional and does not create any contractual or other right to receive future grants of options, or benefits in lieu of options, even if options have been granted in the past;</w:t>
      </w:r>
    </w:p>
    <w:p>
      <w:pPr>
        <w:spacing w:after="0" w:line="146" w:lineRule="exact"/>
        <w:rPr>
          <w:rFonts w:ascii="Arial" w:cs="Arial" w:eastAsia="Arial" w:hAnsi="Arial"/>
          <w:sz w:val="17"/>
          <w:szCs w:val="17"/>
          <w:color w:val="auto"/>
        </w:rPr>
      </w:pPr>
    </w:p>
    <w:p>
      <w:pPr>
        <w:ind w:left="1140" w:hanging="331"/>
        <w:spacing w:after="0"/>
        <w:tabs>
          <w:tab w:leader="none" w:pos="114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all decisions with respect to future option or other grants, if any, will be at the sole discretion of the Company;</w:t>
      </w:r>
    </w:p>
    <w:p>
      <w:pPr>
        <w:spacing w:after="0" w:line="196" w:lineRule="exact"/>
        <w:rPr>
          <w:rFonts w:ascii="Arial" w:cs="Arial" w:eastAsia="Arial" w:hAnsi="Arial"/>
          <w:sz w:val="16"/>
          <w:szCs w:val="16"/>
          <w:color w:val="auto"/>
        </w:rPr>
      </w:pPr>
    </w:p>
    <w:p>
      <w:pPr>
        <w:ind w:left="1140" w:hanging="331"/>
        <w:spacing w:after="0"/>
        <w:tabs>
          <w:tab w:leader="none" w:pos="114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Participant is voluntarily participating in the Plan;</w:t>
      </w:r>
    </w:p>
    <w:p>
      <w:pPr>
        <w:spacing w:after="0" w:line="184" w:lineRule="exact"/>
        <w:rPr>
          <w:rFonts w:ascii="Arial" w:cs="Arial" w:eastAsia="Arial" w:hAnsi="Arial"/>
          <w:sz w:val="17"/>
          <w:szCs w:val="17"/>
          <w:color w:val="auto"/>
        </w:rPr>
      </w:pPr>
    </w:p>
    <w:p>
      <w:pPr>
        <w:ind w:left="1140" w:hanging="331"/>
        <w:spacing w:after="0"/>
        <w:tabs>
          <w:tab w:leader="none" w:pos="1140" w:val="left"/>
        </w:tabs>
        <w:numPr>
          <w:ilvl w:val="1"/>
          <w:numId w:val="129"/>
        </w:numPr>
        <w:rPr>
          <w:rFonts w:ascii="Arial" w:cs="Arial" w:eastAsia="Arial" w:hAnsi="Arial"/>
          <w:sz w:val="15"/>
          <w:szCs w:val="15"/>
          <w:color w:val="auto"/>
        </w:rPr>
      </w:pPr>
      <w:r>
        <w:rPr>
          <w:rFonts w:ascii="Arial" w:cs="Arial" w:eastAsia="Arial" w:hAnsi="Arial"/>
          <w:sz w:val="15"/>
          <w:szCs w:val="15"/>
          <w:color w:val="auto"/>
        </w:rPr>
        <w:t>the Option and any Shares acquired under the Plan are not intended to replace any pension rights or compensation;</w:t>
      </w:r>
    </w:p>
    <w:p>
      <w:pPr>
        <w:spacing w:after="0" w:line="207" w:lineRule="exact"/>
        <w:rPr>
          <w:rFonts w:ascii="Arial" w:cs="Arial" w:eastAsia="Arial" w:hAnsi="Arial"/>
          <w:sz w:val="15"/>
          <w:szCs w:val="15"/>
          <w:color w:val="auto"/>
        </w:rPr>
      </w:pPr>
    </w:p>
    <w:p>
      <w:pPr>
        <w:jc w:val="both"/>
        <w:ind w:left="-20" w:firstLine="829"/>
        <w:spacing w:after="0" w:line="252" w:lineRule="auto"/>
        <w:tabs>
          <w:tab w:leader="none" w:pos="1143" w:val="left"/>
        </w:tabs>
        <w:numPr>
          <w:ilvl w:val="1"/>
          <w:numId w:val="129"/>
        </w:numPr>
        <w:rPr>
          <w:rFonts w:ascii="Arial" w:cs="Arial" w:eastAsia="Arial" w:hAnsi="Arial"/>
          <w:sz w:val="17"/>
          <w:szCs w:val="17"/>
          <w:color w:val="auto"/>
        </w:rPr>
      </w:pPr>
      <w:r>
        <w:rPr>
          <w:rFonts w:ascii="Arial" w:cs="Arial" w:eastAsia="Arial" w:hAnsi="Arial"/>
          <w:sz w:val="17"/>
          <w:szCs w:val="17"/>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56" w:lineRule="exact"/>
        <w:rPr>
          <w:rFonts w:ascii="Arial" w:cs="Arial" w:eastAsia="Arial" w:hAnsi="Arial"/>
          <w:sz w:val="17"/>
          <w:szCs w:val="17"/>
          <w:color w:val="auto"/>
        </w:rPr>
      </w:pPr>
    </w:p>
    <w:p>
      <w:pPr>
        <w:ind w:left="1120" w:hanging="311"/>
        <w:spacing w:after="0"/>
        <w:tabs>
          <w:tab w:leader="none" w:pos="1120" w:val="left"/>
        </w:tabs>
        <w:numPr>
          <w:ilvl w:val="1"/>
          <w:numId w:val="129"/>
        </w:numPr>
        <w:rPr>
          <w:rFonts w:ascii="Arial" w:cs="Arial" w:eastAsia="Arial" w:hAnsi="Arial"/>
          <w:sz w:val="15"/>
          <w:szCs w:val="15"/>
          <w:color w:val="auto"/>
        </w:rPr>
      </w:pPr>
      <w:r>
        <w:rPr>
          <w:rFonts w:ascii="Arial" w:cs="Arial" w:eastAsia="Arial" w:hAnsi="Arial"/>
          <w:sz w:val="15"/>
          <w:szCs w:val="15"/>
          <w:color w:val="auto"/>
        </w:rPr>
        <w:t>the future value of the Shares underlying the Option is unknown, indeterminable, and cannot be predicted with certainty;</w:t>
      </w:r>
    </w:p>
    <w:p>
      <w:pPr>
        <w:spacing w:after="0" w:line="207" w:lineRule="exact"/>
        <w:rPr>
          <w:rFonts w:ascii="Arial" w:cs="Arial" w:eastAsia="Arial" w:hAnsi="Arial"/>
          <w:sz w:val="15"/>
          <w:szCs w:val="15"/>
          <w:color w:val="auto"/>
        </w:rPr>
      </w:pPr>
    </w:p>
    <w:p>
      <w:pPr>
        <w:ind w:left="1140" w:hanging="331"/>
        <w:spacing w:after="0"/>
        <w:tabs>
          <w:tab w:leader="none" w:pos="114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if the underlying Shares do not increase in value, the Option will have no value;</w:t>
      </w:r>
    </w:p>
    <w:p>
      <w:pPr>
        <w:spacing w:after="0" w:line="184" w:lineRule="exact"/>
        <w:rPr>
          <w:rFonts w:ascii="Arial" w:cs="Arial" w:eastAsia="Arial" w:hAnsi="Arial"/>
          <w:sz w:val="17"/>
          <w:szCs w:val="17"/>
          <w:color w:val="auto"/>
        </w:rPr>
      </w:pPr>
    </w:p>
    <w:p>
      <w:pPr>
        <w:ind w:left="-20" w:firstLine="829"/>
        <w:spacing w:after="0" w:line="264" w:lineRule="auto"/>
        <w:tabs>
          <w:tab w:leader="none" w:pos="1141" w:val="left"/>
        </w:tabs>
        <w:numPr>
          <w:ilvl w:val="1"/>
          <w:numId w:val="129"/>
        </w:numPr>
        <w:rPr>
          <w:rFonts w:ascii="Arial" w:cs="Arial" w:eastAsia="Arial" w:hAnsi="Arial"/>
          <w:sz w:val="17"/>
          <w:szCs w:val="17"/>
          <w:color w:val="auto"/>
        </w:rPr>
      </w:pPr>
      <w:r>
        <w:rPr>
          <w:rFonts w:ascii="Arial" w:cs="Arial" w:eastAsia="Arial" w:hAnsi="Arial"/>
          <w:sz w:val="17"/>
          <w:szCs w:val="17"/>
          <w:color w:val="auto"/>
        </w:rPr>
        <w:t>if Participant exercises the Option and acquires Shares, the value of such Shares may increase or decrease in value, even below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285115</wp:posOffset>
            </wp:positionV>
            <wp:extent cx="5937250" cy="222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9">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126" w:right="1159" w:bottom="1440" w:gutter="0" w:footer="0" w:header="0"/>
        </w:sectPr>
      </w:pPr>
    </w:p>
    <w:bookmarkStart w:id="184" w:name="page185"/>
    <w:bookmarkEnd w:id="184"/>
    <w:p>
      <w:pPr>
        <w:jc w:val="both"/>
        <w:ind w:firstLine="829"/>
        <w:spacing w:after="0" w:line="257" w:lineRule="auto"/>
        <w:tabs>
          <w:tab w:leader="none" w:pos="1165" w:val="left"/>
        </w:tabs>
        <w:numPr>
          <w:ilvl w:val="2"/>
          <w:numId w:val="130"/>
        </w:numPr>
        <w:rPr>
          <w:rFonts w:ascii="Arial" w:cs="Arial" w:eastAsia="Arial" w:hAnsi="Arial"/>
          <w:sz w:val="17"/>
          <w:szCs w:val="17"/>
          <w:color w:val="auto"/>
        </w:rPr>
      </w:pPr>
      <w:r>
        <w:rPr>
          <w:rFonts w:ascii="Arial" w:cs="Arial" w:eastAsia="Arial" w:hAnsi="Arial"/>
          <w:sz w:val="17"/>
          <w:szCs w:val="17"/>
          <w:color w:val="auto"/>
        </w:rPr>
        <w:t>for purposes of the Option, Participant’s engagement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w:t>
      </w:r>
    </w:p>
    <w:p>
      <w:pPr>
        <w:spacing w:after="0" w:line="159" w:lineRule="exact"/>
        <w:rPr>
          <w:rFonts w:ascii="Arial" w:cs="Arial" w:eastAsia="Arial" w:hAnsi="Arial"/>
          <w:sz w:val="17"/>
          <w:szCs w:val="17"/>
          <w:color w:val="auto"/>
        </w:rPr>
      </w:pPr>
    </w:p>
    <w:p>
      <w:pPr>
        <w:jc w:val="both"/>
        <w:ind w:firstLine="829"/>
        <w:spacing w:after="0" w:line="275" w:lineRule="auto"/>
        <w:tabs>
          <w:tab w:leader="none" w:pos="1147" w:val="left"/>
        </w:tabs>
        <w:numPr>
          <w:ilvl w:val="2"/>
          <w:numId w:val="130"/>
        </w:numPr>
        <w:rPr>
          <w:rFonts w:ascii="Arial" w:cs="Arial" w:eastAsia="Arial" w:hAnsi="Arial"/>
          <w:sz w:val="16"/>
          <w:szCs w:val="16"/>
          <w:color w:val="auto"/>
        </w:rPr>
      </w:pPr>
      <w:r>
        <w:rPr>
          <w:rFonts w:ascii="Arial" w:cs="Arial" w:eastAsia="Arial" w:hAnsi="Arial"/>
          <w:sz w:val="16"/>
          <w:szCs w:val="16"/>
          <w:color w:val="auto"/>
        </w:rPr>
        <w:t>unless otherwise provided in the Plan or by the Company in its discretion, the Option and the benefits evidenced by this Award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39" w:lineRule="exact"/>
        <w:rPr>
          <w:rFonts w:ascii="Arial" w:cs="Arial" w:eastAsia="Arial" w:hAnsi="Arial"/>
          <w:sz w:val="16"/>
          <w:szCs w:val="16"/>
          <w:color w:val="auto"/>
        </w:rPr>
      </w:pPr>
    </w:p>
    <w:p>
      <w:pPr>
        <w:ind w:left="1560" w:hanging="800"/>
        <w:spacing w:after="0"/>
        <w:tabs>
          <w:tab w:leader="none" w:pos="156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the Option and the Shares subject to the Option are not part of normal or expected compensation or salary for any</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purpose;</w:t>
      </w:r>
    </w:p>
    <w:p>
      <w:pPr>
        <w:spacing w:after="0" w:line="170" w:lineRule="exact"/>
        <w:rPr>
          <w:rFonts w:ascii="Arial" w:cs="Arial" w:eastAsia="Arial" w:hAnsi="Arial"/>
          <w:sz w:val="15"/>
          <w:szCs w:val="15"/>
          <w:color w:val="auto"/>
        </w:rPr>
      </w:pPr>
    </w:p>
    <w:p>
      <w:pPr>
        <w:jc w:val="both"/>
        <w:ind w:firstLine="760"/>
        <w:spacing w:after="0" w:line="248" w:lineRule="auto"/>
        <w:tabs>
          <w:tab w:leader="none" w:pos="152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Participant acknowledges and agrees that none of the Company, the Employer, or any Parent or Subsidiary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60" w:lineRule="exact"/>
        <w:rPr>
          <w:rFonts w:ascii="Arial" w:cs="Arial" w:eastAsia="Arial" w:hAnsi="Arial"/>
          <w:sz w:val="17"/>
          <w:szCs w:val="17"/>
          <w:color w:val="auto"/>
        </w:rPr>
      </w:pPr>
    </w:p>
    <w:p>
      <w:pPr>
        <w:jc w:val="both"/>
        <w:ind w:firstLine="760"/>
        <w:spacing w:after="0" w:line="260" w:lineRule="auto"/>
        <w:tabs>
          <w:tab w:leader="none" w:pos="1165" w:val="left"/>
        </w:tabs>
        <w:numPr>
          <w:ilvl w:val="1"/>
          <w:numId w:val="131"/>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 resulting from the termination of Participant’s engagement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the Company, any Parent, any Subsidiary or the Employer, waives his or her ability, if any, to bring any such claim, and releases the Company, any Parent or Subsidiary and the Employer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54" w:lineRule="exact"/>
        <w:rPr>
          <w:rFonts w:ascii="Arial" w:cs="Arial" w:eastAsia="Arial" w:hAnsi="Arial"/>
          <w:sz w:val="16"/>
          <w:szCs w:val="16"/>
          <w:color w:val="auto"/>
        </w:rPr>
      </w:pPr>
    </w:p>
    <w:p>
      <w:pPr>
        <w:jc w:val="both"/>
        <w:ind w:firstLine="552"/>
        <w:spacing w:after="0" w:line="248" w:lineRule="auto"/>
        <w:tabs>
          <w:tab w:leader="none" w:pos="903"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No Advice Regarding Grant</w:t>
      </w:r>
      <w:r>
        <w:rPr>
          <w:rFonts w:ascii="Arial" w:cs="Arial" w:eastAsia="Arial" w:hAnsi="Arial"/>
          <w:sz w:val="17"/>
          <w:szCs w:val="17"/>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5937250" cy="222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0">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2" w:right="1159" w:bottom="1440" w:gutter="0" w:footer="0" w:header="0"/>
        </w:sectPr>
      </w:pPr>
    </w:p>
    <w:bookmarkStart w:id="185" w:name="page186"/>
    <w:bookmarkEnd w:id="185"/>
    <w:p>
      <w:pPr>
        <w:jc w:val="both"/>
        <w:ind w:left="-20" w:firstLine="552"/>
        <w:spacing w:after="0" w:line="275" w:lineRule="auto"/>
        <w:tabs>
          <w:tab w:leader="none" w:pos="883" w:val="left"/>
        </w:tabs>
        <w:numPr>
          <w:ilvl w:val="0"/>
          <w:numId w:val="133"/>
        </w:numPr>
        <w:rPr>
          <w:rFonts w:ascii="Arial" w:cs="Arial" w:eastAsia="Arial" w:hAnsi="Arial"/>
          <w:sz w:val="15"/>
          <w:szCs w:val="15"/>
          <w:color w:val="auto"/>
        </w:rPr>
      </w:pPr>
      <w:r>
        <w:rPr>
          <w:rFonts w:ascii="Arial" w:cs="Arial" w:eastAsia="Arial" w:hAnsi="Arial"/>
          <w:sz w:val="15"/>
          <w:szCs w:val="15"/>
          <w:u w:val="single" w:color="auto"/>
          <w:color w:val="auto"/>
        </w:rPr>
        <w:t>Data Privacy</w:t>
      </w:r>
      <w:r>
        <w:rPr>
          <w:rFonts w:ascii="Arial" w:cs="Arial" w:eastAsia="Arial" w:hAnsi="Arial"/>
          <w:sz w:val="15"/>
          <w:szCs w:val="15"/>
          <w:color w:val="auto"/>
        </w:rPr>
        <w:t>. Participant hereby explicitly and unambiguously consents to the collection, use and transfer, in electronic or other form, of Participant’s personal data as described in this Award Agreement and any other Option grant materials by and among, as applicable, the Employer, the Company and any Parent or Subsidiary for the exclusive purpose of implementing, administering and managing Participant’s participation in the Plan.Participant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(“Data”), for the exclusive purpose of implementing, administering and managing the Plan. 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he or she may request a list with the names and addresses of any potential recipients of the Data by contacting his or her local human resources representative.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engagement as a Service Provider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40" w:lineRule="exact"/>
        <w:rPr>
          <w:rFonts w:ascii="Arial" w:cs="Arial" w:eastAsia="Arial" w:hAnsi="Arial"/>
          <w:sz w:val="15"/>
          <w:szCs w:val="15"/>
          <w:color w:val="auto"/>
        </w:rPr>
      </w:pPr>
    </w:p>
    <w:p>
      <w:pPr>
        <w:jc w:val="both"/>
        <w:ind w:left="-20" w:firstLine="552"/>
        <w:spacing w:after="0" w:line="252" w:lineRule="auto"/>
        <w:tabs>
          <w:tab w:leader="none" w:pos="883"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Address for Notices</w:t>
      </w:r>
      <w:r>
        <w:rPr>
          <w:rFonts w:ascii="Arial" w:cs="Arial" w:eastAsia="Arial" w:hAnsi="Arial"/>
          <w:sz w:val="17"/>
          <w:szCs w:val="17"/>
          <w:color w:val="auto"/>
        </w:rPr>
        <w:t>. Any notice to be given to the Company under the terms of this Award Agreement will be addressed to the Company at Pulse Biosciences, Inc., 849 Mitten Rd. #104, Burlingame, CA 94010, or at such other address as the Company may hereafter designate in writing.</w:t>
      </w:r>
    </w:p>
    <w:p>
      <w:pPr>
        <w:spacing w:after="0" w:line="156" w:lineRule="exact"/>
        <w:rPr>
          <w:rFonts w:ascii="Arial" w:cs="Arial" w:eastAsia="Arial" w:hAnsi="Arial"/>
          <w:sz w:val="17"/>
          <w:szCs w:val="17"/>
          <w:color w:val="auto"/>
        </w:rPr>
      </w:pPr>
    </w:p>
    <w:p>
      <w:pPr>
        <w:ind w:left="-20" w:firstLine="552"/>
        <w:spacing w:after="0" w:line="264" w:lineRule="auto"/>
        <w:tabs>
          <w:tab w:leader="none" w:pos="883"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 This Option may not be transferred in any manner otherwise than by will or by the laws of descent or distribution and may be exercised during the lifetime of Participant only by Participant.</w:t>
      </w:r>
    </w:p>
    <w:p>
      <w:pPr>
        <w:spacing w:after="0" w:line="146" w:lineRule="exact"/>
        <w:rPr>
          <w:rFonts w:ascii="Arial" w:cs="Arial" w:eastAsia="Arial" w:hAnsi="Arial"/>
          <w:sz w:val="17"/>
          <w:szCs w:val="17"/>
          <w:color w:val="auto"/>
        </w:rPr>
      </w:pPr>
    </w:p>
    <w:p>
      <w:pPr>
        <w:jc w:val="both"/>
        <w:ind w:left="-20" w:firstLine="552"/>
        <w:spacing w:after="0" w:line="246" w:lineRule="auto"/>
        <w:tabs>
          <w:tab w:leader="none" w:pos="894"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295910</wp:posOffset>
            </wp:positionV>
            <wp:extent cx="5937250" cy="222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1">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126" w:right="1159" w:bottom="1440" w:gutter="0" w:footer="0" w:header="0"/>
        </w:sectPr>
      </w:pPr>
    </w:p>
    <w:bookmarkStart w:id="186" w:name="page187"/>
    <w:bookmarkEnd w:id="186"/>
    <w:p>
      <w:pPr>
        <w:jc w:val="both"/>
        <w:ind w:left="-20" w:firstLine="552"/>
        <w:spacing w:after="0" w:line="260" w:lineRule="auto"/>
        <w:tabs>
          <w:tab w:leader="none" w:pos="894"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Additional Conditions to Issuance of Stock</w:t>
      </w:r>
      <w:r>
        <w:rPr>
          <w:rFonts w:ascii="Arial" w:cs="Arial" w:eastAsia="Arial" w:hAnsi="Arial"/>
          <w:sz w:val="16"/>
          <w:szCs w:val="16"/>
          <w:color w:val="auto"/>
        </w:rPr>
        <w:t>. If at any time the Company will determine, in its discretion, that the listing, registration, qualification or rule compliance of the Shares upon any Applicable Law, governmental regulatory body or the clearance, consent or approval of the United States Securities and Exchange Commission or any other governmental regulatory authority is necessary or desirable as a condition to the purchase by, or issuance of Shares, to Participant (or his or her estate) hereunder, such purchase or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exercise of the Option as the Administrator may establish from time to time for reasons of administrative convenience.</w:t>
      </w:r>
    </w:p>
    <w:p>
      <w:pPr>
        <w:spacing w:after="0" w:line="153" w:lineRule="exact"/>
        <w:rPr>
          <w:rFonts w:ascii="Arial" w:cs="Arial" w:eastAsia="Arial" w:hAnsi="Arial"/>
          <w:sz w:val="16"/>
          <w:szCs w:val="16"/>
          <w:color w:val="auto"/>
        </w:rPr>
      </w:pPr>
    </w:p>
    <w:p>
      <w:pPr>
        <w:jc w:val="both"/>
        <w:ind w:left="-20" w:firstLine="552"/>
        <w:spacing w:after="0" w:line="252" w:lineRule="auto"/>
        <w:tabs>
          <w:tab w:leader="none" w:pos="894"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56" w:lineRule="exact"/>
        <w:rPr>
          <w:rFonts w:ascii="Arial" w:cs="Arial" w:eastAsia="Arial" w:hAnsi="Arial"/>
          <w:sz w:val="17"/>
          <w:szCs w:val="17"/>
          <w:color w:val="auto"/>
        </w:rPr>
      </w:pPr>
    </w:p>
    <w:p>
      <w:pPr>
        <w:jc w:val="both"/>
        <w:ind w:left="-20" w:firstLine="552"/>
        <w:spacing w:after="0" w:line="263" w:lineRule="auto"/>
        <w:tabs>
          <w:tab w:leader="none" w:pos="894"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50" w:lineRule="exact"/>
        <w:rPr>
          <w:rFonts w:ascii="Arial" w:cs="Arial" w:eastAsia="Arial" w:hAnsi="Arial"/>
          <w:sz w:val="16"/>
          <w:szCs w:val="16"/>
          <w:color w:val="auto"/>
        </w:rPr>
      </w:pPr>
    </w:p>
    <w:p>
      <w:pPr>
        <w:jc w:val="both"/>
        <w:ind w:left="-20" w:firstLine="552"/>
        <w:spacing w:after="0" w:line="246" w:lineRule="auto"/>
        <w:tabs>
          <w:tab w:leader="none" w:pos="883"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62" w:lineRule="exact"/>
        <w:rPr>
          <w:rFonts w:ascii="Arial" w:cs="Arial" w:eastAsia="Arial" w:hAnsi="Arial"/>
          <w:sz w:val="17"/>
          <w:szCs w:val="17"/>
          <w:color w:val="auto"/>
        </w:rPr>
      </w:pPr>
    </w:p>
    <w:p>
      <w:pPr>
        <w:ind w:left="-20" w:firstLine="552"/>
        <w:spacing w:after="0" w:line="264" w:lineRule="auto"/>
        <w:tabs>
          <w:tab w:leader="none" w:pos="917"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provided herein are for convenience only and are not to serve as a basis for interpretation or construction of this Award Agreement.</w:t>
      </w:r>
    </w:p>
    <w:p>
      <w:pPr>
        <w:spacing w:after="0" w:line="146" w:lineRule="exact"/>
        <w:rPr>
          <w:rFonts w:ascii="Arial" w:cs="Arial" w:eastAsia="Arial" w:hAnsi="Arial"/>
          <w:sz w:val="17"/>
          <w:szCs w:val="17"/>
          <w:color w:val="auto"/>
        </w:rPr>
      </w:pPr>
    </w:p>
    <w:p>
      <w:pPr>
        <w:jc w:val="both"/>
        <w:ind w:left="-20" w:firstLine="552"/>
        <w:spacing w:after="0" w:line="252" w:lineRule="auto"/>
        <w:tabs>
          <w:tab w:leader="none" w:pos="883"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56" w:lineRule="exact"/>
        <w:rPr>
          <w:rFonts w:ascii="Arial" w:cs="Arial" w:eastAsia="Arial" w:hAnsi="Arial"/>
          <w:sz w:val="17"/>
          <w:szCs w:val="17"/>
          <w:color w:val="auto"/>
        </w:rPr>
      </w:pPr>
    </w:p>
    <w:p>
      <w:pPr>
        <w:jc w:val="both"/>
        <w:ind w:left="-20" w:firstLine="552"/>
        <w:spacing w:after="0" w:line="275" w:lineRule="auto"/>
        <w:tabs>
          <w:tab w:leader="none" w:pos="883"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Amendment, Suspension or Termination of the Plan</w:t>
      </w:r>
      <w:r>
        <w:rPr>
          <w:rFonts w:ascii="Arial" w:cs="Arial" w:eastAsia="Arial" w:hAnsi="Arial"/>
          <w:sz w:val="16"/>
          <w:szCs w:val="16"/>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39" w:lineRule="exact"/>
        <w:rPr>
          <w:rFonts w:ascii="Arial" w:cs="Arial" w:eastAsia="Arial" w:hAnsi="Arial"/>
          <w:sz w:val="16"/>
          <w:szCs w:val="16"/>
          <w:color w:val="auto"/>
        </w:rPr>
      </w:pPr>
    </w:p>
    <w:p>
      <w:pPr>
        <w:jc w:val="both"/>
        <w:ind w:left="-20" w:firstLine="552"/>
        <w:spacing w:after="0" w:line="246" w:lineRule="auto"/>
        <w:tabs>
          <w:tab w:leader="none" w:pos="883"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Award Agreement will be governed by the laws of California, without giving effect to the conflict of law principles thereof. For purposes of litigating any dispute that arises under this Option or this Award Agreement, the parties hereby submit to and consent to the jurisdiction of the State of California, and agree that such litigation will be conducted in the courts of San Francisco, California, or the federal courts for the United States for the Northern District of California, and no other courts, where this Option is made and/or to be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295910</wp:posOffset>
            </wp:positionV>
            <wp:extent cx="5937250" cy="222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2">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126" w:right="1159" w:bottom="1440" w:gutter="0" w:footer="0" w:header="0"/>
        </w:sectPr>
      </w:pPr>
    </w:p>
    <w:bookmarkStart w:id="187" w:name="page188"/>
    <w:bookmarkEnd w:id="187"/>
    <w:p>
      <w:pPr>
        <w:jc w:val="both"/>
        <w:ind w:left="-20" w:firstLine="552"/>
        <w:spacing w:after="0" w:line="265" w:lineRule="auto"/>
        <w:tabs>
          <w:tab w:leader="none" w:pos="883"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Country Addendum</w:t>
      </w:r>
      <w:r>
        <w:rPr>
          <w:rFonts w:ascii="Arial" w:cs="Arial" w:eastAsia="Arial" w:hAnsi="Arial"/>
          <w:sz w:val="16"/>
          <w:szCs w:val="16"/>
          <w:color w:val="auto"/>
        </w:rPr>
        <w:t>. Notwithstanding any provisions in this Award Agreement, this Option shall be subject to any special terms and conditions set forth in any appendix to this Award Agreement for Participant’s country (the “Country Addendum”). Moreover, if Participant relocates to one of the countries included in the Country Addendum,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47" w:lineRule="exact"/>
        <w:rPr>
          <w:rFonts w:ascii="Arial" w:cs="Arial" w:eastAsia="Arial" w:hAnsi="Arial"/>
          <w:sz w:val="16"/>
          <w:szCs w:val="16"/>
          <w:color w:val="auto"/>
        </w:rPr>
      </w:pPr>
    </w:p>
    <w:p>
      <w:pPr>
        <w:jc w:val="both"/>
        <w:ind w:left="-20" w:firstLine="552"/>
        <w:spacing w:after="0" w:line="248" w:lineRule="auto"/>
        <w:tabs>
          <w:tab w:leader="none" w:pos="883"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Modifications to the Agreement</w:t>
      </w:r>
      <w:r>
        <w:rPr>
          <w:rFonts w:ascii="Arial" w:cs="Arial" w:eastAsia="Arial" w:hAnsi="Arial"/>
          <w:sz w:val="17"/>
          <w:szCs w:val="17"/>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w:t>
      </w:r>
    </w:p>
    <w:p>
      <w:pPr>
        <w:spacing w:after="0" w:line="160" w:lineRule="exact"/>
        <w:rPr>
          <w:rFonts w:ascii="Arial" w:cs="Arial" w:eastAsia="Arial" w:hAnsi="Arial"/>
          <w:sz w:val="17"/>
          <w:szCs w:val="17"/>
          <w:color w:val="auto"/>
        </w:rPr>
      </w:pPr>
    </w:p>
    <w:p>
      <w:pPr>
        <w:jc w:val="both"/>
        <w:ind w:left="-20" w:firstLine="552"/>
        <w:spacing w:after="0" w:line="248" w:lineRule="auto"/>
        <w:tabs>
          <w:tab w:leader="none" w:pos="883"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60" w:lineRule="exact"/>
        <w:rPr>
          <w:rFonts w:ascii="Arial" w:cs="Arial" w:eastAsia="Arial" w:hAnsi="Arial"/>
          <w:sz w:val="17"/>
          <w:szCs w:val="17"/>
          <w:color w:val="auto"/>
        </w:rPr>
      </w:pPr>
    </w:p>
    <w:p>
      <w:pPr>
        <w:jc w:val="both"/>
        <w:ind w:left="-20" w:firstLine="552"/>
        <w:spacing w:after="0" w:line="246" w:lineRule="auto"/>
        <w:tabs>
          <w:tab w:leader="none" w:pos="894"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Tax Consequences</w:t>
      </w:r>
      <w:r>
        <w:rPr>
          <w:rFonts w:ascii="Arial" w:cs="Arial" w:eastAsia="Arial" w:hAnsi="Arial"/>
          <w:sz w:val="17"/>
          <w:szCs w:val="17"/>
          <w:color w:val="auto"/>
        </w:rPr>
        <w:t>. Participant has reviewed with its own tax advisors the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544830</wp:posOffset>
            </wp:positionV>
            <wp:extent cx="5937250" cy="222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3">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126" w:right="115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COUNTRY ADDENDUM</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Country Addendum includes additional terms and conditions that govern the Option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Option, the Company will, in its discretion, determine the extent to which the terms and conditions contained herein will be applicable to Participant.</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Certain capitalized terms used but not defined in this Country Addendum shall have the meanings set forth in the Plan, the and/or the Award Agreement to which this Country Addendum is attached.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This Country Addendum also includes notifications relating to exchange control and other issues of which Participant should be aware with respect to his or her participation in the Plan. The information is based on the exchange control, securities and other laws in effect in the countries listed in this Country Addendum, as of May 16, 2017.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exercises the Option or sells Shares acquired under the Plan.</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Finally, if Participant is a citizen or resident of a country other than the one in which Participant is currently working (or is considered as such for local law purposes) or if Participant moves to another country after the Option is granted, the information contained herein may not be applicable to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1697355</wp:posOffset>
            </wp:positionV>
            <wp:extent cx="5937250" cy="222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4">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17" w:right="115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EXERCISE NOTICE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PARTICIPANTS SUBJECT TO TAX IN THE UNITED KINGDOM</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Pulse Biosciences, Inc.</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3957 Point Eden Way,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Hayward, CA 94545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Attention: Stock Administration</w:t>
      </w:r>
    </w:p>
    <w:p>
      <w:pPr>
        <w:spacing w:after="0" w:line="367" w:lineRule="exact"/>
        <w:rPr>
          <w:sz w:val="20"/>
          <w:szCs w:val="20"/>
          <w:color w:val="auto"/>
        </w:rPr>
      </w:pPr>
    </w:p>
    <w:p>
      <w:pPr>
        <w:jc w:val="both"/>
        <w:ind w:firstLine="552"/>
        <w:spacing w:after="0" w:line="265" w:lineRule="auto"/>
        <w:tabs>
          <w:tab w:leader="none" w:pos="899"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Effective as of today, ________________, _____, the undersigned (“Purchaser”) hereby elects to purchase ______________ shares (the “Shares”) of the Common Stock of Pulse Biosciences, Inc. (the “Company”) under and pursuant to the 2017 Equity Incentive Plan (the “Plan”) and the Stock Option Agreement, dated ________ and including the Notice of Grant, the Terms and Conditions of Stock Option Grant, and appendices and exhibits attached thereto (the “Award Agreement”). The purchase price for the Shares will be $_____________, as required by the Award Agreement.</w:t>
      </w:r>
    </w:p>
    <w:p>
      <w:pPr>
        <w:spacing w:after="0" w:line="148" w:lineRule="exact"/>
        <w:rPr>
          <w:rFonts w:ascii="Arial" w:cs="Arial" w:eastAsia="Arial" w:hAnsi="Arial"/>
          <w:sz w:val="16"/>
          <w:szCs w:val="16"/>
          <w:color w:val="auto"/>
        </w:rPr>
      </w:pPr>
    </w:p>
    <w:p>
      <w:pPr>
        <w:ind w:firstLine="552"/>
        <w:spacing w:after="0" w:line="295" w:lineRule="auto"/>
        <w:tabs>
          <w:tab w:leader="none" w:pos="899"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Delivery of Payment</w:t>
      </w:r>
      <w:r>
        <w:rPr>
          <w:rFonts w:ascii="Arial" w:cs="Arial" w:eastAsia="Arial" w:hAnsi="Arial"/>
          <w:sz w:val="16"/>
          <w:szCs w:val="16"/>
          <w:color w:val="auto"/>
        </w:rPr>
        <w:t>. Purchaser herewith delivers to the Company the full purchase price of the Shares and any Tax Obligations (as defined in Section 7(a) of the Award Agreement) to be paid in connection with the exercise of the Option.</w:t>
      </w:r>
    </w:p>
    <w:p>
      <w:pPr>
        <w:spacing w:after="0" w:line="124" w:lineRule="exact"/>
        <w:rPr>
          <w:rFonts w:ascii="Arial" w:cs="Arial" w:eastAsia="Arial" w:hAnsi="Arial"/>
          <w:sz w:val="16"/>
          <w:szCs w:val="16"/>
          <w:color w:val="auto"/>
        </w:rPr>
      </w:pPr>
    </w:p>
    <w:p>
      <w:pPr>
        <w:ind w:firstLine="552"/>
        <w:spacing w:after="0" w:line="264" w:lineRule="auto"/>
        <w:tabs>
          <w:tab w:leader="none" w:pos="887"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Representations of Purchaser</w:t>
      </w:r>
      <w:r>
        <w:rPr>
          <w:rFonts w:ascii="Arial" w:cs="Arial" w:eastAsia="Arial" w:hAnsi="Arial"/>
          <w:sz w:val="17"/>
          <w:szCs w:val="17"/>
          <w:color w:val="auto"/>
        </w:rPr>
        <w:t>. Purchaser acknowledges that Purchaser has received, read and understood the Plan and the Award Agreement and agrees to abide by and be bound by their terms and conditions.</w:t>
      </w:r>
    </w:p>
    <w:p>
      <w:pPr>
        <w:spacing w:after="0" w:line="146" w:lineRule="exact"/>
        <w:rPr>
          <w:rFonts w:ascii="Arial" w:cs="Arial" w:eastAsia="Arial" w:hAnsi="Arial"/>
          <w:sz w:val="17"/>
          <w:szCs w:val="17"/>
          <w:color w:val="auto"/>
        </w:rPr>
      </w:pPr>
    </w:p>
    <w:p>
      <w:pPr>
        <w:jc w:val="both"/>
        <w:ind w:firstLine="552"/>
        <w:spacing w:after="0" w:line="265" w:lineRule="auto"/>
        <w:tabs>
          <w:tab w:leader="none" w:pos="876"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15 of the Plan.</w:t>
      </w:r>
    </w:p>
    <w:p>
      <w:pPr>
        <w:spacing w:after="0" w:line="148" w:lineRule="exact"/>
        <w:rPr>
          <w:rFonts w:ascii="Arial" w:cs="Arial" w:eastAsia="Arial" w:hAnsi="Arial"/>
          <w:sz w:val="16"/>
          <w:szCs w:val="16"/>
          <w:color w:val="auto"/>
        </w:rPr>
      </w:pPr>
    </w:p>
    <w:p>
      <w:pPr>
        <w:jc w:val="both"/>
        <w:ind w:firstLine="552"/>
        <w:spacing w:after="0" w:line="248" w:lineRule="auto"/>
        <w:tabs>
          <w:tab w:leader="none" w:pos="887"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60" w:lineRule="exact"/>
        <w:rPr>
          <w:rFonts w:ascii="Arial" w:cs="Arial" w:eastAsia="Arial" w:hAnsi="Arial"/>
          <w:sz w:val="17"/>
          <w:szCs w:val="17"/>
          <w:color w:val="auto"/>
        </w:rPr>
      </w:pPr>
    </w:p>
    <w:p>
      <w:pPr>
        <w:jc w:val="both"/>
        <w:ind w:firstLine="552"/>
        <w:spacing w:after="0" w:line="265" w:lineRule="auto"/>
        <w:tabs>
          <w:tab w:leader="none" w:pos="887"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pacing w:after="0" w:line="149" w:lineRule="exact"/>
        <w:rPr>
          <w:sz w:val="20"/>
          <w:szCs w:val="20"/>
          <w:color w:val="auto"/>
        </w:rPr>
      </w:pPr>
    </w:p>
    <w:p>
      <w:pPr>
        <w:spacing w:after="0"/>
        <w:tabs>
          <w:tab w:leader="none" w:pos="4260" w:val="left"/>
        </w:tabs>
        <w:rPr>
          <w:sz w:val="20"/>
          <w:szCs w:val="20"/>
          <w:color w:val="auto"/>
        </w:rPr>
      </w:pPr>
      <w:r>
        <w:rPr>
          <w:rFonts w:ascii="Arial" w:cs="Arial" w:eastAsia="Arial" w:hAnsi="Arial"/>
          <w:sz w:val="17"/>
          <w:szCs w:val="17"/>
          <w:color w:val="auto"/>
        </w:rPr>
        <w:t>Submitted by:</w:t>
      </w:r>
      <w:r>
        <w:rPr>
          <w:sz w:val="20"/>
          <w:szCs w:val="20"/>
          <w:color w:val="auto"/>
        </w:rPr>
        <w:tab/>
      </w:r>
      <w:r>
        <w:rPr>
          <w:rFonts w:ascii="Arial" w:cs="Arial" w:eastAsia="Arial" w:hAnsi="Arial"/>
          <w:sz w:val="15"/>
          <w:szCs w:val="15"/>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5937250" cy="222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5">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15"/>
        </w:trPr>
        <w:tc>
          <w:tcPr>
            <w:tcW w:w="2480" w:type="dxa"/>
            <w:vAlign w:val="bottom"/>
            <w:gridSpan w:val="2"/>
          </w:tcPr>
          <w:p>
            <w:pPr>
              <w:spacing w:after="0"/>
              <w:rPr>
                <w:sz w:val="20"/>
                <w:szCs w:val="20"/>
                <w:color w:val="auto"/>
              </w:rPr>
            </w:pPr>
            <w:r>
              <w:rPr>
                <w:rFonts w:ascii="Arial" w:cs="Arial" w:eastAsia="Arial" w:hAnsi="Arial"/>
                <w:sz w:val="17"/>
                <w:szCs w:val="17"/>
                <w:color w:val="auto"/>
              </w:rPr>
              <w:t>PURCHASER</w:t>
            </w:r>
          </w:p>
        </w:tc>
        <w:tc>
          <w:tcPr>
            <w:tcW w:w="3900" w:type="dxa"/>
            <w:vAlign w:val="bottom"/>
          </w:tcPr>
          <w:p>
            <w:pPr>
              <w:ind w:left="1840"/>
              <w:spacing w:after="0"/>
              <w:rPr>
                <w:sz w:val="20"/>
                <w:szCs w:val="20"/>
                <w:color w:val="auto"/>
              </w:rPr>
            </w:pPr>
            <w:r>
              <w:rPr>
                <w:rFonts w:ascii="Arial" w:cs="Arial" w:eastAsia="Arial" w:hAnsi="Arial"/>
                <w:sz w:val="17"/>
                <w:szCs w:val="17"/>
                <w:color w:val="auto"/>
                <w:w w:val="92"/>
              </w:rPr>
              <w:t>PULSE BIOSCIENCES, INC.</w:t>
            </w:r>
          </w:p>
        </w:tc>
      </w:tr>
      <w:tr>
        <w:trPr>
          <w:trHeight w:val="784"/>
        </w:trPr>
        <w:tc>
          <w:tcPr>
            <w:tcW w:w="248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3900" w:type="dxa"/>
            <w:vAlign w:val="bottom"/>
          </w:tcPr>
          <w:p>
            <w:pPr>
              <w:ind w:left="1480"/>
              <w:spacing w:after="0"/>
              <w:rPr>
                <w:sz w:val="20"/>
                <w:szCs w:val="20"/>
                <w:color w:val="auto"/>
              </w:rPr>
            </w:pPr>
            <w:r>
              <w:rPr>
                <w:rFonts w:ascii="Arial" w:cs="Arial" w:eastAsia="Arial" w:hAnsi="Arial"/>
                <w:sz w:val="17"/>
                <w:szCs w:val="17"/>
                <w:color w:val="auto"/>
              </w:rPr>
              <w:t>By</w:t>
            </w:r>
          </w:p>
        </w:tc>
      </w:tr>
      <w:tr>
        <w:trPr>
          <w:trHeight w:val="576"/>
        </w:trPr>
        <w:tc>
          <w:tcPr>
            <w:tcW w:w="2480" w:type="dxa"/>
            <w:vAlign w:val="bottom"/>
            <w:gridSpan w:val="2"/>
          </w:tcPr>
          <w:p>
            <w:pPr>
              <w:spacing w:after="0"/>
              <w:rPr>
                <w:sz w:val="20"/>
                <w:szCs w:val="20"/>
                <w:color w:val="auto"/>
              </w:rPr>
            </w:pPr>
            <w:r>
              <w:rPr>
                <w:rFonts w:ascii="Arial" w:cs="Arial" w:eastAsia="Arial" w:hAnsi="Arial"/>
                <w:sz w:val="17"/>
                <w:szCs w:val="17"/>
                <w:color w:val="auto"/>
              </w:rPr>
              <w:t>Print Name</w:t>
            </w:r>
          </w:p>
        </w:tc>
        <w:tc>
          <w:tcPr>
            <w:tcW w:w="3900" w:type="dxa"/>
            <w:vAlign w:val="bottom"/>
          </w:tcPr>
          <w:p>
            <w:pPr>
              <w:ind w:left="1620"/>
              <w:spacing w:after="0"/>
              <w:rPr>
                <w:sz w:val="20"/>
                <w:szCs w:val="20"/>
                <w:color w:val="auto"/>
              </w:rPr>
            </w:pPr>
            <w:r>
              <w:rPr>
                <w:rFonts w:ascii="Arial" w:cs="Arial" w:eastAsia="Arial" w:hAnsi="Arial"/>
                <w:sz w:val="17"/>
                <w:szCs w:val="17"/>
                <w:color w:val="auto"/>
              </w:rPr>
              <w:t>Its</w:t>
            </w:r>
          </w:p>
        </w:tc>
      </w:tr>
      <w:tr>
        <w:trPr>
          <w:trHeight w:val="342"/>
        </w:trPr>
        <w:tc>
          <w:tcPr>
            <w:tcW w:w="2480" w:type="dxa"/>
            <w:vAlign w:val="bottom"/>
            <w:gridSpan w:val="2"/>
          </w:tcPr>
          <w:p>
            <w:pPr>
              <w:spacing w:after="0"/>
              <w:rPr>
                <w:sz w:val="20"/>
                <w:szCs w:val="20"/>
                <w:color w:val="auto"/>
              </w:rPr>
            </w:pPr>
            <w:r>
              <w:rPr>
                <w:rFonts w:ascii="Arial" w:cs="Arial" w:eastAsia="Arial" w:hAnsi="Arial"/>
                <w:sz w:val="17"/>
                <w:szCs w:val="17"/>
                <w:color w:val="auto"/>
              </w:rPr>
              <w:t>Address:</w:t>
            </w:r>
          </w:p>
        </w:tc>
        <w:tc>
          <w:tcPr>
            <w:tcW w:w="390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551180</wp:posOffset>
            </wp:positionV>
            <wp:extent cx="5937250" cy="222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6">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039"/>
          </w:cols>
          <w:pgMar w:left="1420" w:top="309" w:right="1440" w:bottom="1440" w:gutter="0" w:footer="0" w:header="0"/>
        </w:sectPr>
      </w:pPr>
    </w:p>
    <w:bookmarkStart w:id="191" w:name="page192"/>
    <w:bookmarkEnd w:id="191"/>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 UNIT AWARD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NOTICE OF GRANT OF RESTRICTED STOCK UNITS</w:t>
      </w:r>
    </w:p>
    <w:p>
      <w:pPr>
        <w:spacing w:after="0" w:line="189" w:lineRule="exact"/>
        <w:rPr>
          <w:sz w:val="20"/>
          <w:szCs w:val="20"/>
          <w:color w:val="auto"/>
        </w:rPr>
      </w:pPr>
    </w:p>
    <w:p>
      <w:pPr>
        <w:jc w:val="both"/>
        <w:ind w:firstLine="553"/>
        <w:spacing w:after="0" w:line="248" w:lineRule="auto"/>
        <w:rPr>
          <w:sz w:val="20"/>
          <w:szCs w:val="20"/>
          <w:color w:val="auto"/>
        </w:rPr>
      </w:pPr>
      <w:r>
        <w:rPr>
          <w:rFonts w:ascii="Arial" w:cs="Arial" w:eastAsia="Arial" w:hAnsi="Arial"/>
          <w:sz w:val="17"/>
          <w:szCs w:val="17"/>
          <w:color w:val="auto"/>
        </w:rPr>
        <w:t>Unless otherwise defined herein, the terms defined in the 2017 Equity Incentive Plan (the “Plan”) shall have the same defined meanings in this Restricted Stock Unit Award Agreement, including the Notice of Grant of Restricted Stock Units (the “Notice of Grant”), the Terms and Conditions of Restricted Stock Unit Grant, and any appendices and exhibits attached thereto (all together, the “Award Agreement”).</w:t>
      </w:r>
    </w:p>
    <w:p>
      <w:pPr>
        <w:sectPr>
          <w:pgSz w:w="11900" w:h="16838" w:orient="portrait"/>
          <w:cols w:equalWidth="0" w:num="1">
            <w:col w:w="9320"/>
          </w:cols>
          <w:pgMar w:left="1420" w:top="502" w:right="11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Name (“Participant):</w:t>
      </w:r>
    </w:p>
    <w:p>
      <w:pPr>
        <w:spacing w:after="0" w:line="4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«Address»</w:t>
      </w:r>
    </w:p>
    <w:p>
      <w:pPr>
        <w:spacing w:after="0" w:line="223" w:lineRule="exact"/>
        <w:rPr>
          <w:sz w:val="20"/>
          <w:szCs w:val="20"/>
          <w:color w:val="auto"/>
        </w:rPr>
      </w:pPr>
    </w:p>
    <w:p>
      <w:pPr>
        <w:sectPr>
          <w:pgSz w:w="11900" w:h="16838" w:orient="portrait"/>
          <w:cols w:equalWidth="0" w:num="2">
            <w:col w:w="2740" w:space="720"/>
            <w:col w:w="5860"/>
          </w:cols>
          <w:pgMar w:left="1420" w:top="502" w:right="1159" w:bottom="1440" w:gutter="0" w:footer="0" w:header="0"/>
          <w:type w:val="continuous"/>
        </w:sectPr>
      </w:pPr>
    </w:p>
    <w:p>
      <w:pPr>
        <w:ind w:firstLine="553"/>
        <w:spacing w:after="0" w:line="264" w:lineRule="auto"/>
        <w:rPr>
          <w:sz w:val="20"/>
          <w:szCs w:val="20"/>
          <w:color w:val="auto"/>
        </w:rPr>
      </w:pPr>
      <w:r>
        <w:rPr>
          <w:rFonts w:ascii="Arial" w:cs="Arial" w:eastAsia="Arial" w:hAnsi="Arial"/>
          <w:sz w:val="17"/>
          <w:szCs w:val="17"/>
          <w:color w:val="auto"/>
        </w:rPr>
        <w:t>The undersigned Participant has been granted the right to receive an Award of Restricted Stock Units, subject to the terms and conditions of the Plan and this Award Agreement, as follows:</w:t>
      </w:r>
    </w:p>
    <w:p>
      <w:pPr>
        <w:sectPr>
          <w:pgSz w:w="11900" w:h="16838" w:orient="portrait"/>
          <w:cols w:equalWidth="0" w:num="1">
            <w:col w:w="9320"/>
          </w:cols>
          <w:pgMar w:left="1420" w:top="502" w:right="11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Date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«GrantDate»</w:t>
      </w:r>
    </w:p>
    <w:p>
      <w:pPr>
        <w:spacing w:after="0" w:line="162" w:lineRule="exact"/>
        <w:rPr>
          <w:sz w:val="20"/>
          <w:szCs w:val="20"/>
          <w:color w:val="auto"/>
        </w:rPr>
      </w:pPr>
    </w:p>
    <w:p>
      <w:pPr>
        <w:sectPr>
          <w:pgSz w:w="11900" w:h="16838" w:orient="portrait"/>
          <w:cols w:equalWidth="0" w:num="2">
            <w:col w:w="3480" w:space="720"/>
            <w:col w:w="5120"/>
          </w:cols>
          <w:pgMar w:left="1420" w:top="502" w:right="1159" w:bottom="1440" w:gutter="0" w:footer="0" w:header="0"/>
          <w:type w:val="continuous"/>
        </w:sectPr>
      </w:pPr>
    </w:p>
    <w:p>
      <w:pPr>
        <w:ind w:left="100"/>
        <w:spacing w:after="0"/>
        <w:rPr>
          <w:sz w:val="20"/>
          <w:szCs w:val="20"/>
          <w:color w:val="auto"/>
        </w:rPr>
      </w:pPr>
      <w:r>
        <w:rPr>
          <w:rFonts w:ascii="Arial" w:cs="Arial" w:eastAsia="Arial" w:hAnsi="Arial"/>
          <w:sz w:val="15"/>
          <w:szCs w:val="15"/>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«VCD»</w:t>
      </w:r>
    </w:p>
    <w:p>
      <w:pPr>
        <w:spacing w:after="0" w:line="150" w:lineRule="exact"/>
        <w:rPr>
          <w:sz w:val="20"/>
          <w:szCs w:val="20"/>
          <w:color w:val="auto"/>
        </w:rPr>
      </w:pPr>
    </w:p>
    <w:p>
      <w:pPr>
        <w:sectPr>
          <w:pgSz w:w="11900" w:h="16838" w:orient="portrait"/>
          <w:cols w:equalWidth="0" w:num="2">
            <w:col w:w="3480" w:space="720"/>
            <w:col w:w="5120"/>
          </w:cols>
          <w:pgMar w:left="1420" w:top="502" w:right="1159" w:bottom="1440" w:gutter="0" w:footer="0" w:header="0"/>
          <w:type w:val="continuous"/>
        </w:sectPr>
      </w:pPr>
    </w:p>
    <w:p>
      <w:pPr>
        <w:ind w:left="100"/>
        <w:spacing w:after="0"/>
        <w:rPr>
          <w:sz w:val="20"/>
          <w:szCs w:val="20"/>
          <w:color w:val="auto"/>
        </w:rPr>
      </w:pPr>
      <w:r>
        <w:rPr>
          <w:rFonts w:ascii="Arial" w:cs="Arial" w:eastAsia="Arial" w:hAnsi="Arial"/>
          <w:sz w:val="15"/>
          <w:szCs w:val="15"/>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«Shares»</w:t>
      </w:r>
    </w:p>
    <w:p>
      <w:pPr>
        <w:spacing w:after="0" w:line="211" w:lineRule="exact"/>
        <w:rPr>
          <w:sz w:val="20"/>
          <w:szCs w:val="20"/>
          <w:color w:val="auto"/>
        </w:rPr>
      </w:pPr>
    </w:p>
    <w:p>
      <w:pPr>
        <w:sectPr>
          <w:pgSz w:w="11900" w:h="16838" w:orient="portrait"/>
          <w:cols w:equalWidth="0" w:num="2">
            <w:col w:w="3480" w:space="720"/>
            <w:col w:w="5120"/>
          </w:cols>
          <w:pgMar w:left="1420" w:top="502" w:right="1159" w:bottom="1440" w:gutter="0" w:footer="0" w:header="0"/>
          <w:type w:val="continuous"/>
        </w:sectPr>
      </w:pPr>
    </w:p>
    <w:p>
      <w:pPr>
        <w:spacing w:after="0" w:line="100" w:lineRule="exact"/>
        <w:rPr>
          <w:sz w:val="20"/>
          <w:szCs w:val="20"/>
          <w:color w:val="auto"/>
        </w:rPr>
      </w:pPr>
    </w:p>
    <w:p>
      <w:pPr>
        <w:ind w:left="560"/>
        <w:spacing w:after="0"/>
        <w:rPr>
          <w:sz w:val="20"/>
          <w:szCs w:val="20"/>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w:t>
      </w:r>
    </w:p>
    <w:p>
      <w:pPr>
        <w:spacing w:after="0" w:line="185"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7"/>
          <w:szCs w:val="17"/>
          <w:color w:val="auto"/>
        </w:rPr>
        <w:t>Subject to any acceleration provisions contained in the Plan or set forth below, the Restricted Stock Units will vest in accordance with the following schedule:</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[INSERT VESTING SCHEDULE]</w:t>
      </w:r>
    </w:p>
    <w:p>
      <w:pPr>
        <w:spacing w:after="0" w:line="185" w:lineRule="exact"/>
        <w:rPr>
          <w:sz w:val="20"/>
          <w:szCs w:val="20"/>
          <w:color w:val="auto"/>
        </w:rPr>
      </w:pPr>
    </w:p>
    <w:p>
      <w:pPr>
        <w:jc w:val="both"/>
        <w:ind w:firstLine="553"/>
        <w:spacing w:after="0" w:line="295" w:lineRule="auto"/>
        <w:rPr>
          <w:sz w:val="20"/>
          <w:szCs w:val="20"/>
          <w:color w:val="auto"/>
        </w:rPr>
      </w:pPr>
      <w:r>
        <w:rPr>
          <w:rFonts w:ascii="Arial" w:cs="Arial" w:eastAsia="Arial" w:hAnsi="Arial"/>
          <w:sz w:val="16"/>
          <w:szCs w:val="16"/>
          <w:color w:val="auto"/>
        </w:rPr>
        <w:t>In the event Participant ceases to be a Service Provider for any or no reason before Participant vests in the Restricted Stock Units, the Restricted Stock Units and Participant’s right to acquire any Shares hereunder will immediately terminate.</w:t>
      </w:r>
    </w:p>
    <w:p>
      <w:pPr>
        <w:spacing w:after="0" w:line="124" w:lineRule="exact"/>
        <w:rPr>
          <w:sz w:val="20"/>
          <w:szCs w:val="20"/>
          <w:color w:val="auto"/>
        </w:rPr>
      </w:pPr>
    </w:p>
    <w:p>
      <w:pPr>
        <w:jc w:val="both"/>
        <w:ind w:firstLine="553"/>
        <w:spacing w:after="0" w:line="263" w:lineRule="auto"/>
        <w:rPr>
          <w:sz w:val="20"/>
          <w:szCs w:val="20"/>
          <w:color w:val="auto"/>
        </w:rPr>
      </w:pPr>
      <w:r>
        <w:rPr>
          <w:rFonts w:ascii="Arial" w:cs="Arial" w:eastAsia="Arial" w:hAnsi="Arial"/>
          <w:sz w:val="16"/>
          <w:szCs w:val="16"/>
          <w:color w:val="auto"/>
        </w:rPr>
        <w:t>Participant acknowledges receipt of a copy of the Plan and represents that he or she is familiar with the terms and provisions thereof, and hereby accepts this Award Agreement subject to all of the terms and provisions thereof. Participant has reviewed the Plan and this Award Agreement in their entirety, has had an opportunity to obtain the advice of counsel prior to executing this Award Agreement and fully understands all provisions of this Award Agreement. Participant hereby agrees to accept as binding, conclusive and final all decisions or interpretations of the Administrator upon any questions arising under the Plan or this Award Agreement. Participant further agrees to notify the Company upon any change in the residence address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654050</wp:posOffset>
            </wp:positionV>
            <wp:extent cx="5937250" cy="222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7">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502" w:right="1159" w:bottom="1440" w:gutter="0" w:footer="0" w:header="0"/>
          <w:type w:val="continuous"/>
        </w:sectPr>
      </w:pPr>
    </w:p>
    <w:bookmarkStart w:id="192" w:name="page193"/>
    <w:bookmarkEnd w:id="192"/>
    <w:tbl>
      <w:tblPr>
        <w:tblLayout w:type="fixed"/>
        <w:tblInd w:w="0" w:type="dxa"/>
        <w:tblCellMar>
          <w:top w:w="0" w:type="dxa"/>
          <w:left w:w="0" w:type="dxa"/>
          <w:bottom w:w="0" w:type="dxa"/>
          <w:right w:w="0" w:type="dxa"/>
        </w:tblCellMar>
      </w:tblPr>
      <w:tr>
        <w:trPr>
          <w:trHeight w:val="215"/>
        </w:trPr>
        <w:tc>
          <w:tcPr>
            <w:tcW w:w="4140" w:type="dxa"/>
            <w:vAlign w:val="bottom"/>
          </w:tcPr>
          <w:p>
            <w:pPr>
              <w:ind w:left="100"/>
              <w:spacing w:after="0"/>
              <w:rPr>
                <w:sz w:val="20"/>
                <w:szCs w:val="20"/>
                <w:color w:val="auto"/>
              </w:rPr>
            </w:pPr>
            <w:r>
              <w:rPr>
                <w:rFonts w:ascii="Arial" w:cs="Arial" w:eastAsia="Arial" w:hAnsi="Arial"/>
                <w:sz w:val="17"/>
                <w:szCs w:val="17"/>
                <w:color w:val="auto"/>
              </w:rPr>
              <w:t>PARTICIPANT</w:t>
            </w:r>
          </w:p>
        </w:tc>
        <w:tc>
          <w:tcPr>
            <w:tcW w:w="70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7"/>
                <w:szCs w:val="17"/>
                <w:color w:val="auto"/>
              </w:rPr>
              <w:t>PULSE BIOSCIENCES,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9"/>
        </w:trPr>
        <w:tc>
          <w:tcPr>
            <w:tcW w:w="414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40" w:type="dxa"/>
            <w:vAlign w:val="bottom"/>
          </w:tcPr>
          <w:p>
            <w:pPr>
              <w:ind w:left="100"/>
              <w:spacing w:after="0"/>
              <w:rPr>
                <w:sz w:val="20"/>
                <w:szCs w:val="20"/>
                <w:color w:val="auto"/>
              </w:rPr>
            </w:pPr>
            <w:r>
              <w:rPr>
                <w:rFonts w:ascii="Arial" w:cs="Arial" w:eastAsia="Arial" w:hAnsi="Arial"/>
                <w:sz w:val="17"/>
                <w:szCs w:val="17"/>
                <w:color w:val="auto"/>
              </w:rPr>
              <w:t>Signature</w:t>
            </w:r>
          </w:p>
        </w:tc>
        <w:tc>
          <w:tcPr>
            <w:tcW w:w="700" w:type="dxa"/>
            <w:vAlign w:val="bottom"/>
          </w:tcPr>
          <w:p>
            <w:pPr>
              <w:spacing w:after="0"/>
              <w:rPr>
                <w:sz w:val="17"/>
                <w:szCs w:val="17"/>
                <w:color w:val="auto"/>
              </w:rPr>
            </w:pPr>
          </w:p>
        </w:tc>
        <w:tc>
          <w:tcPr>
            <w:tcW w:w="4480" w:type="dxa"/>
            <w:vAlign w:val="bottom"/>
          </w:tcPr>
          <w:p>
            <w:pPr>
              <w:ind w:left="100"/>
              <w:spacing w:after="0"/>
              <w:rPr>
                <w:sz w:val="20"/>
                <w:szCs w:val="20"/>
                <w:color w:val="auto"/>
              </w:rPr>
            </w:pPr>
            <w:r>
              <w:rPr>
                <w:rFonts w:ascii="Arial" w:cs="Arial" w:eastAsia="Arial" w:hAnsi="Arial"/>
                <w:sz w:val="17"/>
                <w:szCs w:val="17"/>
                <w:color w:val="auto"/>
              </w:rPr>
              <w:t>By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«Name»</w:t>
            </w:r>
          </w:p>
        </w:tc>
        <w:tc>
          <w:tcPr>
            <w:tcW w:w="70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40" w:type="dxa"/>
            <w:vAlign w:val="bottom"/>
          </w:tcPr>
          <w:p>
            <w:pPr>
              <w:ind w:left="100"/>
              <w:spacing w:after="0"/>
              <w:rPr>
                <w:sz w:val="20"/>
                <w:szCs w:val="20"/>
                <w:color w:val="auto"/>
              </w:rPr>
            </w:pPr>
            <w:r>
              <w:rPr>
                <w:rFonts w:ascii="Arial" w:cs="Arial" w:eastAsia="Arial" w:hAnsi="Arial"/>
                <w:sz w:val="17"/>
                <w:szCs w:val="17"/>
                <w:color w:val="auto"/>
              </w:rPr>
              <w:t>Print Name</w:t>
            </w:r>
          </w:p>
        </w:tc>
        <w:tc>
          <w:tcPr>
            <w:tcW w:w="700" w:type="dxa"/>
            <w:vAlign w:val="bottom"/>
          </w:tcPr>
          <w:p>
            <w:pPr>
              <w:spacing w:after="0"/>
              <w:rPr>
                <w:sz w:val="17"/>
                <w:szCs w:val="17"/>
                <w:color w:val="auto"/>
              </w:rPr>
            </w:pPr>
          </w:p>
        </w:tc>
        <w:tc>
          <w:tcPr>
            <w:tcW w:w="4480" w:type="dxa"/>
            <w:vAlign w:val="bottom"/>
          </w:tcPr>
          <w:p>
            <w:pPr>
              <w:ind w:left="100"/>
              <w:spacing w:after="0"/>
              <w:rPr>
                <w:sz w:val="20"/>
                <w:szCs w:val="20"/>
                <w:color w:val="auto"/>
              </w:rPr>
            </w:pPr>
            <w:r>
              <w:rPr>
                <w:rFonts w:ascii="Arial" w:cs="Arial" w:eastAsia="Arial" w:hAnsi="Arial"/>
                <w:sz w:val="17"/>
                <w:szCs w:val="17"/>
                <w:color w:val="auto"/>
              </w:rPr>
              <w:t>Print Name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4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40" w:type="dxa"/>
            <w:vAlign w:val="bottom"/>
            <w:vMerge w:val="restart"/>
          </w:tcPr>
          <w:p>
            <w:pPr>
              <w:ind w:left="100"/>
              <w:spacing w:after="0"/>
              <w:rPr>
                <w:sz w:val="20"/>
                <w:szCs w:val="20"/>
                <w:color w:val="auto"/>
              </w:rPr>
            </w:pPr>
            <w:r>
              <w:rPr>
                <w:rFonts w:ascii="Arial" w:cs="Arial" w:eastAsia="Arial" w:hAnsi="Arial"/>
                <w:sz w:val="17"/>
                <w:szCs w:val="17"/>
                <w:color w:val="auto"/>
              </w:rPr>
              <w:t>Address:</w:t>
            </w:r>
          </w:p>
        </w:tc>
        <w:tc>
          <w:tcPr>
            <w:tcW w:w="700" w:type="dxa"/>
            <w:vAlign w:val="bottom"/>
          </w:tcPr>
          <w:p>
            <w:pPr>
              <w:spacing w:after="0"/>
              <w:rPr>
                <w:sz w:val="17"/>
                <w:szCs w:val="17"/>
                <w:color w:val="auto"/>
              </w:rPr>
            </w:pPr>
          </w:p>
        </w:tc>
        <w:tc>
          <w:tcPr>
            <w:tcW w:w="4480" w:type="dxa"/>
            <w:vAlign w:val="bottom"/>
          </w:tcPr>
          <w:p>
            <w:pPr>
              <w:ind w:left="100"/>
              <w:spacing w:after="0"/>
              <w:rPr>
                <w:sz w:val="20"/>
                <w:szCs w:val="20"/>
                <w:color w:val="auto"/>
              </w:rPr>
            </w:pPr>
            <w:r>
              <w:rPr>
                <w:rFonts w:ascii="Arial" w:cs="Arial" w:eastAsia="Arial" w:hAnsi="Arial"/>
                <w:sz w:val="17"/>
                <w:szCs w:val="17"/>
                <w:color w:val="auto"/>
              </w:rPr>
              <w:t>Title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44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«Address»</w:t>
            </w:r>
          </w:p>
        </w:tc>
        <w:tc>
          <w:tcPr>
            <w:tcW w:w="70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2"/>
        </w:trPr>
        <w:tc>
          <w:tcPr>
            <w:tcW w:w="4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44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-13970</wp:posOffset>
            </wp:positionV>
            <wp:extent cx="7620" cy="146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8">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-21590</wp:posOffset>
            </wp:positionV>
            <wp:extent cx="7620" cy="222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9">
                      <a:extLst>
                        <a:ext uri="{28A0092B-C50C-407E-A947-70E740481C1C}"/>
                      </a:extLst>
                    </a:blip>
                    <a:srcRect/>
                    <a:stretch>
                      <a:fillRect/>
                    </a:stretch>
                  </pic:blipFill>
                  <pic:spPr bwMode="auto">
                    <a:xfrm>
                      <a:off x="0" y="0"/>
                      <a:ext cx="7620" cy="22225"/>
                    </a:xfrm>
                    <a:prstGeom prst="rect">
                      <a:avLst/>
                    </a:prstGeom>
                    <a:noFill/>
                  </pic:spPr>
                </pic:pic>
              </a:graphicData>
            </a:graphic>
          </wp:anchor>
        </w:drawing>
      </w:r>
    </w:p>
    <w:p>
      <w:pPr>
        <w:sectPr>
          <w:pgSz w:w="11900" w:h="16838" w:orient="portrait"/>
          <w:cols w:equalWidth="0" w:num="1">
            <w:col w:w="9340"/>
          </w:cols>
          <w:pgMar w:left="1420" w:top="206" w:right="11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 UNIT AWARD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TERMS AND CONDITIONS OF RESTRICTED STOCK UNIT GRANT</w:t>
      </w:r>
    </w:p>
    <w:p>
      <w:pPr>
        <w:spacing w:after="0" w:line="189" w:lineRule="exact"/>
        <w:rPr>
          <w:sz w:val="20"/>
          <w:szCs w:val="20"/>
          <w:color w:val="auto"/>
        </w:rPr>
      </w:pPr>
    </w:p>
    <w:p>
      <w:pPr>
        <w:jc w:val="both"/>
        <w:ind w:left="1" w:firstLine="552"/>
        <w:spacing w:after="0" w:line="246" w:lineRule="auto"/>
        <w:tabs>
          <w:tab w:leader="none" w:pos="831"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 Units</w:t>
      </w:r>
      <w:r>
        <w:rPr>
          <w:rFonts w:ascii="Arial" w:cs="Arial" w:eastAsia="Arial" w:hAnsi="Arial"/>
          <w:sz w:val="17"/>
          <w:szCs w:val="17"/>
          <w:color w:val="auto"/>
        </w:rPr>
        <w:t>. The Company hereby grants to the individual (the “Participant”) named in the Notice of Grant of Restricted Stock Units of this Award Agreement (the “Notice of Grant”) under the Plan an Award of Restricted Stock Units, subject to all of the terms and conditions in this Award Agreement and the Plan, which is incorporated herein by reference. Subject to Section 20(c) of the Plan, in the event of a conflict between the terms and conditions of the Plan and this Award Agreement, the terms and conditions of the Plan shall prevail.</w:t>
      </w:r>
    </w:p>
    <w:p>
      <w:pPr>
        <w:spacing w:after="0" w:line="162" w:lineRule="exact"/>
        <w:rPr>
          <w:rFonts w:ascii="Arial" w:cs="Arial" w:eastAsia="Arial" w:hAnsi="Arial"/>
          <w:sz w:val="17"/>
          <w:szCs w:val="17"/>
          <w:color w:val="auto"/>
        </w:rPr>
      </w:pPr>
    </w:p>
    <w:p>
      <w:pPr>
        <w:jc w:val="both"/>
        <w:ind w:left="1" w:firstLine="552"/>
        <w:spacing w:after="0" w:line="268" w:lineRule="auto"/>
        <w:tabs>
          <w:tab w:leader="none" w:pos="831"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Company’s Obligation to Pay</w:t>
      </w:r>
      <w:r>
        <w:rPr>
          <w:rFonts w:ascii="Arial" w:cs="Arial" w:eastAsia="Arial" w:hAnsi="Arial"/>
          <w:sz w:val="16"/>
          <w:szCs w:val="16"/>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46" w:lineRule="exact"/>
        <w:rPr>
          <w:rFonts w:ascii="Arial" w:cs="Arial" w:eastAsia="Arial" w:hAnsi="Arial"/>
          <w:sz w:val="16"/>
          <w:szCs w:val="16"/>
          <w:color w:val="auto"/>
        </w:rPr>
      </w:pPr>
    </w:p>
    <w:p>
      <w:pPr>
        <w:jc w:val="both"/>
        <w:ind w:left="1" w:firstLine="552"/>
        <w:spacing w:after="0" w:line="252" w:lineRule="auto"/>
        <w:tabs>
          <w:tab w:leader="none" w:pos="831"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 Except as provided in Section 4, and subject to Section 5, the Restricted Stock Units awarded by this Award Agreement will vest in accordance with the vesting schedule set forth in the Notice of Grant, subject to Participant continuing to be a Service Provider through each applicable vesting date.</w:t>
      </w:r>
    </w:p>
    <w:p>
      <w:pPr>
        <w:spacing w:after="0" w:line="156" w:lineRule="exact"/>
        <w:rPr>
          <w:rFonts w:ascii="Arial" w:cs="Arial" w:eastAsia="Arial" w:hAnsi="Arial"/>
          <w:sz w:val="17"/>
          <w:szCs w:val="17"/>
          <w:color w:val="auto"/>
        </w:rPr>
      </w:pPr>
    </w:p>
    <w:p>
      <w:pPr>
        <w:ind w:left="821" w:hanging="268"/>
        <w:spacing w:after="0"/>
        <w:tabs>
          <w:tab w:leader="none" w:pos="821"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Payment after Vesting</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left="1" w:firstLine="1106"/>
        <w:spacing w:after="0" w:line="279" w:lineRule="auto"/>
        <w:tabs>
          <w:tab w:leader="none" w:pos="1387" w:val="left"/>
        </w:tabs>
        <w:numPr>
          <w:ilvl w:val="2"/>
          <w:numId w:val="137"/>
        </w:numPr>
        <w:rPr>
          <w:rFonts w:ascii="Arial" w:cs="Arial" w:eastAsia="Arial" w:hAnsi="Arial"/>
          <w:sz w:val="15"/>
          <w:szCs w:val="15"/>
          <w:color w:val="auto"/>
        </w:rPr>
      </w:pPr>
      <w:r>
        <w:rPr>
          <w:rFonts w:ascii="Arial" w:cs="Arial" w:eastAsia="Arial" w:hAnsi="Arial"/>
          <w:sz w:val="15"/>
          <w:szCs w:val="15"/>
          <w:u w:val="single" w:color="auto"/>
          <w:color w:val="auto"/>
        </w:rPr>
        <w:t>General Rule</w:t>
      </w:r>
      <w:r>
        <w:rPr>
          <w:rFonts w:ascii="Arial" w:cs="Arial" w:eastAsia="Arial" w:hAnsi="Arial"/>
          <w:sz w:val="15"/>
          <w:szCs w:val="15"/>
          <w:color w:val="auto"/>
        </w:rPr>
        <w:t>. Subject to Section 6, any Restricted Stock Units that vest will be paid to Participant (or in the event of Participant’s death, to his or her properly designated beneficiary or estate) in whole Shares. Subject to the provisions of Section 4(b), such vested Restricted Stock Units shall be paid in whole Shares as soon as practicable after vesting, but in each such case within sixty</w:t>
      </w:r>
    </w:p>
    <w:p>
      <w:pPr>
        <w:ind w:left="1" w:hanging="1"/>
        <w:spacing w:after="0" w:line="246" w:lineRule="auto"/>
        <w:tabs>
          <w:tab w:leader="none" w:pos="34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days following the vesting date. In no event will Participant be permitted, directly or indirectly, to specify the taxable year of payment of any Restricted Stock Units payable under this Award Agreement.</w:t>
      </w:r>
    </w:p>
    <w:p>
      <w:pPr>
        <w:spacing w:after="0" w:line="161" w:lineRule="exact"/>
        <w:rPr>
          <w:rFonts w:ascii="Arial" w:cs="Arial" w:eastAsia="Arial" w:hAnsi="Arial"/>
          <w:sz w:val="17"/>
          <w:szCs w:val="17"/>
          <w:color w:val="auto"/>
        </w:rPr>
      </w:pPr>
    </w:p>
    <w:p>
      <w:pPr>
        <w:ind w:left="1401" w:hanging="294"/>
        <w:spacing w:after="0"/>
        <w:tabs>
          <w:tab w:leader="none" w:pos="1401" w:val="left"/>
        </w:tabs>
        <w:numPr>
          <w:ilvl w:val="2"/>
          <w:numId w:val="138"/>
        </w:numPr>
        <w:rPr>
          <w:rFonts w:ascii="Arial" w:cs="Arial" w:eastAsia="Arial" w:hAnsi="Arial"/>
          <w:sz w:val="17"/>
          <w:szCs w:val="17"/>
          <w:color w:val="auto"/>
        </w:rPr>
      </w:pPr>
      <w:r>
        <w:rPr>
          <w:rFonts w:ascii="Arial" w:cs="Arial" w:eastAsia="Arial" w:hAnsi="Arial"/>
          <w:sz w:val="17"/>
          <w:szCs w:val="17"/>
          <w:u w:val="single" w:color="auto"/>
          <w:color w:val="auto"/>
        </w:rPr>
        <w:t>Acceleration</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left="1941" w:hanging="281"/>
        <w:spacing w:after="0" w:line="282" w:lineRule="auto"/>
        <w:tabs>
          <w:tab w:leader="none" w:pos="1939" w:val="left"/>
        </w:tabs>
        <w:numPr>
          <w:ilvl w:val="3"/>
          <w:numId w:val="138"/>
        </w:numPr>
        <w:rPr>
          <w:rFonts w:ascii="Arial" w:cs="Arial" w:eastAsia="Arial" w:hAnsi="Arial"/>
          <w:sz w:val="15"/>
          <w:szCs w:val="15"/>
          <w:color w:val="auto"/>
        </w:rPr>
      </w:pPr>
      <w:r>
        <w:rPr>
          <w:rFonts w:ascii="Arial" w:cs="Arial" w:eastAsia="Arial" w:hAnsi="Arial"/>
          <w:sz w:val="15"/>
          <w:szCs w:val="15"/>
          <w:u w:val="single" w:color="auto"/>
          <w:color w:val="auto"/>
        </w:rPr>
        <w:t>Discretionary Acceleration</w:t>
      </w:r>
      <w:r>
        <w:rPr>
          <w:rFonts w:ascii="Arial" w:cs="Arial" w:eastAsia="Arial" w:hAnsi="Arial"/>
          <w:sz w:val="15"/>
          <w:szCs w:val="15"/>
          <w:color w:val="auto"/>
        </w:rPr>
        <w:t>. The Administrator, in its discretion, may accelerate the vesting of the balance, or some lesser portion of the balance, of the unvested Restricted Stock Units at any time, subject to the terms of the Plan. If so accelerated, such , such Restricted Stock Units will be considered as having vested as of the date specified by the Administrator. If Participant is a U.S. taxpayer, the payment of Shares vesting pursuant to this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37" w:lineRule="exact"/>
        <w:rPr>
          <w:rFonts w:ascii="Arial" w:cs="Arial" w:eastAsia="Arial" w:hAnsi="Arial"/>
          <w:sz w:val="15"/>
          <w:szCs w:val="15"/>
          <w:color w:val="auto"/>
        </w:rPr>
      </w:pPr>
    </w:p>
    <w:p>
      <w:pPr>
        <w:jc w:val="both"/>
        <w:ind w:left="1941" w:hanging="281"/>
        <w:spacing w:after="0" w:line="275" w:lineRule="auto"/>
        <w:tabs>
          <w:tab w:leader="none" w:pos="1940" w:val="left"/>
        </w:tabs>
        <w:numPr>
          <w:ilvl w:val="3"/>
          <w:numId w:val="138"/>
        </w:numPr>
        <w:rPr>
          <w:rFonts w:ascii="Arial" w:cs="Arial" w:eastAsia="Arial" w:hAnsi="Arial"/>
          <w:sz w:val="16"/>
          <w:szCs w:val="16"/>
          <w:color w:val="auto"/>
        </w:rPr>
      </w:pPr>
      <w:r>
        <w:rPr>
          <w:rFonts w:ascii="Arial" w:cs="Arial" w:eastAsia="Arial" w:hAnsi="Arial"/>
          <w:sz w:val="16"/>
          <w:szCs w:val="16"/>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Participant’s termination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281305</wp:posOffset>
            </wp:positionV>
            <wp:extent cx="5937250" cy="222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0">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1"/>
          </w:cols>
          <w:pgMar w:left="1419" w:top="502" w:right="1159" w:bottom="1440" w:gutter="0" w:footer="0" w:header="0"/>
        </w:sectPr>
      </w:pPr>
    </w:p>
    <w:bookmarkStart w:id="194" w:name="page195"/>
    <w:bookmarkEnd w:id="194"/>
    <w:p>
      <w:pPr>
        <w:jc w:val="both"/>
        <w:ind w:left="1920" w:firstLine="553"/>
        <w:spacing w:after="0" w:line="260" w:lineRule="auto"/>
        <w:rPr>
          <w:sz w:val="20"/>
          <w:szCs w:val="20"/>
          <w:color w:val="auto"/>
        </w:rPr>
      </w:pPr>
      <w:r>
        <w:rPr>
          <w:rFonts w:ascii="Arial" w:cs="Arial" w:eastAsia="Arial" w:hAnsi="Arial"/>
          <w:sz w:val="16"/>
          <w:szCs w:val="16"/>
          <w:color w:val="auto"/>
        </w:rPr>
        <w:t>Service Provider (provided that such termination is a “separation from service” within the meaning of Section 409A, as determined by the Company), other than due to Participant’s death</w:t>
      </w:r>
      <w:r>
        <w:rPr>
          <w:rFonts w:ascii="Arial" w:cs="Arial" w:eastAsia="Arial" w:hAnsi="Arial"/>
          <w:sz w:val="16"/>
          <w:szCs w:val="16"/>
          <w:b w:val="1"/>
          <w:bCs w:val="1"/>
          <w:color w:val="auto"/>
        </w:rPr>
        <w:t>,</w:t>
      </w:r>
      <w:r>
        <w:rPr>
          <w:rFonts w:ascii="Arial" w:cs="Arial" w:eastAsia="Arial" w:hAnsi="Arial"/>
          <w:sz w:val="16"/>
          <w:szCs w:val="16"/>
          <w:color w:val="auto"/>
        </w:rPr>
        <w:t xml:space="preserve">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Participant dies following his or her termination as a Service Provider, in which case, the Restricted Stock Units will be paid in Shares to Participant’s estate as soon as practicable following his or her death.</w:t>
      </w:r>
    </w:p>
    <w:p>
      <w:pPr>
        <w:spacing w:after="0" w:line="151" w:lineRule="exact"/>
        <w:rPr>
          <w:sz w:val="20"/>
          <w:szCs w:val="20"/>
          <w:color w:val="auto"/>
        </w:rPr>
      </w:pPr>
    </w:p>
    <w:p>
      <w:pPr>
        <w:jc w:val="both"/>
        <w:ind w:left="-20" w:firstLine="1106"/>
        <w:spacing w:after="0" w:line="244" w:lineRule="auto"/>
        <w:tabs>
          <w:tab w:leader="none" w:pos="1366" w:val="left"/>
        </w:tabs>
        <w:numPr>
          <w:ilvl w:val="1"/>
          <w:numId w:val="139"/>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For purposes of this Award Agreement, “Section 409A” means Section 409A of the Code, and any final Treasury Regulations and Internal Revenue Service guidance thereunder, as each may be amended from time to time.</w:t>
      </w:r>
    </w:p>
    <w:p>
      <w:pPr>
        <w:spacing w:after="0" w:line="165" w:lineRule="exact"/>
        <w:rPr>
          <w:rFonts w:ascii="Arial" w:cs="Arial" w:eastAsia="Arial" w:hAnsi="Arial"/>
          <w:sz w:val="17"/>
          <w:szCs w:val="17"/>
          <w:color w:val="auto"/>
        </w:rPr>
      </w:pPr>
    </w:p>
    <w:p>
      <w:pPr>
        <w:jc w:val="both"/>
        <w:ind w:left="-20" w:firstLine="552"/>
        <w:spacing w:after="0" w:line="275" w:lineRule="auto"/>
        <w:tabs>
          <w:tab w:leader="none" w:pos="81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Forfeiture Upon Termination as a Service Provider</w:t>
      </w:r>
      <w:r>
        <w:rPr>
          <w:rFonts w:ascii="Arial" w:cs="Arial" w:eastAsia="Arial" w:hAnsi="Arial"/>
          <w:sz w:val="16"/>
          <w:szCs w:val="16"/>
          <w:color w:val="auto"/>
        </w:rPr>
        <w:t>. Notwithstanding any contrary provision of this Award Agreement,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39" w:lineRule="exact"/>
        <w:rPr>
          <w:rFonts w:ascii="Arial" w:cs="Arial" w:eastAsia="Arial" w:hAnsi="Arial"/>
          <w:sz w:val="16"/>
          <w:szCs w:val="16"/>
          <w:color w:val="auto"/>
        </w:rPr>
      </w:pPr>
    </w:p>
    <w:p>
      <w:pPr>
        <w:jc w:val="both"/>
        <w:ind w:left="-20" w:firstLine="552"/>
        <w:spacing w:after="0" w:line="246" w:lineRule="auto"/>
        <w:tabs>
          <w:tab w:leader="none" w:pos="810"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Death of Participant</w:t>
      </w:r>
      <w:r>
        <w:rPr>
          <w:rFonts w:ascii="Arial" w:cs="Arial" w:eastAsia="Arial" w:hAnsi="Arial"/>
          <w:sz w:val="17"/>
          <w:szCs w:val="17"/>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62" w:lineRule="exact"/>
        <w:rPr>
          <w:rFonts w:ascii="Arial" w:cs="Arial" w:eastAsia="Arial" w:hAnsi="Arial"/>
          <w:sz w:val="17"/>
          <w:szCs w:val="17"/>
          <w:color w:val="auto"/>
        </w:rPr>
      </w:pPr>
    </w:p>
    <w:p>
      <w:pPr>
        <w:jc w:val="both"/>
        <w:ind w:left="-20" w:firstLine="552"/>
        <w:spacing w:after="0" w:line="265" w:lineRule="auto"/>
        <w:tabs>
          <w:tab w:leader="none" w:pos="81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Tax Consequences</w:t>
      </w:r>
      <w:r>
        <w:rPr>
          <w:rFonts w:ascii="Arial" w:cs="Arial" w:eastAsia="Arial" w:hAnsi="Arial"/>
          <w:sz w:val="16"/>
          <w:szCs w:val="16"/>
          <w:color w:val="auto"/>
        </w:rPr>
        <w:t>. Participant has reviewed with its own tax advisors the U.S. federal, state, local and foreign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48" w:lineRule="exact"/>
        <w:rPr>
          <w:rFonts w:ascii="Arial" w:cs="Arial" w:eastAsia="Arial" w:hAnsi="Arial"/>
          <w:sz w:val="16"/>
          <w:szCs w:val="16"/>
          <w:color w:val="auto"/>
        </w:rPr>
      </w:pPr>
    </w:p>
    <w:p>
      <w:pPr>
        <w:ind w:left="800" w:hanging="268"/>
        <w:spacing w:after="0"/>
        <w:tabs>
          <w:tab w:leader="none" w:pos="800"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Tax Obligations</w:t>
      </w:r>
    </w:p>
    <w:p>
      <w:pPr>
        <w:spacing w:after="0" w:line="184" w:lineRule="exact"/>
        <w:rPr>
          <w:rFonts w:ascii="Arial" w:cs="Arial" w:eastAsia="Arial" w:hAnsi="Arial"/>
          <w:sz w:val="17"/>
          <w:szCs w:val="17"/>
          <w:color w:val="auto"/>
        </w:rPr>
      </w:pPr>
    </w:p>
    <w:p>
      <w:pPr>
        <w:jc w:val="both"/>
        <w:ind w:left="-20" w:firstLine="1106"/>
        <w:spacing w:after="0" w:line="263" w:lineRule="auto"/>
        <w:tabs>
          <w:tab w:leader="none" w:pos="1366"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Participant acknowledges that, regardless of any action taken by the Company or, if different, Participant’s employer (the “Employer”), the ultimate liability for any tax and/or social insurance liability obligations and requirements in connection with the Restricted Stock Units, including, without limitation, (a) all federal, state, and local taxes (including the Participant’s Federal Insurance Contributions Act (FICA) obligation) that are required to be withheld by the Company or the Employer or other payment of tax-related items related to Participant’s participation in the Plan and legally applicable to Participant, (b) the Participant’s and, to the extent required by the Company (or Employer),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288290</wp:posOffset>
            </wp:positionV>
            <wp:extent cx="5937250" cy="222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1">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309" w:right="1159" w:bottom="1440" w:gutter="0" w:footer="0" w:header="0"/>
        </w:sectPr>
      </w:pPr>
    </w:p>
    <w:bookmarkStart w:id="195" w:name="page196"/>
    <w:bookmarkEnd w:id="195"/>
    <w:p>
      <w:pPr>
        <w:jc w:val="both"/>
        <w:ind w:firstLine="553"/>
        <w:spacing w:after="0" w:line="277" w:lineRule="auto"/>
        <w:rPr>
          <w:sz w:val="20"/>
          <w:szCs w:val="20"/>
          <w:color w:val="auto"/>
        </w:rPr>
      </w:pPr>
      <w:r>
        <w:rPr>
          <w:rFonts w:ascii="Arial" w:cs="Arial" w:eastAsia="Arial" w:hAnsi="Arial"/>
          <w:sz w:val="15"/>
          <w:szCs w:val="15"/>
          <w:color w:val="auto"/>
        </w:rPr>
        <w:t>Company’s (or Employer’s) fringe benefit tax liability, if any, associated with the grant, vesting, or exercise of the Restricted Stock Units or sale of Shares, and (c) any other Company (or Employer) taxes the responsibility for which the Participant has, or has agreed to bear, with respect to the Restricted Stock Units (or exercise thereof or issuance of Shares thereunder) (collectively, the “Tax Obligations”), is and remains Participant’s responsibility and may exceed the amount actually withheld by the Company or the Employer. Participant further acknowledges that the Company and/or the Employer (i) make no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(ii) do not commit to and are under no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Employer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41" w:lineRule="exact"/>
        <w:rPr>
          <w:sz w:val="20"/>
          <w:szCs w:val="20"/>
          <w:color w:val="auto"/>
        </w:rPr>
      </w:pPr>
    </w:p>
    <w:p>
      <w:pPr>
        <w:jc w:val="both"/>
        <w:ind w:firstLine="1106"/>
        <w:spacing w:after="0" w:line="257" w:lineRule="auto"/>
        <w:tabs>
          <w:tab w:leader="none" w:pos="1396"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When Shares are issued as payment for vested Restricted Stock Units,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Employer shall withhold the minimum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(a) paying cash, (b) electing to have the Company withhold otherwise deliverable Shares having a Fair Market Value equal to the amount of such Tax Obligations, (c) withholding the amount of such Tax Obligations from Participant’s wages or other cash compensation paid to Participant by the company and/or the Employer, (d) delivering to the Company already vested and owned Shares having a Fair Market Value equal to such Tax Obligations, or (e) selling a sufficient number of such Shares otherwise deliverable to Participant through such means as the Company may determine in its sole discretion (whether through a broker or otherwise) equal to the amount of the Tax Obligations. To the extent determined appropriate by the Company in its discretion, it will have the right (but not the obligation) to satisfy any Tax Obligations by reducing the number of Shares otherwise deliverable to Participant and, until determined otherwise by the Company, this will be the method by which such Tax Obligations are satisfied. Further, if Participant is subject to tax in more than one jurisdiction between the Date of Grant and a date of any relevant taxable or tax withholding event, as applicable, Participant acknowledges and agrees that the Company and/or the Employer (and/or former employer, as applicable) may be required to withhold or account for tax in more than one jurisdiction. If Participant fails to make satisfactory arrangements for the payment of such Tax Obligations hereunder at the time any applicable Restricted Stock Units otherwise are scheduled to vest pursuant to Sections 3 or 4, Participant will permanently forfeit such Restricted Stock Units and any right to receive Shares thereunder and the Restricted Stock Units will be returned to the Company at no cost to the Company. Participant acknowledges and agrees that the Company may refuse to deliver the Shares if such Tax Obligations are not delivered at the time they are due.</w:t>
      </w:r>
    </w:p>
    <w:p>
      <w:pPr>
        <w:spacing w:after="0" w:line="162" w:lineRule="exact"/>
        <w:rPr>
          <w:rFonts w:ascii="Arial" w:cs="Arial" w:eastAsia="Arial" w:hAnsi="Arial"/>
          <w:sz w:val="16"/>
          <w:szCs w:val="16"/>
          <w:color w:val="auto"/>
        </w:rPr>
      </w:pPr>
    </w:p>
    <w:p>
      <w:pPr>
        <w:jc w:val="both"/>
        <w:ind w:firstLine="552"/>
        <w:spacing w:after="0" w:line="292" w:lineRule="auto"/>
        <w:tabs>
          <w:tab w:leader="none" w:pos="830" w:val="left"/>
        </w:tabs>
        <w:numPr>
          <w:ilvl w:val="0"/>
          <w:numId w:val="142"/>
        </w:numPr>
        <w:rPr>
          <w:rFonts w:ascii="Arial" w:cs="Arial" w:eastAsia="Arial" w:hAnsi="Arial"/>
          <w:sz w:val="15"/>
          <w:szCs w:val="15"/>
          <w:color w:val="auto"/>
        </w:rPr>
      </w:pPr>
      <w:r>
        <w:rPr>
          <w:rFonts w:ascii="Arial" w:cs="Arial" w:eastAsia="Arial" w:hAnsi="Arial"/>
          <w:sz w:val="15"/>
          <w:szCs w:val="15"/>
          <w:u w:val="single" w:color="auto"/>
          <w:color w:val="auto"/>
        </w:rPr>
        <w:t>Rights as Stockholder</w:t>
      </w:r>
      <w:r>
        <w:rPr>
          <w:rFonts w:ascii="Arial" w:cs="Arial" w:eastAsia="Arial" w:hAnsi="Arial"/>
          <w:sz w:val="15"/>
          <w:szCs w:val="15"/>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5937250" cy="222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2">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10" w:right="1159" w:bottom="1440" w:gutter="0" w:footer="0" w:header="0"/>
        </w:sectPr>
      </w:pPr>
    </w:p>
    <w:bookmarkStart w:id="196" w:name="page197"/>
    <w:bookmarkEnd w:id="196"/>
    <w:p>
      <w:pPr>
        <w:ind w:firstLine="553"/>
        <w:spacing w:after="0" w:line="264" w:lineRule="auto"/>
        <w:rPr>
          <w:sz w:val="20"/>
          <w:szCs w:val="20"/>
          <w:color w:val="auto"/>
        </w:rPr>
      </w:pPr>
      <w:r>
        <w:rPr>
          <w:rFonts w:ascii="Arial" w:cs="Arial" w:eastAsia="Arial" w:hAnsi="Arial"/>
          <w:sz w:val="17"/>
          <w:szCs w:val="17"/>
          <w:color w:val="auto"/>
        </w:rPr>
        <w:t>and delivery, Participant will have all the rights of a stockholder of the Company with respect to voting such Shares and receipt of dividends and distributions on such Shares.</w:t>
      </w:r>
    </w:p>
    <w:p>
      <w:pPr>
        <w:spacing w:after="0" w:line="146" w:lineRule="exact"/>
        <w:rPr>
          <w:sz w:val="20"/>
          <w:szCs w:val="20"/>
          <w:color w:val="auto"/>
        </w:rPr>
      </w:pPr>
    </w:p>
    <w:p>
      <w:pPr>
        <w:jc w:val="both"/>
        <w:ind w:firstLine="552"/>
        <w:spacing w:after="0" w:line="243" w:lineRule="auto"/>
        <w:tabs>
          <w:tab w:leader="none" w:pos="834"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THE RESTRICTED STOCK UNITS PURSUANT TO THE VESTING SCHEDULE HEREOF IS EARNED ONLY BY CONTINUING AS A SERVICE PROVIDER AT THE WILL OF THE COMPANY (OR THE EMPLOYER) AND NOT THROUGH THE ACT OF BEING HIRED, BEING GRANTED THIS RESTRICTED STOCK UNIT AWARD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EMPLOYER) TO TERMINATE PARTICIPANT’S RELATIONSHIP AS A SERVICE PROVIDER AT ANY TIME, WITH OR WITHOUT CAUSE.</w:t>
      </w:r>
    </w:p>
    <w:p>
      <w:pPr>
        <w:spacing w:after="0" w:line="165" w:lineRule="exact"/>
        <w:rPr>
          <w:rFonts w:ascii="Arial" w:cs="Arial" w:eastAsia="Arial" w:hAnsi="Arial"/>
          <w:sz w:val="17"/>
          <w:szCs w:val="17"/>
          <w:color w:val="auto"/>
        </w:rPr>
      </w:pPr>
    </w:p>
    <w:p>
      <w:pPr>
        <w:jc w:val="both"/>
        <w:ind w:firstLine="552"/>
        <w:spacing w:after="0" w:line="287" w:lineRule="auto"/>
        <w:tabs>
          <w:tab w:leader="none" w:pos="850" w:val="left"/>
        </w:tabs>
        <w:numPr>
          <w:ilvl w:val="0"/>
          <w:numId w:val="143"/>
        </w:numPr>
        <w:rPr>
          <w:rFonts w:ascii="Arial" w:cs="Arial" w:eastAsia="Arial" w:hAnsi="Arial"/>
          <w:sz w:val="15"/>
          <w:szCs w:val="15"/>
          <w:color w:val="auto"/>
        </w:rPr>
      </w:pPr>
      <w:r>
        <w:rPr>
          <w:rFonts w:ascii="Arial" w:cs="Arial" w:eastAsia="Arial" w:hAnsi="Arial"/>
          <w:sz w:val="15"/>
          <w:szCs w:val="15"/>
          <w:u w:val="single" w:color="auto"/>
          <w:color w:val="auto"/>
        </w:rPr>
        <w:t>Grant is Not Transferable</w:t>
      </w:r>
      <w:r>
        <w:rPr>
          <w:rFonts w:ascii="Arial" w:cs="Arial" w:eastAsia="Arial" w:hAnsi="Arial"/>
          <w:sz w:val="15"/>
          <w:szCs w:val="15"/>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33" w:lineRule="exact"/>
        <w:rPr>
          <w:rFonts w:ascii="Arial" w:cs="Arial" w:eastAsia="Arial" w:hAnsi="Arial"/>
          <w:sz w:val="15"/>
          <w:szCs w:val="15"/>
          <w:color w:val="auto"/>
        </w:rPr>
      </w:pPr>
    </w:p>
    <w:p>
      <w:pPr>
        <w:ind w:left="840" w:hanging="288"/>
        <w:spacing w:after="0"/>
        <w:tabs>
          <w:tab w:leader="none" w:pos="840"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In accepting the grant, Participant acknowledges, understands and agrees that:</w:t>
      </w:r>
    </w:p>
    <w:p>
      <w:pPr>
        <w:spacing w:after="0" w:line="184" w:lineRule="exact"/>
        <w:rPr>
          <w:rFonts w:ascii="Arial" w:cs="Arial" w:eastAsia="Arial" w:hAnsi="Arial"/>
          <w:sz w:val="17"/>
          <w:szCs w:val="17"/>
          <w:color w:val="auto"/>
        </w:rPr>
      </w:pPr>
    </w:p>
    <w:p>
      <w:pPr>
        <w:jc w:val="both"/>
        <w:ind w:firstLine="1106"/>
        <w:spacing w:after="0" w:line="252" w:lineRule="auto"/>
        <w:tabs>
          <w:tab w:leader="none" w:pos="1386"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56" w:lineRule="exact"/>
        <w:rPr>
          <w:rFonts w:ascii="Arial" w:cs="Arial" w:eastAsia="Arial" w:hAnsi="Arial"/>
          <w:sz w:val="17"/>
          <w:szCs w:val="17"/>
          <w:color w:val="auto"/>
        </w:rPr>
      </w:pPr>
    </w:p>
    <w:p>
      <w:pPr>
        <w:ind w:left="1400" w:hanging="294"/>
        <w:spacing w:after="0"/>
        <w:tabs>
          <w:tab w:leader="none" w:pos="1400" w:val="left"/>
        </w:tabs>
        <w:numPr>
          <w:ilvl w:val="1"/>
          <w:numId w:val="143"/>
        </w:numPr>
        <w:rPr>
          <w:rFonts w:ascii="Arial" w:cs="Arial" w:eastAsia="Arial" w:hAnsi="Arial"/>
          <w:sz w:val="15"/>
          <w:szCs w:val="15"/>
          <w:color w:val="auto"/>
        </w:rPr>
      </w:pPr>
      <w:r>
        <w:rPr>
          <w:rFonts w:ascii="Arial" w:cs="Arial" w:eastAsia="Arial" w:hAnsi="Arial"/>
          <w:sz w:val="15"/>
          <w:szCs w:val="15"/>
          <w:color w:val="auto"/>
        </w:rPr>
        <w:t>all decisions with respect to future Restricted Stock Units or other grants, if any, will be at the sole discretion of the</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Company;</w:t>
      </w:r>
    </w:p>
    <w:p>
      <w:pPr>
        <w:spacing w:after="0" w:line="170" w:lineRule="exact"/>
        <w:rPr>
          <w:rFonts w:ascii="Arial" w:cs="Arial" w:eastAsia="Arial" w:hAnsi="Arial"/>
          <w:sz w:val="15"/>
          <w:szCs w:val="15"/>
          <w:color w:val="auto"/>
        </w:rPr>
      </w:pPr>
    </w:p>
    <w:p>
      <w:pPr>
        <w:ind w:left="1380" w:hanging="274"/>
        <w:spacing w:after="0"/>
        <w:tabs>
          <w:tab w:leader="none" w:pos="138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Participant is voluntarily participating in the Plan;</w:t>
      </w:r>
    </w:p>
    <w:p>
      <w:pPr>
        <w:spacing w:after="0" w:line="184" w:lineRule="exact"/>
        <w:rPr>
          <w:rFonts w:ascii="Arial" w:cs="Arial" w:eastAsia="Arial" w:hAnsi="Arial"/>
          <w:sz w:val="17"/>
          <w:szCs w:val="17"/>
          <w:color w:val="auto"/>
        </w:rPr>
      </w:pPr>
    </w:p>
    <w:p>
      <w:pPr>
        <w:ind w:firstLine="1106"/>
        <w:spacing w:after="0" w:line="264" w:lineRule="auto"/>
        <w:tabs>
          <w:tab w:leader="none" w:pos="1396"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Restricted Stock Units and the Shares subject to the Restricted Stock Units are not intended to replace any pension rights or compensation;</w:t>
      </w:r>
    </w:p>
    <w:p>
      <w:pPr>
        <w:spacing w:after="0" w:line="146" w:lineRule="exact"/>
        <w:rPr>
          <w:rFonts w:ascii="Arial" w:cs="Arial" w:eastAsia="Arial" w:hAnsi="Arial"/>
          <w:sz w:val="17"/>
          <w:szCs w:val="17"/>
          <w:color w:val="auto"/>
        </w:rPr>
      </w:pPr>
    </w:p>
    <w:p>
      <w:pPr>
        <w:jc w:val="both"/>
        <w:ind w:firstLine="1106"/>
        <w:spacing w:after="0" w:line="301" w:lineRule="auto"/>
        <w:tabs>
          <w:tab w:leader="none" w:pos="1386" w:val="left"/>
        </w:tabs>
        <w:numPr>
          <w:ilvl w:val="1"/>
          <w:numId w:val="143"/>
        </w:numPr>
        <w:rPr>
          <w:rFonts w:ascii="Arial" w:cs="Arial" w:eastAsia="Arial" w:hAnsi="Arial"/>
          <w:sz w:val="15"/>
          <w:szCs w:val="15"/>
          <w:color w:val="auto"/>
        </w:rPr>
      </w:pPr>
      <w:r>
        <w:rPr>
          <w:rFonts w:ascii="Arial" w:cs="Arial" w:eastAsia="Arial" w:hAnsi="Arial"/>
          <w:sz w:val="15"/>
          <w:szCs w:val="15"/>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23" w:lineRule="exact"/>
        <w:rPr>
          <w:rFonts w:ascii="Arial" w:cs="Arial" w:eastAsia="Arial" w:hAnsi="Arial"/>
          <w:sz w:val="15"/>
          <w:szCs w:val="15"/>
          <w:color w:val="auto"/>
        </w:rPr>
      </w:pPr>
    </w:p>
    <w:p>
      <w:pPr>
        <w:ind w:left="1380" w:hanging="274"/>
        <w:spacing w:after="0"/>
        <w:tabs>
          <w:tab w:leader="none" w:pos="138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future value of the underlying Shares is unknown, indeterminable and cannot be predicted;</w:t>
      </w:r>
    </w:p>
    <w:p>
      <w:pPr>
        <w:spacing w:after="0" w:line="184" w:lineRule="exact"/>
        <w:rPr>
          <w:rFonts w:ascii="Arial" w:cs="Arial" w:eastAsia="Arial" w:hAnsi="Arial"/>
          <w:sz w:val="17"/>
          <w:szCs w:val="17"/>
          <w:color w:val="auto"/>
        </w:rPr>
      </w:pPr>
    </w:p>
    <w:p>
      <w:pPr>
        <w:jc w:val="both"/>
        <w:ind w:firstLine="1106"/>
        <w:spacing w:after="0" w:line="292" w:lineRule="auto"/>
        <w:tabs>
          <w:tab w:leader="none" w:pos="1396" w:val="left"/>
        </w:tabs>
        <w:numPr>
          <w:ilvl w:val="1"/>
          <w:numId w:val="143"/>
        </w:numPr>
        <w:rPr>
          <w:rFonts w:ascii="Arial" w:cs="Arial" w:eastAsia="Arial" w:hAnsi="Arial"/>
          <w:sz w:val="15"/>
          <w:szCs w:val="15"/>
          <w:color w:val="auto"/>
        </w:rPr>
      </w:pPr>
      <w:r>
        <w:rPr>
          <w:rFonts w:ascii="Arial" w:cs="Arial" w:eastAsia="Arial" w:hAnsi="Arial"/>
          <w:sz w:val="15"/>
          <w:szCs w:val="15"/>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to be found invalid or in breach of employment laws in the jurisdiction where Participant is a Service Provider or the terms of Participant’s employment or service agreement, if any), and unless otherwise expressly provided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5937250" cy="222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3">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9" w:right="1159" w:bottom="1440" w:gutter="0" w:footer="0" w:header="0"/>
        </w:sectPr>
      </w:pPr>
    </w:p>
    <w:bookmarkStart w:id="197" w:name="page198"/>
    <w:bookmarkEnd w:id="197"/>
    <w:p>
      <w:pPr>
        <w:jc w:val="both"/>
        <w:ind w:firstLine="553"/>
        <w:spacing w:after="0" w:line="243" w:lineRule="auto"/>
        <w:rPr>
          <w:sz w:val="20"/>
          <w:szCs w:val="20"/>
          <w:color w:val="auto"/>
        </w:rPr>
      </w:pPr>
      <w:r>
        <w:rPr>
          <w:rFonts w:ascii="Arial" w:cs="Arial" w:eastAsia="Arial" w:hAnsi="Arial"/>
          <w:sz w:val="17"/>
          <w:szCs w:val="17"/>
          <w:color w:val="auto"/>
        </w:rPr>
        <w:t>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Restricted Stock Units grant (including whether Participant may still be considered to be providing services while on a leave of absence);</w:t>
      </w:r>
    </w:p>
    <w:p>
      <w:pPr>
        <w:spacing w:after="0" w:line="169" w:lineRule="exact"/>
        <w:rPr>
          <w:sz w:val="20"/>
          <w:szCs w:val="20"/>
          <w:color w:val="auto"/>
        </w:rPr>
      </w:pPr>
    </w:p>
    <w:p>
      <w:pPr>
        <w:jc w:val="both"/>
        <w:ind w:firstLine="1106"/>
        <w:spacing w:after="0" w:line="248" w:lineRule="auto"/>
        <w:tabs>
          <w:tab w:leader="none" w:pos="1396" w:val="left"/>
        </w:tabs>
        <w:numPr>
          <w:ilvl w:val="1"/>
          <w:numId w:val="144"/>
        </w:numPr>
        <w:rPr>
          <w:rFonts w:ascii="Arial" w:cs="Arial" w:eastAsia="Arial" w:hAnsi="Arial"/>
          <w:sz w:val="17"/>
          <w:szCs w:val="17"/>
          <w:color w:val="auto"/>
        </w:rPr>
      </w:pPr>
      <w:r>
        <w:rPr>
          <w:rFonts w:ascii="Arial" w:cs="Arial" w:eastAsia="Arial" w:hAnsi="Arial"/>
          <w:sz w:val="17"/>
          <w:szCs w:val="17"/>
          <w:color w:val="auto"/>
        </w:rPr>
        <w:t>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60" w:lineRule="exact"/>
        <w:rPr>
          <w:rFonts w:ascii="Arial" w:cs="Arial" w:eastAsia="Arial" w:hAnsi="Arial"/>
          <w:sz w:val="17"/>
          <w:szCs w:val="17"/>
          <w:color w:val="auto"/>
        </w:rPr>
      </w:pPr>
    </w:p>
    <w:p>
      <w:pPr>
        <w:ind w:left="1380" w:hanging="274"/>
        <w:spacing w:after="0"/>
        <w:tabs>
          <w:tab w:leader="none" w:pos="138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the following provisions apply only if Participant is providing services outside the United States:</w:t>
      </w:r>
    </w:p>
    <w:p>
      <w:pPr>
        <w:spacing w:after="0" w:line="184" w:lineRule="exact"/>
        <w:rPr>
          <w:rFonts w:ascii="Arial" w:cs="Arial" w:eastAsia="Arial" w:hAnsi="Arial"/>
          <w:sz w:val="17"/>
          <w:szCs w:val="17"/>
          <w:color w:val="auto"/>
        </w:rPr>
      </w:pPr>
    </w:p>
    <w:p>
      <w:pPr>
        <w:ind w:left="1940" w:hanging="281"/>
        <w:spacing w:after="0" w:line="264" w:lineRule="auto"/>
        <w:tabs>
          <w:tab w:leader="none" w:pos="1938" w:val="left"/>
        </w:tabs>
        <w:numPr>
          <w:ilvl w:val="2"/>
          <w:numId w:val="144"/>
        </w:numPr>
        <w:rPr>
          <w:rFonts w:ascii="Arial" w:cs="Arial" w:eastAsia="Arial" w:hAnsi="Arial"/>
          <w:sz w:val="17"/>
          <w:szCs w:val="17"/>
          <w:color w:val="auto"/>
        </w:rPr>
      </w:pPr>
      <w:r>
        <w:rPr>
          <w:rFonts w:ascii="Arial" w:cs="Arial" w:eastAsia="Arial" w:hAnsi="Arial"/>
          <w:sz w:val="17"/>
          <w:szCs w:val="17"/>
          <w:color w:val="auto"/>
        </w:rPr>
        <w:t>the Restricted Stock Units and the Shares subject to the Restricted Stock Units are not part of normal or expected compensation or salary for any purpose;</w:t>
      </w:r>
    </w:p>
    <w:p>
      <w:pPr>
        <w:spacing w:after="0" w:line="146" w:lineRule="exact"/>
        <w:rPr>
          <w:rFonts w:ascii="Arial" w:cs="Arial" w:eastAsia="Arial" w:hAnsi="Arial"/>
          <w:sz w:val="17"/>
          <w:szCs w:val="17"/>
          <w:color w:val="auto"/>
        </w:rPr>
      </w:pPr>
    </w:p>
    <w:p>
      <w:pPr>
        <w:jc w:val="both"/>
        <w:ind w:left="1940" w:hanging="281"/>
        <w:spacing w:after="0" w:line="246" w:lineRule="auto"/>
        <w:tabs>
          <w:tab w:leader="none" w:pos="1939" w:val="left"/>
        </w:tabs>
        <w:numPr>
          <w:ilvl w:val="2"/>
          <w:numId w:val="144"/>
        </w:numPr>
        <w:rPr>
          <w:rFonts w:ascii="Arial" w:cs="Arial" w:eastAsia="Arial" w:hAnsi="Arial"/>
          <w:sz w:val="17"/>
          <w:szCs w:val="17"/>
          <w:color w:val="auto"/>
        </w:rPr>
      </w:pPr>
      <w:r>
        <w:rPr>
          <w:rFonts w:ascii="Arial" w:cs="Arial" w:eastAsia="Arial" w:hAnsi="Arial"/>
          <w:sz w:val="17"/>
          <w:szCs w:val="17"/>
          <w:color w:val="auto"/>
        </w:rPr>
        <w:t>Participant acknowledges and agrees that none of the Company, the Employer or any Parent or Subsidiary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62" w:lineRule="exact"/>
        <w:rPr>
          <w:rFonts w:ascii="Arial" w:cs="Arial" w:eastAsia="Arial" w:hAnsi="Arial"/>
          <w:sz w:val="17"/>
          <w:szCs w:val="17"/>
          <w:color w:val="auto"/>
        </w:rPr>
      </w:pPr>
    </w:p>
    <w:p>
      <w:pPr>
        <w:jc w:val="both"/>
        <w:ind w:left="1940" w:hanging="281"/>
        <w:spacing w:after="0" w:line="259" w:lineRule="auto"/>
        <w:tabs>
          <w:tab w:leader="none" w:pos="1940" w:val="left"/>
        </w:tabs>
        <w:numPr>
          <w:ilvl w:val="2"/>
          <w:numId w:val="144"/>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the Company, any Parent or Subsidiary or the Employer, waives his or her ability, if any, to bring any such claim, and releases the Company, any Parent or Subsidiary and the Employer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56" w:lineRule="exact"/>
        <w:rPr>
          <w:rFonts w:ascii="Arial" w:cs="Arial" w:eastAsia="Arial" w:hAnsi="Arial"/>
          <w:sz w:val="16"/>
          <w:szCs w:val="16"/>
          <w:color w:val="auto"/>
        </w:rPr>
      </w:pPr>
    </w:p>
    <w:p>
      <w:pPr>
        <w:jc w:val="both"/>
        <w:ind w:firstLine="552"/>
        <w:spacing w:after="0" w:line="248" w:lineRule="auto"/>
        <w:tabs>
          <w:tab w:leader="none" w:pos="834"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No Advice Regarding Grant</w:t>
      </w:r>
      <w:r>
        <w:rPr>
          <w:rFonts w:ascii="Arial" w:cs="Arial" w:eastAsia="Arial" w:hAnsi="Arial"/>
          <w:sz w:val="17"/>
          <w:szCs w:val="17"/>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535940</wp:posOffset>
            </wp:positionV>
            <wp:extent cx="5937250" cy="222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4">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10" w:right="1159" w:bottom="1440" w:gutter="0" w:footer="0" w:header="0"/>
        </w:sectPr>
      </w:pPr>
    </w:p>
    <w:bookmarkStart w:id="198" w:name="page199"/>
    <w:bookmarkEnd w:id="198"/>
    <w:p>
      <w:pPr>
        <w:jc w:val="both"/>
        <w:ind w:firstLine="552"/>
        <w:spacing w:after="0" w:line="270" w:lineRule="auto"/>
        <w:tabs>
          <w:tab w:leader="none" w:pos="834" w:val="left"/>
        </w:tabs>
        <w:numPr>
          <w:ilvl w:val="0"/>
          <w:numId w:val="146"/>
        </w:numPr>
        <w:rPr>
          <w:rFonts w:ascii="Arial" w:cs="Arial" w:eastAsia="Arial" w:hAnsi="Arial"/>
          <w:sz w:val="16"/>
          <w:szCs w:val="16"/>
          <w:color w:val="auto"/>
        </w:rPr>
      </w:pPr>
      <w:r>
        <w:rPr>
          <w:rFonts w:ascii="Arial" w:cs="Arial" w:eastAsia="Arial" w:hAnsi="Arial"/>
          <w:sz w:val="16"/>
          <w:szCs w:val="16"/>
          <w:b w:val="1"/>
          <w:bCs w:val="1"/>
          <w:u w:val="single" w:color="auto"/>
          <w:color w:val="auto"/>
        </w:rPr>
        <w:t>Data Privacy</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Participant hereby explicitly and unambiguously consents to the collection, use and transfer, in</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electronic or other form, of Participant’s personal data as described in this Award Agreement and any other Restricted Stock Unit grant materials by and among, as applicable, the Employer, the Company and any Parent or Subsidiary for the exclusive purpose of implementing, administering and managing Participant’s participation in the Plan.</w:t>
      </w:r>
    </w:p>
    <w:p>
      <w:pPr>
        <w:spacing w:after="0" w:line="144" w:lineRule="exact"/>
        <w:rPr>
          <w:sz w:val="20"/>
          <w:szCs w:val="20"/>
          <w:color w:val="auto"/>
        </w:rPr>
      </w:pPr>
    </w:p>
    <w:p>
      <w:pPr>
        <w:jc w:val="both"/>
        <w:ind w:firstLine="553"/>
        <w:spacing w:after="0" w:line="287" w:lineRule="auto"/>
        <w:rPr>
          <w:sz w:val="20"/>
          <w:szCs w:val="20"/>
          <w:color w:val="auto"/>
        </w:rPr>
      </w:pPr>
      <w:r>
        <w:rPr>
          <w:rFonts w:ascii="Arial" w:cs="Arial" w:eastAsia="Arial" w:hAnsi="Arial"/>
          <w:sz w:val="15"/>
          <w:szCs w:val="15"/>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p>
    <w:p>
      <w:pPr>
        <w:spacing w:after="0" w:line="133" w:lineRule="exact"/>
        <w:rPr>
          <w:sz w:val="20"/>
          <w:szCs w:val="20"/>
          <w:color w:val="auto"/>
        </w:rPr>
      </w:pPr>
    </w:p>
    <w:p>
      <w:pPr>
        <w:jc w:val="both"/>
        <w:ind w:firstLine="553"/>
        <w:spacing w:after="0" w:line="296" w:lineRule="auto"/>
        <w:rPr>
          <w:sz w:val="20"/>
          <w:szCs w:val="20"/>
          <w:color w:val="auto"/>
        </w:rPr>
      </w:pPr>
      <w:r>
        <w:rPr>
          <w:rFonts w:ascii="Arial" w:cs="Arial" w:eastAsia="Arial" w:hAnsi="Arial"/>
          <w:sz w:val="14"/>
          <w:szCs w:val="14"/>
          <w:b w:val="1"/>
          <w:bCs w:val="1"/>
          <w:i w:val="1"/>
          <w:iCs w:val="1"/>
          <w:color w:val="auto"/>
        </w:rPr>
        <w:t>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Employer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332" w:lineRule="exact"/>
        <w:rPr>
          <w:sz w:val="20"/>
          <w:szCs w:val="20"/>
          <w:color w:val="auto"/>
        </w:rPr>
      </w:pPr>
    </w:p>
    <w:p>
      <w:pPr>
        <w:jc w:val="both"/>
        <w:ind w:firstLine="552"/>
        <w:spacing w:after="0" w:line="252" w:lineRule="auto"/>
        <w:tabs>
          <w:tab w:leader="none" w:pos="834"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Address for Notices</w:t>
      </w:r>
      <w:r>
        <w:rPr>
          <w:rFonts w:ascii="Arial" w:cs="Arial" w:eastAsia="Arial" w:hAnsi="Arial"/>
          <w:sz w:val="17"/>
          <w:szCs w:val="17"/>
          <w:color w:val="auto"/>
        </w:rPr>
        <w:t>. Any notice to be given to the Company under the terms of this Award Agreement will be addressed to the Company at Pulse Biosciences, Inc., 3957 Point Eden Way, Hayward, CA 94545, or at such other address as the Company may hereafter designate in writing.</w:t>
      </w:r>
    </w:p>
    <w:p>
      <w:pPr>
        <w:spacing w:after="0" w:line="156" w:lineRule="exact"/>
        <w:rPr>
          <w:rFonts w:ascii="Arial" w:cs="Arial" w:eastAsia="Arial" w:hAnsi="Arial"/>
          <w:sz w:val="17"/>
          <w:szCs w:val="17"/>
          <w:color w:val="auto"/>
        </w:rPr>
      </w:pPr>
    </w:p>
    <w:p>
      <w:pPr>
        <w:jc w:val="both"/>
        <w:ind w:firstLine="552"/>
        <w:spacing w:after="0" w:line="246" w:lineRule="auto"/>
        <w:tabs>
          <w:tab w:leader="none" w:pos="834"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may, in its sole discretion, decide to deliver any documents related to the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295910</wp:posOffset>
            </wp:positionV>
            <wp:extent cx="5937250" cy="222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5">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05" w:right="1159" w:bottom="1440" w:gutter="0" w:footer="0" w:header="0"/>
        </w:sectPr>
      </w:pPr>
    </w:p>
    <w:bookmarkStart w:id="199" w:name="page200"/>
    <w:bookmarkEnd w:id="199"/>
    <w:p>
      <w:pPr>
        <w:jc w:val="both"/>
        <w:ind w:left="-20" w:firstLine="552"/>
        <w:spacing w:after="0" w:line="248" w:lineRule="auto"/>
        <w:tabs>
          <w:tab w:leader="none" w:pos="814"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Either party’s failure to enforce any provision or provisions of this Agreement shall not in any way be construed as a waiver of any such provision or provisions, nor prevent that party from thereafter enforcing each and every other provision of this Agreement. The rights granted both parties herein are cumulative and shall not constitute a waiver of either party’s right to assert all other legal remedies available to it under the circumstances.</w:t>
      </w:r>
    </w:p>
    <w:p>
      <w:pPr>
        <w:spacing w:after="0" w:line="160" w:lineRule="exact"/>
        <w:rPr>
          <w:rFonts w:ascii="Arial" w:cs="Arial" w:eastAsia="Arial" w:hAnsi="Arial"/>
          <w:sz w:val="17"/>
          <w:szCs w:val="17"/>
          <w:color w:val="auto"/>
        </w:rPr>
      </w:pPr>
    </w:p>
    <w:p>
      <w:pPr>
        <w:jc w:val="both"/>
        <w:ind w:left="-20" w:firstLine="552"/>
        <w:spacing w:after="0" w:line="292" w:lineRule="auto"/>
        <w:tabs>
          <w:tab w:leader="none" w:pos="814" w:val="left"/>
        </w:tabs>
        <w:numPr>
          <w:ilvl w:val="0"/>
          <w:numId w:val="148"/>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Participant and his or her heirs, executors, administrators, successors and assigns. The rights and obligations of Participant under this Agreement may only be assigned with the prior written consent of the Company.</w:t>
      </w:r>
    </w:p>
    <w:p>
      <w:pPr>
        <w:spacing w:after="0" w:line="128" w:lineRule="exact"/>
        <w:rPr>
          <w:rFonts w:ascii="Arial" w:cs="Arial" w:eastAsia="Arial" w:hAnsi="Arial"/>
          <w:sz w:val="15"/>
          <w:szCs w:val="15"/>
          <w:color w:val="auto"/>
        </w:rPr>
      </w:pPr>
    </w:p>
    <w:p>
      <w:pPr>
        <w:jc w:val="both"/>
        <w:ind w:left="-20" w:firstLine="552"/>
        <w:spacing w:after="0" w:line="260" w:lineRule="auto"/>
        <w:tabs>
          <w:tab w:leader="none" w:pos="814"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Additional Conditions to Issuance of Stock</w:t>
      </w:r>
      <w:r>
        <w:rPr>
          <w:rFonts w:ascii="Arial" w:cs="Arial" w:eastAsia="Arial" w:hAnsi="Arial"/>
          <w:sz w:val="16"/>
          <w:szCs w:val="16"/>
          <w:color w:val="auto"/>
        </w:rPr>
        <w:t>. If at any time the Company will determine, in its discretion, that the listing, registration, qualification or rule compliance of the Shares upon any securities exchange or under any state, federal or foreign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Agreement and the Plan, the Company shall not be required to issue any certificate or certificates for Shares hereunder prior to the lapse of such reasonable period of time following the date of vesting of the Restricted Stock Units as the Administrator may establish from time to time for reasons of administrative convenience.</w:t>
      </w:r>
    </w:p>
    <w:p>
      <w:pPr>
        <w:spacing w:after="0" w:line="151" w:lineRule="exact"/>
        <w:rPr>
          <w:rFonts w:ascii="Arial" w:cs="Arial" w:eastAsia="Arial" w:hAnsi="Arial"/>
          <w:sz w:val="16"/>
          <w:szCs w:val="16"/>
          <w:color w:val="auto"/>
        </w:rPr>
      </w:pPr>
    </w:p>
    <w:p>
      <w:pPr>
        <w:ind w:left="-20" w:firstLine="552"/>
        <w:spacing w:after="0" w:line="331" w:lineRule="auto"/>
        <w:tabs>
          <w:tab w:leader="none" w:pos="814" w:val="left"/>
        </w:tabs>
        <w:numPr>
          <w:ilvl w:val="0"/>
          <w:numId w:val="148"/>
        </w:numPr>
        <w:rPr>
          <w:rFonts w:ascii="Arial" w:cs="Arial" w:eastAsia="Arial" w:hAnsi="Arial"/>
          <w:sz w:val="15"/>
          <w:szCs w:val="15"/>
          <w:color w:val="auto"/>
        </w:rPr>
      </w:pPr>
      <w:r>
        <w:rPr>
          <w:rFonts w:ascii="Arial" w:cs="Arial" w:eastAsia="Arial" w:hAnsi="Arial"/>
          <w:sz w:val="15"/>
          <w:szCs w:val="15"/>
          <w:u w:val="single" w:color="auto"/>
          <w:color w:val="auto"/>
        </w:rPr>
        <w:t>Language</w:t>
      </w:r>
      <w:r>
        <w:rPr>
          <w:rFonts w:ascii="Arial" w:cs="Arial" w:eastAsia="Arial" w:hAnsi="Arial"/>
          <w:sz w:val="15"/>
          <w:szCs w:val="15"/>
          <w:color w:val="auto"/>
        </w:rPr>
        <w:t>.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00" w:lineRule="exact"/>
        <w:rPr>
          <w:rFonts w:ascii="Arial" w:cs="Arial" w:eastAsia="Arial" w:hAnsi="Arial"/>
          <w:sz w:val="15"/>
          <w:szCs w:val="15"/>
          <w:color w:val="auto"/>
        </w:rPr>
      </w:pPr>
    </w:p>
    <w:p>
      <w:pPr>
        <w:jc w:val="both"/>
        <w:ind w:left="-20" w:firstLine="552"/>
        <w:spacing w:after="0" w:line="263" w:lineRule="auto"/>
        <w:tabs>
          <w:tab w:leader="none" w:pos="814"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50" w:lineRule="exact"/>
        <w:rPr>
          <w:rFonts w:ascii="Arial" w:cs="Arial" w:eastAsia="Arial" w:hAnsi="Arial"/>
          <w:sz w:val="16"/>
          <w:szCs w:val="16"/>
          <w:color w:val="auto"/>
        </w:rPr>
      </w:pPr>
    </w:p>
    <w:p>
      <w:pPr>
        <w:ind w:left="-20" w:firstLine="552"/>
        <w:spacing w:after="0" w:line="264" w:lineRule="auto"/>
        <w:tabs>
          <w:tab w:leader="none" w:pos="814"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provided herein are for convenience only and are not to serve as a basis for interpretation or construction of this Award Agreement.</w:t>
      </w:r>
    </w:p>
    <w:p>
      <w:pPr>
        <w:spacing w:after="0" w:line="146" w:lineRule="exact"/>
        <w:rPr>
          <w:rFonts w:ascii="Arial" w:cs="Arial" w:eastAsia="Arial" w:hAnsi="Arial"/>
          <w:sz w:val="17"/>
          <w:szCs w:val="17"/>
          <w:color w:val="auto"/>
        </w:rPr>
      </w:pPr>
    </w:p>
    <w:p>
      <w:pPr>
        <w:jc w:val="both"/>
        <w:ind w:left="-20" w:firstLine="552"/>
        <w:spacing w:after="0" w:line="282" w:lineRule="auto"/>
        <w:tabs>
          <w:tab w:leader="none" w:pos="814" w:val="left"/>
        </w:tabs>
        <w:numPr>
          <w:ilvl w:val="0"/>
          <w:numId w:val="148"/>
        </w:numPr>
        <w:rPr>
          <w:rFonts w:ascii="Arial" w:cs="Arial" w:eastAsia="Arial" w:hAnsi="Arial"/>
          <w:sz w:val="15"/>
          <w:szCs w:val="15"/>
          <w:color w:val="auto"/>
        </w:rPr>
      </w:pPr>
      <w:r>
        <w:rPr>
          <w:rFonts w:ascii="Arial" w:cs="Arial" w:eastAsia="Arial" w:hAnsi="Arial"/>
          <w:sz w:val="15"/>
          <w:szCs w:val="15"/>
          <w:u w:val="single" w:color="auto"/>
          <w:color w:val="auto"/>
        </w:rPr>
        <w:t>Modifications to the Agreement</w:t>
      </w:r>
      <w:r>
        <w:rPr>
          <w:rFonts w:ascii="Arial" w:cs="Arial" w:eastAsia="Arial" w:hAnsi="Arial"/>
          <w:sz w:val="15"/>
          <w:szCs w:val="15"/>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280035</wp:posOffset>
            </wp:positionV>
            <wp:extent cx="5937250" cy="222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6">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310" w:right="1159" w:bottom="1440" w:gutter="0" w:footer="0" w:header="0"/>
        </w:sectPr>
      </w:pPr>
    </w:p>
    <w:bookmarkStart w:id="200" w:name="page201"/>
    <w:bookmarkEnd w:id="200"/>
    <w:p>
      <w:pPr>
        <w:jc w:val="both"/>
        <w:ind w:left="-20" w:firstLine="552"/>
        <w:spacing w:after="0" w:line="246" w:lineRule="auto"/>
        <w:tabs>
          <w:tab w:leader="none" w:pos="814"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Award Agreement will be governed by the laws of California, without giving effect to the conflict of law principles thereof. For purposes of litigating any dispute that arises under the Restricted Stock Units or this Award Agreement, the parties hereby submit to and consent to the jurisdiction of the State of California, and agree that such litigation will be conducted in the courts of San Francisco, California or the federal courts for the United States for the Northern District of California, and no other courts.</w:t>
      </w:r>
    </w:p>
    <w:p>
      <w:pPr>
        <w:spacing w:after="0" w:line="162" w:lineRule="exact"/>
        <w:rPr>
          <w:rFonts w:ascii="Arial" w:cs="Arial" w:eastAsia="Arial" w:hAnsi="Arial"/>
          <w:sz w:val="17"/>
          <w:szCs w:val="17"/>
          <w:color w:val="auto"/>
        </w:rPr>
      </w:pPr>
    </w:p>
    <w:p>
      <w:pPr>
        <w:jc w:val="both"/>
        <w:ind w:left="-20" w:firstLine="552"/>
        <w:spacing w:after="0" w:line="252" w:lineRule="auto"/>
        <w:tabs>
          <w:tab w:leader="none" w:pos="814"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56" w:lineRule="exact"/>
        <w:rPr>
          <w:rFonts w:ascii="Arial" w:cs="Arial" w:eastAsia="Arial" w:hAnsi="Arial"/>
          <w:sz w:val="17"/>
          <w:szCs w:val="17"/>
          <w:color w:val="auto"/>
        </w:rPr>
      </w:pPr>
    </w:p>
    <w:p>
      <w:pPr>
        <w:jc w:val="both"/>
        <w:ind w:left="-20" w:firstLine="552"/>
        <w:spacing w:after="0" w:line="301" w:lineRule="auto"/>
        <w:tabs>
          <w:tab w:leader="none" w:pos="814" w:val="left"/>
        </w:tabs>
        <w:numPr>
          <w:ilvl w:val="0"/>
          <w:numId w:val="149"/>
        </w:numPr>
        <w:rPr>
          <w:rFonts w:ascii="Arial" w:cs="Arial" w:eastAsia="Arial" w:hAnsi="Arial"/>
          <w:sz w:val="15"/>
          <w:szCs w:val="15"/>
          <w:color w:val="auto"/>
        </w:rPr>
      </w:pPr>
      <w:r>
        <w:rPr>
          <w:rFonts w:ascii="Arial" w:cs="Arial" w:eastAsia="Arial" w:hAnsi="Arial"/>
          <w:sz w:val="15"/>
          <w:szCs w:val="15"/>
          <w:u w:val="single" w:color="auto"/>
          <w:color w:val="auto"/>
        </w:rPr>
        <w:t>Amendment, Suspension or Termination of the Plan</w:t>
      </w:r>
      <w:r>
        <w:rPr>
          <w:rFonts w:ascii="Arial" w:cs="Arial" w:eastAsia="Arial" w:hAnsi="Arial"/>
          <w:sz w:val="15"/>
          <w:szCs w:val="15"/>
          <w:color w:val="auto"/>
        </w:rPr>
        <w:t>. By accepting this Award, Participant expressly warrants that he or she has received Restricted Stock Units under the Plan, and has received, read and understood a description of the Plan. Participant understands that the Plan is discretionary in nature and may be amended, suspended or terminated by the Company at any time.</w:t>
      </w:r>
    </w:p>
    <w:p>
      <w:pPr>
        <w:spacing w:after="0" w:line="123" w:lineRule="exact"/>
        <w:rPr>
          <w:rFonts w:ascii="Arial" w:cs="Arial" w:eastAsia="Arial" w:hAnsi="Arial"/>
          <w:sz w:val="15"/>
          <w:szCs w:val="15"/>
          <w:color w:val="auto"/>
        </w:rPr>
      </w:pPr>
    </w:p>
    <w:p>
      <w:pPr>
        <w:jc w:val="both"/>
        <w:ind w:left="-20" w:firstLine="552"/>
        <w:spacing w:after="0" w:line="268" w:lineRule="auto"/>
        <w:tabs>
          <w:tab w:leader="none" w:pos="814"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is incorporated herein by reference. The Plan and this Award Agreement (including the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46" w:lineRule="exact"/>
        <w:rPr>
          <w:rFonts w:ascii="Arial" w:cs="Arial" w:eastAsia="Arial" w:hAnsi="Arial"/>
          <w:sz w:val="16"/>
          <w:szCs w:val="16"/>
          <w:color w:val="auto"/>
        </w:rPr>
      </w:pPr>
    </w:p>
    <w:p>
      <w:pPr>
        <w:jc w:val="both"/>
        <w:ind w:left="-20" w:firstLine="552"/>
        <w:spacing w:after="0" w:line="265" w:lineRule="auto"/>
        <w:tabs>
          <w:tab w:leader="none" w:pos="814"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Country Addendum</w:t>
      </w:r>
      <w:r>
        <w:rPr>
          <w:rFonts w:ascii="Arial" w:cs="Arial" w:eastAsia="Arial" w:hAnsi="Arial"/>
          <w:sz w:val="16"/>
          <w:szCs w:val="16"/>
          <w:color w:val="auto"/>
        </w:rPr>
        <w:t>. Notwithstanding any provisions in this Award Agreement, the Restricted Stock Unit grant shall be subject to any special terms and conditions set forth in any appendix to this Award Agreement for Participant’s country. Moreover, if Participant relocates to one of the countries included in the Country Addendum,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652780</wp:posOffset>
            </wp:positionV>
            <wp:extent cx="5937250" cy="222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7">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00"/>
          </w:cols>
          <w:pgMar w:left="1440" w:top="309" w:right="115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7"/>
          <w:szCs w:val="17"/>
          <w:b w:val="1"/>
          <w:bCs w:val="1"/>
          <w:color w:val="auto"/>
        </w:rPr>
        <w:t>PULSE BIOSCIENCES,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 UNIT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COUNTRY ADDENDUM</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AND CONDITIONS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Country Addendum includes additional terms and conditions that govern the award of Restricted Stock Units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Award of Restricted Stock Units, the Company will, in its discretion, determine the extent to which the terms and conditions contained herein will be applicable to Participant.</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Certain capitalized terms used but not defined in this Country Addendum shall have the meanings set forth in the Plan and/or the Award Agreement to which this Country Addendum is attached.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This Country Addendum also includes notifications relating to exchange control and other issues of which Participant should be aware with respect to his or her participation in the Plan. The information is based on the exchange control, securities and other laws in effect in the countries listed in this Country Addendum, as of May 16, 2017.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vests in the Restricted Stock Units and acquires Shares, or when Participant subsequently sell Shares acquired under the Plan.</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Finally, if Participant is a citizen or resident of a country other than the one in which Participant is currently working (or is considered as such for local law purposes) or if Participant moves to another country after receiving an Award of Restricted Stock Units, the information contained herein may not be applicable to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1016635</wp:posOffset>
            </wp:positionV>
            <wp:extent cx="5937250" cy="222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8">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317" w:right="115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195"/>
        </w:trPr>
        <w:tc>
          <w:tcPr>
            <w:tcW w:w="3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gridSpan w:val="2"/>
          </w:tcPr>
          <w:p>
            <w:pPr>
              <w:ind w:left="1620"/>
              <w:spacing w:after="0"/>
              <w:rPr>
                <w:sz w:val="20"/>
                <w:szCs w:val="20"/>
                <w:color w:val="auto"/>
              </w:rPr>
            </w:pPr>
            <w:r>
              <w:rPr>
                <w:rFonts w:ascii="Arial" w:cs="Arial" w:eastAsia="Arial" w:hAnsi="Arial"/>
                <w:sz w:val="15"/>
                <w:szCs w:val="15"/>
                <w:color w:val="auto"/>
                <w:w w:val="99"/>
              </w:rPr>
              <w:t>Exhibit 21.1</w:t>
            </w:r>
          </w:p>
        </w:tc>
      </w:tr>
      <w:tr>
        <w:trPr>
          <w:trHeight w:val="311"/>
        </w:trPr>
        <w:tc>
          <w:tcPr>
            <w:tcW w:w="3420" w:type="dxa"/>
            <w:vAlign w:val="bottom"/>
          </w:tcPr>
          <w:p>
            <w:pPr>
              <w:spacing w:after="0"/>
              <w:rPr>
                <w:sz w:val="24"/>
                <w:szCs w:val="24"/>
                <w:color w:val="auto"/>
              </w:rPr>
            </w:pPr>
          </w:p>
        </w:tc>
        <w:tc>
          <w:tcPr>
            <w:tcW w:w="3240" w:type="dxa"/>
            <w:vAlign w:val="bottom"/>
            <w:gridSpan w:val="4"/>
          </w:tcPr>
          <w:p>
            <w:pPr>
              <w:ind w:left="500"/>
              <w:spacing w:after="0"/>
              <w:rPr>
                <w:sz w:val="20"/>
                <w:szCs w:val="20"/>
                <w:color w:val="auto"/>
              </w:rPr>
            </w:pPr>
            <w:r>
              <w:rPr>
                <w:rFonts w:ascii="Arial" w:cs="Arial" w:eastAsia="Arial" w:hAnsi="Arial"/>
                <w:sz w:val="15"/>
                <w:szCs w:val="15"/>
                <w:color w:val="auto"/>
              </w:rPr>
              <w:t>List of Subsidiaries</w:t>
            </w: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03"/>
        </w:trPr>
        <w:tc>
          <w:tcPr>
            <w:tcW w:w="3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Subsidiary</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Jurisdiction of Incorporation</w:t>
            </w:r>
          </w:p>
        </w:tc>
        <w:tc>
          <w:tcPr>
            <w:tcW w:w="60" w:type="dxa"/>
            <w:vAlign w:val="bottom"/>
            <w:tcBorders>
              <w:bottom w:val="single" w:sz="8" w:color="CCEEFF"/>
            </w:tcBorders>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Ownership Position</w:t>
            </w:r>
          </w:p>
        </w:tc>
        <w:tc>
          <w:tcPr>
            <w:tcW w:w="40" w:type="dxa"/>
            <w:vAlign w:val="bottom"/>
          </w:tcPr>
          <w:p>
            <w:pPr>
              <w:spacing w:after="0"/>
              <w:rPr>
                <w:sz w:val="24"/>
                <w:szCs w:val="24"/>
                <w:color w:val="auto"/>
              </w:rPr>
            </w:pPr>
          </w:p>
        </w:tc>
      </w:tr>
      <w:tr>
        <w:trPr>
          <w:trHeight w:val="184"/>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Nanoblate Corp., a Delaware Corporation</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6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w w:val="91"/>
              </w:rPr>
              <w:t>Delaware</w:t>
            </w:r>
          </w:p>
        </w:tc>
        <w:tc>
          <w:tcPr>
            <w:tcW w:w="2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100%</w:t>
            </w:r>
          </w:p>
        </w:tc>
        <w:tc>
          <w:tcPr>
            <w:tcW w:w="40" w:type="dxa"/>
            <w:vAlign w:val="bottom"/>
          </w:tcPr>
          <w:p>
            <w:pPr>
              <w:spacing w:after="0"/>
              <w:rPr>
                <w:sz w:val="16"/>
                <w:szCs w:val="16"/>
                <w:color w:val="auto"/>
              </w:rPr>
            </w:pPr>
          </w:p>
        </w:tc>
      </w:tr>
      <w:tr>
        <w:trPr>
          <w:trHeight w:val="207"/>
        </w:trPr>
        <w:tc>
          <w:tcPr>
            <w:tcW w:w="3420" w:type="dxa"/>
            <w:vAlign w:val="bottom"/>
          </w:tcPr>
          <w:p>
            <w:pPr>
              <w:spacing w:after="0"/>
              <w:rPr>
                <w:sz w:val="20"/>
                <w:szCs w:val="20"/>
                <w:color w:val="auto"/>
              </w:rPr>
            </w:pPr>
            <w:r>
              <w:rPr>
                <w:rFonts w:ascii="Arial" w:cs="Arial" w:eastAsia="Arial" w:hAnsi="Arial"/>
                <w:sz w:val="15"/>
                <w:szCs w:val="15"/>
                <w:color w:val="auto"/>
              </w:rPr>
              <w:t>BioElectroMed Corp., a California Corporation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2"/>
          </w:tcPr>
          <w:p>
            <w:pPr>
              <w:jc w:val="center"/>
              <w:ind w:right="60"/>
              <w:spacing w:after="0"/>
              <w:rPr>
                <w:sz w:val="20"/>
                <w:szCs w:val="20"/>
                <w:color w:val="auto"/>
              </w:rPr>
            </w:pPr>
            <w:r>
              <w:rPr>
                <w:rFonts w:ascii="Arial" w:cs="Arial" w:eastAsia="Arial" w:hAnsi="Arial"/>
                <w:sz w:val="15"/>
                <w:szCs w:val="15"/>
                <w:color w:val="auto"/>
                <w:w w:val="97"/>
              </w:rPr>
              <w:t>California</w:t>
            </w:r>
          </w:p>
        </w:tc>
        <w:tc>
          <w:tcPr>
            <w:tcW w:w="2380" w:type="dxa"/>
            <w:vAlign w:val="bottom"/>
          </w:tcPr>
          <w:p>
            <w:pPr>
              <w:jc w:val="center"/>
              <w:spacing w:after="0"/>
              <w:rPr>
                <w:sz w:val="20"/>
                <w:szCs w:val="20"/>
                <w:color w:val="auto"/>
              </w:rPr>
            </w:pPr>
            <w:r>
              <w:rPr>
                <w:rFonts w:ascii="Arial" w:cs="Arial" w:eastAsia="Arial" w:hAnsi="Arial"/>
                <w:sz w:val="15"/>
                <w:szCs w:val="15"/>
                <w:color w:val="auto"/>
                <w:w w:val="88"/>
              </w:rPr>
              <w:t>100%</w:t>
            </w:r>
          </w:p>
        </w:tc>
        <w:tc>
          <w:tcPr>
            <w:tcW w:w="40" w:type="dxa"/>
            <w:vAlign w:val="bottom"/>
          </w:tcPr>
          <w:p>
            <w:pPr>
              <w:spacing w:after="0"/>
              <w:rPr>
                <w:sz w:val="18"/>
                <w:szCs w:val="18"/>
                <w:color w:val="auto"/>
              </w:rPr>
            </w:pPr>
          </w:p>
        </w:tc>
      </w:tr>
      <w:tr>
        <w:trPr>
          <w:trHeight w:val="346"/>
        </w:trPr>
        <w:tc>
          <w:tcPr>
            <w:tcW w:w="3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4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5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3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5753735</wp:posOffset>
            </wp:positionH>
            <wp:positionV relativeFrom="paragraph">
              <wp:posOffset>-13970</wp:posOffset>
            </wp:positionV>
            <wp:extent cx="7620" cy="146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9">
                      <a:extLst>
                        <a:ext uri="{28A0092B-C50C-407E-A947-70E740481C1C}"/>
                      </a:extLst>
                    </a:blip>
                    <a:srcRect/>
                    <a:stretch>
                      <a:fillRect/>
                    </a:stretch>
                  </pic:blipFill>
                  <pic:spPr bwMode="auto">
                    <a:xfrm>
                      <a:off x="0" y="0"/>
                      <a:ext cx="7620" cy="146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-21590</wp:posOffset>
            </wp:positionV>
            <wp:extent cx="7620" cy="222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0">
                      <a:extLst>
                        <a:ext uri="{28A0092B-C50C-407E-A947-70E740481C1C}"/>
                      </a:extLst>
                    </a:blip>
                    <a:srcRect/>
                    <a:stretch>
                      <a:fillRect/>
                    </a:stretch>
                  </pic:blipFill>
                  <pic:spPr bwMode="auto">
                    <a:xfrm>
                      <a:off x="0" y="0"/>
                      <a:ext cx="7620" cy="22225"/>
                    </a:xfrm>
                    <a:prstGeom prst="rect">
                      <a:avLst/>
                    </a:prstGeom>
                    <a:noFill/>
                  </pic:spPr>
                </pic:pic>
              </a:graphicData>
            </a:graphic>
          </wp:anchor>
        </w:drawing>
      </w:r>
    </w:p>
    <w:p>
      <w:pPr>
        <w:sectPr>
          <w:pgSz w:w="11900" w:h="16838" w:orient="portrait"/>
          <w:cols w:equalWidth="0" w:num="1">
            <w:col w:w="9080"/>
          </w:cols>
          <w:pgMar w:left="1420" w:top="118" w:right="1399" w:bottom="1440" w:gutter="0" w:footer="0" w:header="0"/>
        </w:sectPr>
      </w:pPr>
    </w:p>
    <w:bookmarkStart w:id="203" w:name="page204"/>
    <w:bookmarkEnd w:id="203"/>
    <w:p>
      <w:pPr>
        <w:jc w:val="right"/>
        <w:spacing w:after="0"/>
        <w:rPr>
          <w:sz w:val="20"/>
          <w:szCs w:val="20"/>
          <w:color w:val="auto"/>
        </w:rPr>
      </w:pPr>
      <w:r>
        <w:rPr>
          <w:rFonts w:ascii="Arial" w:cs="Arial" w:eastAsia="Arial" w:hAnsi="Arial"/>
          <w:sz w:val="17"/>
          <w:szCs w:val="17"/>
          <w:b w:val="1"/>
          <w:bCs w:val="1"/>
          <w:color w:val="auto"/>
        </w:rPr>
        <w:t>Exhibit 23.1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8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consent to the incorporation by reference in the Registration Statement Nos. 333-246346, 333-237577, 333-227974, 333-224800, 333-219104 and 333-219096 on Form S-3 and Registration Statement Nos. 333-237225, 333-229320, 333-222582, 333-221788, 333-218164, and 333-216897 on Form S-8 of our report dated March 12, 2021, relating to the financial statements of Pulse Biosciences, Inc. appearing in this Annual Report on Form 10-K for the year ended December 31, 2020.</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DELOITTE &amp; TOUCHE LLP</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March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352425</wp:posOffset>
            </wp:positionV>
            <wp:extent cx="5937250" cy="222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1">
                      <a:extLst>
                        <a:ext uri="{28A0092B-C50C-407E-A947-70E740481C1C}"/>
                      </a:extLst>
                    </a:blip>
                    <a:srcRect/>
                    <a:stretch>
                      <a:fillRect/>
                    </a:stretch>
                  </pic:blipFill>
                  <pic:spPr bwMode="auto">
                    <a:xfrm>
                      <a:off x="0" y="0"/>
                      <a:ext cx="5937250" cy="22225"/>
                    </a:xfrm>
                    <a:prstGeom prst="rect">
                      <a:avLst/>
                    </a:prstGeom>
                    <a:noFill/>
                  </pic:spPr>
                </pic:pic>
              </a:graphicData>
            </a:graphic>
          </wp:anchor>
        </w:drawing>
      </w:r>
    </w:p>
    <w:p>
      <w:pPr>
        <w:sectPr>
          <w:pgSz w:w="11900" w:h="16838" w:orient="portrait"/>
          <w:cols w:equalWidth="0" w:num="1">
            <w:col w:w="9320"/>
          </w:cols>
          <w:pgMar w:left="1420" w:top="120" w:right="1159" w:bottom="1440" w:gutter="0" w:footer="0" w:header="0"/>
        </w:sectPr>
      </w:pPr>
    </w:p>
    <w:bookmarkStart w:id="204" w:name="page205"/>
    <w:bookmarkEnd w:id="204"/>
    <w:p>
      <w:pPr>
        <w:jc w:val="right"/>
        <w:spacing w:after="0"/>
        <w:rPr>
          <w:sz w:val="20"/>
          <w:szCs w:val="20"/>
          <w:color w:val="auto"/>
        </w:rPr>
      </w:pPr>
      <w:r>
        <w:rPr>
          <w:rFonts w:ascii="Arial" w:cs="Arial" w:eastAsia="Arial" w:hAnsi="Arial"/>
          <w:sz w:val="15"/>
          <w:szCs w:val="15"/>
          <w:b w:val="1"/>
          <w:bCs w:val="1"/>
          <w:color w:val="auto"/>
        </w:rPr>
        <w:t>Exhibit 31.1</w:t>
      </w:r>
    </w:p>
    <w:p>
      <w:pPr>
        <w:spacing w:after="0" w:line="118" w:lineRule="exact"/>
        <w:rPr>
          <w:sz w:val="20"/>
          <w:szCs w:val="20"/>
          <w:color w:val="auto"/>
        </w:rPr>
      </w:pPr>
    </w:p>
    <w:p>
      <w:pPr>
        <w:jc w:val="center"/>
        <w:spacing w:after="0" w:line="231" w:lineRule="auto"/>
        <w:rPr>
          <w:sz w:val="20"/>
          <w:szCs w:val="20"/>
          <w:color w:val="auto"/>
        </w:rPr>
      </w:pPr>
      <w:r>
        <w:rPr>
          <w:rFonts w:ascii="Arial" w:cs="Arial" w:eastAsia="Arial" w:hAnsi="Arial"/>
          <w:sz w:val="15"/>
          <w:szCs w:val="15"/>
          <w:b w:val="1"/>
          <w:bCs w:val="1"/>
          <w:color w:val="auto"/>
        </w:rPr>
        <w:t>CERTIFICATION OF CHIEF EXECUTIVE OFFICER PURSUANT TO SECURITIES EXCHANGE ACT RULES 13a-14(a) and 15d-14(a), AS ADOPTED PURSUANT TO SECTION 302 OF THE SARBANES-OXLEY ACT OF 2002</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I, Darrin R. Uecker, certify that:</w:t>
      </w:r>
    </w:p>
    <w:p>
      <w:pPr>
        <w:spacing w:after="0" w:line="104" w:lineRule="exact"/>
        <w:rPr>
          <w:sz w:val="20"/>
          <w:szCs w:val="20"/>
          <w:color w:val="auto"/>
        </w:rPr>
      </w:pPr>
    </w:p>
    <w:p>
      <w:pPr>
        <w:ind w:left="280" w:hanging="278"/>
        <w:spacing w:after="0"/>
        <w:tabs>
          <w:tab w:leader="none" w:pos="28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Pulse Biosciences, Inc.;</w:t>
      </w:r>
    </w:p>
    <w:p>
      <w:pPr>
        <w:spacing w:after="0" w:line="104" w:lineRule="exact"/>
        <w:rPr>
          <w:rFonts w:ascii="Arial" w:cs="Arial" w:eastAsia="Arial" w:hAnsi="Arial"/>
          <w:sz w:val="15"/>
          <w:szCs w:val="15"/>
          <w:color w:val="auto"/>
        </w:rPr>
      </w:pPr>
    </w:p>
    <w:p>
      <w:pPr>
        <w:jc w:val="both"/>
        <w:ind w:left="280" w:right="380" w:hanging="278"/>
        <w:spacing w:after="0" w:line="229" w:lineRule="auto"/>
        <w:tabs>
          <w:tab w:leader="none" w:pos="28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5"/>
          <w:szCs w:val="15"/>
          <w:color w:val="auto"/>
        </w:rPr>
      </w:pPr>
    </w:p>
    <w:p>
      <w:pPr>
        <w:ind w:left="280" w:right="360" w:hanging="278"/>
        <w:spacing w:after="0" w:line="274" w:lineRule="auto"/>
        <w:tabs>
          <w:tab w:leader="none" w:pos="28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Arial" w:cs="Arial" w:eastAsia="Arial" w:hAnsi="Arial"/>
          <w:sz w:val="14"/>
          <w:szCs w:val="14"/>
          <w:color w:val="auto"/>
        </w:rPr>
      </w:pPr>
    </w:p>
    <w:p>
      <w:pPr>
        <w:ind w:left="280" w:right="20" w:hanging="278"/>
        <w:spacing w:after="0" w:line="229" w:lineRule="auto"/>
        <w:tabs>
          <w:tab w:leader="none" w:pos="28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5"/>
          <w:szCs w:val="15"/>
          <w:color w:val="auto"/>
        </w:rPr>
      </w:pPr>
    </w:p>
    <w:p>
      <w:pPr>
        <w:ind w:left="560" w:right="320" w:hanging="281"/>
        <w:spacing w:after="0" w:line="229" w:lineRule="auto"/>
        <w:tabs>
          <w:tab w:leader="none" w:pos="560" w:val="left"/>
        </w:tabs>
        <w:numPr>
          <w:ilvl w:val="1"/>
          <w:numId w:val="15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5"/>
          <w:szCs w:val="15"/>
          <w:color w:val="auto"/>
        </w:rPr>
      </w:pPr>
    </w:p>
    <w:p>
      <w:pPr>
        <w:ind w:left="560" w:right="60" w:hanging="281"/>
        <w:spacing w:after="0" w:line="229" w:lineRule="auto"/>
        <w:tabs>
          <w:tab w:leader="none" w:pos="560" w:val="left"/>
        </w:tabs>
        <w:numPr>
          <w:ilvl w:val="1"/>
          <w:numId w:val="150"/>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5"/>
          <w:szCs w:val="15"/>
          <w:color w:val="auto"/>
        </w:rPr>
      </w:pPr>
    </w:p>
    <w:p>
      <w:pPr>
        <w:jc w:val="both"/>
        <w:ind w:left="560" w:right="740" w:hanging="281"/>
        <w:spacing w:after="0" w:line="313" w:lineRule="auto"/>
        <w:tabs>
          <w:tab w:leader="none" w:pos="560" w:val="left"/>
        </w:tabs>
        <w:numPr>
          <w:ilvl w:val="1"/>
          <w:numId w:val="15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Arial" w:cs="Arial" w:eastAsia="Arial" w:hAnsi="Arial"/>
          <w:sz w:val="13"/>
          <w:szCs w:val="13"/>
          <w:color w:val="auto"/>
        </w:rPr>
      </w:pPr>
    </w:p>
    <w:p>
      <w:pPr>
        <w:ind w:left="560" w:right="80" w:hanging="281"/>
        <w:spacing w:after="0" w:line="229" w:lineRule="auto"/>
        <w:tabs>
          <w:tab w:leader="none" w:pos="560" w:val="left"/>
        </w:tabs>
        <w:numPr>
          <w:ilvl w:val="1"/>
          <w:numId w:val="15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5"/>
          <w:szCs w:val="15"/>
          <w:color w:val="auto"/>
        </w:rPr>
      </w:pPr>
    </w:p>
    <w:p>
      <w:pPr>
        <w:ind w:left="280" w:right="280" w:hanging="278"/>
        <w:spacing w:after="0" w:line="274" w:lineRule="auto"/>
        <w:tabs>
          <w:tab w:leader="none" w:pos="28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4"/>
          <w:szCs w:val="14"/>
          <w:color w:val="auto"/>
        </w:rPr>
      </w:pPr>
    </w:p>
    <w:p>
      <w:pPr>
        <w:ind w:left="560" w:right="240" w:hanging="281"/>
        <w:spacing w:after="0" w:line="239" w:lineRule="auto"/>
        <w:tabs>
          <w:tab w:leader="none" w:pos="560" w:val="left"/>
        </w:tabs>
        <w:numPr>
          <w:ilvl w:val="1"/>
          <w:numId w:val="15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sz w:val="20"/>
          <w:szCs w:val="20"/>
          <w:color w:val="auto"/>
        </w:rPr>
      </w:pPr>
    </w:p>
    <w:p>
      <w:pPr>
        <w:ind w:left="560" w:right="200" w:hanging="281"/>
        <w:spacing w:after="0" w:line="239" w:lineRule="auto"/>
        <w:tabs>
          <w:tab w:leader="none" w:pos="56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4720" w:right="3160" w:hanging="5199"/>
        <w:spacing w:after="0" w:line="224" w:lineRule="auto"/>
        <w:tabs>
          <w:tab w:leader="none" w:pos="4700" w:val="left"/>
        </w:tabs>
        <w:rPr>
          <w:sz w:val="20"/>
          <w:szCs w:val="20"/>
          <w:color w:val="auto"/>
        </w:rPr>
      </w:pPr>
      <w:r>
        <w:rPr>
          <w:rFonts w:ascii="Arial" w:cs="Arial" w:eastAsia="Arial" w:hAnsi="Arial"/>
          <w:sz w:val="15"/>
          <w:szCs w:val="15"/>
          <w:color w:val="auto"/>
        </w:rPr>
        <w:t>Date: March 12, 2021</w:t>
      </w:r>
      <w:r>
        <w:rPr>
          <w:sz w:val="20"/>
          <w:szCs w:val="20"/>
          <w:color w:val="auto"/>
        </w:rPr>
        <w:tab/>
      </w:r>
      <w:r>
        <w:rPr>
          <w:rFonts w:ascii="Arial" w:cs="Arial" w:eastAsia="Arial" w:hAnsi="Arial"/>
          <w:sz w:val="15"/>
          <w:szCs w:val="15"/>
          <w:color w:val="auto"/>
        </w:rPr>
        <w:t>By: /s/ Darrin R. Uecker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-94615</wp:posOffset>
            </wp:positionV>
            <wp:extent cx="2752725"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2">
                      <a:extLst>
                        <a:ext uri="{28A0092B-C50C-407E-A947-70E740481C1C}"/>
                      </a:extLst>
                    </a:blip>
                    <a:srcRect/>
                    <a:stretch>
                      <a:fillRect/>
                    </a:stretch>
                  </pic:blipFill>
                  <pic:spPr bwMode="auto">
                    <a:xfrm>
                      <a:off x="0" y="0"/>
                      <a:ext cx="2752725" cy="7620"/>
                    </a:xfrm>
                    <a:prstGeom prst="rect">
                      <a:avLst/>
                    </a:prstGeom>
                    <a:noFill/>
                  </pic:spPr>
                </pic:pic>
              </a:graphicData>
            </a:graphic>
          </wp:anchor>
        </w:drawing>
      </w:r>
    </w:p>
    <w:p>
      <w:pPr>
        <w:ind w:left="5200"/>
        <w:spacing w:after="0" w:line="210" w:lineRule="auto"/>
        <w:rPr>
          <w:sz w:val="20"/>
          <w:szCs w:val="20"/>
          <w:color w:val="auto"/>
        </w:rPr>
      </w:pPr>
      <w:r>
        <w:rPr>
          <w:rFonts w:ascii="Arial" w:cs="Arial" w:eastAsia="Arial" w:hAnsi="Arial"/>
          <w:sz w:val="15"/>
          <w:szCs w:val="15"/>
          <w:color w:val="auto"/>
        </w:rPr>
        <w:t>President and Chief Executive Officer</w:t>
      </w:r>
    </w:p>
    <w:p>
      <w:pPr>
        <w:ind w:left="5200"/>
        <w:spacing w:after="0"/>
        <w:rPr>
          <w:sz w:val="20"/>
          <w:szCs w:val="20"/>
          <w:color w:val="auto"/>
        </w:rPr>
      </w:pPr>
      <w:r>
        <w:rPr>
          <w:rFonts w:ascii="Arial" w:cs="Arial" w:eastAsia="Arial" w:hAnsi="Arial"/>
          <w:sz w:val="15"/>
          <w:szCs w:val="15"/>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299720</wp:posOffset>
            </wp:positionV>
            <wp:extent cx="6112510" cy="222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3">
                      <a:extLst>
                        <a:ext uri="{28A0092B-C50C-407E-A947-70E740481C1C}"/>
                      </a:extLst>
                    </a:blip>
                    <a:srcRect/>
                    <a:stretch>
                      <a:fillRect/>
                    </a:stretch>
                  </pic:blipFill>
                  <pic:spPr bwMode="auto">
                    <a:xfrm>
                      <a:off x="0" y="0"/>
                      <a:ext cx="6112510" cy="22225"/>
                    </a:xfrm>
                    <a:prstGeom prst="rect">
                      <a:avLst/>
                    </a:prstGeom>
                    <a:noFill/>
                  </pic:spPr>
                </pic:pic>
              </a:graphicData>
            </a:graphic>
          </wp:anchor>
        </w:drawing>
      </w:r>
    </w:p>
    <w:p>
      <w:pPr>
        <w:sectPr>
          <w:pgSz w:w="11900" w:h="16838" w:orient="portrait"/>
          <w:cols w:equalWidth="0" w:num="1">
            <w:col w:w="9600"/>
          </w:cols>
          <w:pgMar w:left="1140" w:top="112" w:right="1159" w:bottom="1440" w:gutter="0" w:footer="0" w:header="0"/>
        </w:sectPr>
      </w:pPr>
    </w:p>
    <w:bookmarkStart w:id="205" w:name="page206"/>
    <w:bookmarkEnd w:id="205"/>
    <w:p>
      <w:pPr>
        <w:jc w:val="right"/>
        <w:spacing w:after="0"/>
        <w:rPr>
          <w:sz w:val="20"/>
          <w:szCs w:val="20"/>
          <w:color w:val="auto"/>
        </w:rPr>
      </w:pPr>
      <w:r>
        <w:rPr>
          <w:rFonts w:ascii="Arial" w:cs="Arial" w:eastAsia="Arial" w:hAnsi="Arial"/>
          <w:sz w:val="15"/>
          <w:szCs w:val="15"/>
          <w:b w:val="1"/>
          <w:bCs w:val="1"/>
          <w:color w:val="auto"/>
        </w:rPr>
        <w:t>Exhibit 31.2</w:t>
      </w:r>
    </w:p>
    <w:p>
      <w:pPr>
        <w:spacing w:after="0" w:line="116" w:lineRule="exact"/>
        <w:rPr>
          <w:sz w:val="20"/>
          <w:szCs w:val="20"/>
          <w:color w:val="auto"/>
        </w:rPr>
      </w:pPr>
    </w:p>
    <w:p>
      <w:pPr>
        <w:jc w:val="center"/>
        <w:spacing w:after="0" w:line="231" w:lineRule="auto"/>
        <w:rPr>
          <w:sz w:val="20"/>
          <w:szCs w:val="20"/>
          <w:color w:val="auto"/>
        </w:rPr>
      </w:pPr>
      <w:r>
        <w:rPr>
          <w:rFonts w:ascii="Arial" w:cs="Arial" w:eastAsia="Arial" w:hAnsi="Arial"/>
          <w:sz w:val="15"/>
          <w:szCs w:val="15"/>
          <w:b w:val="1"/>
          <w:bCs w:val="1"/>
          <w:color w:val="auto"/>
        </w:rPr>
        <w:t>CERTIFICATION OF CHIEF FINANCIAL OFFICER PURSUANT TO SECURITIES EXCHANGE ACT RULES 13a-14(a) and 15d-14(a), AS ADOPTED PURSUANT TO SECTION 302 OF THE SARBANES-OXLEY ACT OF 2002</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I, Sandra Gardiner, certify that:</w:t>
      </w:r>
    </w:p>
    <w:p>
      <w:pPr>
        <w:spacing w:after="0" w:line="104" w:lineRule="exact"/>
        <w:rPr>
          <w:sz w:val="20"/>
          <w:szCs w:val="20"/>
          <w:color w:val="auto"/>
        </w:rPr>
      </w:pPr>
    </w:p>
    <w:p>
      <w:pPr>
        <w:ind w:left="280" w:hanging="278"/>
        <w:spacing w:after="0"/>
        <w:tabs>
          <w:tab w:leader="none" w:pos="28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Pulse Biosciences, Inc.;</w:t>
      </w:r>
    </w:p>
    <w:p>
      <w:pPr>
        <w:spacing w:after="0" w:line="104" w:lineRule="exact"/>
        <w:rPr>
          <w:rFonts w:ascii="Arial" w:cs="Arial" w:eastAsia="Arial" w:hAnsi="Arial"/>
          <w:sz w:val="15"/>
          <w:szCs w:val="15"/>
          <w:color w:val="auto"/>
        </w:rPr>
      </w:pPr>
    </w:p>
    <w:p>
      <w:pPr>
        <w:jc w:val="both"/>
        <w:ind w:left="280" w:right="380" w:hanging="278"/>
        <w:spacing w:after="0" w:line="229" w:lineRule="auto"/>
        <w:tabs>
          <w:tab w:leader="none" w:pos="28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5"/>
          <w:szCs w:val="15"/>
          <w:color w:val="auto"/>
        </w:rPr>
      </w:pPr>
    </w:p>
    <w:p>
      <w:pPr>
        <w:ind w:left="280" w:right="360" w:hanging="278"/>
        <w:spacing w:after="0" w:line="274" w:lineRule="auto"/>
        <w:tabs>
          <w:tab w:leader="none" w:pos="28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Arial" w:cs="Arial" w:eastAsia="Arial" w:hAnsi="Arial"/>
          <w:sz w:val="14"/>
          <w:szCs w:val="14"/>
          <w:color w:val="auto"/>
        </w:rPr>
      </w:pPr>
    </w:p>
    <w:p>
      <w:pPr>
        <w:ind w:left="280" w:right="20" w:hanging="278"/>
        <w:spacing w:after="0" w:line="229" w:lineRule="auto"/>
        <w:tabs>
          <w:tab w:leader="none" w:pos="28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5"/>
          <w:szCs w:val="15"/>
          <w:color w:val="auto"/>
        </w:rPr>
      </w:pPr>
    </w:p>
    <w:p>
      <w:pPr>
        <w:ind w:left="560" w:right="320" w:hanging="281"/>
        <w:spacing w:after="0" w:line="229" w:lineRule="auto"/>
        <w:tabs>
          <w:tab w:leader="none" w:pos="56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5"/>
          <w:szCs w:val="15"/>
          <w:color w:val="auto"/>
        </w:rPr>
      </w:pPr>
    </w:p>
    <w:p>
      <w:pPr>
        <w:ind w:left="560" w:right="60" w:hanging="281"/>
        <w:spacing w:after="0" w:line="229" w:lineRule="auto"/>
        <w:tabs>
          <w:tab w:leader="none" w:pos="56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5"/>
          <w:szCs w:val="15"/>
          <w:color w:val="auto"/>
        </w:rPr>
      </w:pPr>
    </w:p>
    <w:p>
      <w:pPr>
        <w:jc w:val="both"/>
        <w:ind w:left="560" w:right="740" w:hanging="281"/>
        <w:spacing w:after="0" w:line="313" w:lineRule="auto"/>
        <w:tabs>
          <w:tab w:leader="none" w:pos="560" w:val="left"/>
        </w:tabs>
        <w:numPr>
          <w:ilvl w:val="1"/>
          <w:numId w:val="15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Arial" w:cs="Arial" w:eastAsia="Arial" w:hAnsi="Arial"/>
          <w:sz w:val="13"/>
          <w:szCs w:val="13"/>
          <w:color w:val="auto"/>
        </w:rPr>
      </w:pPr>
    </w:p>
    <w:p>
      <w:pPr>
        <w:ind w:left="560" w:right="80" w:hanging="281"/>
        <w:spacing w:after="0" w:line="229" w:lineRule="auto"/>
        <w:tabs>
          <w:tab w:leader="none" w:pos="56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5"/>
          <w:szCs w:val="15"/>
          <w:color w:val="auto"/>
        </w:rPr>
      </w:pPr>
    </w:p>
    <w:p>
      <w:pPr>
        <w:ind w:left="280" w:right="280" w:hanging="278"/>
        <w:spacing w:after="0" w:line="274" w:lineRule="auto"/>
        <w:tabs>
          <w:tab w:leader="none" w:pos="28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4"/>
          <w:szCs w:val="14"/>
          <w:color w:val="auto"/>
        </w:rPr>
      </w:pPr>
    </w:p>
    <w:p>
      <w:pPr>
        <w:ind w:left="560" w:right="240" w:hanging="281"/>
        <w:spacing w:after="0" w:line="239" w:lineRule="auto"/>
        <w:tabs>
          <w:tab w:leader="none" w:pos="56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5"/>
          <w:szCs w:val="15"/>
          <w:color w:val="auto"/>
        </w:rPr>
      </w:pPr>
    </w:p>
    <w:p>
      <w:pPr>
        <w:ind w:left="560" w:right="200" w:hanging="281"/>
        <w:spacing w:after="0" w:line="239" w:lineRule="auto"/>
        <w:tabs>
          <w:tab w:leader="none" w:pos="56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4720" w:right="3200" w:hanging="5199"/>
        <w:spacing w:after="0" w:line="224" w:lineRule="auto"/>
        <w:tabs>
          <w:tab w:leader="none" w:pos="4700" w:val="left"/>
        </w:tabs>
        <w:rPr>
          <w:sz w:val="20"/>
          <w:szCs w:val="20"/>
          <w:color w:val="auto"/>
        </w:rPr>
      </w:pPr>
      <w:r>
        <w:rPr>
          <w:rFonts w:ascii="Arial" w:cs="Arial" w:eastAsia="Arial" w:hAnsi="Arial"/>
          <w:sz w:val="15"/>
          <w:szCs w:val="15"/>
          <w:color w:val="auto"/>
        </w:rPr>
        <w:t>Date: March 12, 2021</w:t>
      </w:r>
      <w:r>
        <w:rPr>
          <w:sz w:val="20"/>
          <w:szCs w:val="20"/>
          <w:color w:val="auto"/>
        </w:rPr>
        <w:tab/>
      </w:r>
      <w:r>
        <w:rPr>
          <w:rFonts w:ascii="Arial" w:cs="Arial" w:eastAsia="Arial" w:hAnsi="Arial"/>
          <w:sz w:val="15"/>
          <w:szCs w:val="15"/>
          <w:color w:val="auto"/>
        </w:rPr>
        <w:t>By: /s/ Sandra Gardiner Sandra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-94615</wp:posOffset>
            </wp:positionV>
            <wp:extent cx="275272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4">
                      <a:extLst>
                        <a:ext uri="{28A0092B-C50C-407E-A947-70E740481C1C}"/>
                      </a:extLst>
                    </a:blip>
                    <a:srcRect/>
                    <a:stretch>
                      <a:fillRect/>
                    </a:stretch>
                  </pic:blipFill>
                  <pic:spPr bwMode="auto">
                    <a:xfrm>
                      <a:off x="0" y="0"/>
                      <a:ext cx="2752725" cy="7620"/>
                    </a:xfrm>
                    <a:prstGeom prst="rect">
                      <a:avLst/>
                    </a:prstGeom>
                    <a:noFill/>
                  </pic:spPr>
                </pic:pic>
              </a:graphicData>
            </a:graphic>
          </wp:anchor>
        </w:drawing>
      </w:r>
    </w:p>
    <w:p>
      <w:pPr>
        <w:ind w:left="5200"/>
        <w:spacing w:after="0" w:line="210" w:lineRule="auto"/>
        <w:rPr>
          <w:sz w:val="20"/>
          <w:szCs w:val="20"/>
          <w:color w:val="auto"/>
        </w:rPr>
      </w:pPr>
      <w:r>
        <w:rPr>
          <w:rFonts w:ascii="Arial" w:cs="Arial" w:eastAsia="Arial" w:hAnsi="Arial"/>
          <w:sz w:val="15"/>
          <w:szCs w:val="15"/>
          <w:color w:val="auto"/>
        </w:rPr>
        <w:t>Chief Financial Officer, Executive Vice President of Finance and</w:t>
      </w:r>
    </w:p>
    <w:p>
      <w:pPr>
        <w:ind w:left="5200"/>
        <w:spacing w:after="0" w:line="208" w:lineRule="auto"/>
        <w:rPr>
          <w:sz w:val="20"/>
          <w:szCs w:val="20"/>
          <w:color w:val="auto"/>
        </w:rPr>
      </w:pPr>
      <w:r>
        <w:rPr>
          <w:rFonts w:ascii="Arial" w:cs="Arial" w:eastAsia="Arial" w:hAnsi="Arial"/>
          <w:sz w:val="15"/>
          <w:szCs w:val="15"/>
          <w:color w:val="auto"/>
        </w:rPr>
        <w:t>Administration, Secretary and Treasurer</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299720</wp:posOffset>
            </wp:positionV>
            <wp:extent cx="6112510" cy="222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5">
                      <a:extLst>
                        <a:ext uri="{28A0092B-C50C-407E-A947-70E740481C1C}"/>
                      </a:extLst>
                    </a:blip>
                    <a:srcRect/>
                    <a:stretch>
                      <a:fillRect/>
                    </a:stretch>
                  </pic:blipFill>
                  <pic:spPr bwMode="auto">
                    <a:xfrm>
                      <a:off x="0" y="0"/>
                      <a:ext cx="6112510" cy="22225"/>
                    </a:xfrm>
                    <a:prstGeom prst="rect">
                      <a:avLst/>
                    </a:prstGeom>
                    <a:noFill/>
                  </pic:spPr>
                </pic:pic>
              </a:graphicData>
            </a:graphic>
          </wp:anchor>
        </w:drawing>
      </w:r>
    </w:p>
    <w:p>
      <w:pPr>
        <w:sectPr>
          <w:pgSz w:w="11900" w:h="16838" w:orient="portrait"/>
          <w:cols w:equalWidth="0" w:num="1">
            <w:col w:w="9600"/>
          </w:cols>
          <w:pgMar w:left="1140" w:top="114" w:right="1159" w:bottom="1440" w:gutter="0" w:footer="0" w:header="0"/>
        </w:sectPr>
      </w:pPr>
    </w:p>
    <w:bookmarkStart w:id="206" w:name="page207"/>
    <w:bookmarkEnd w:id="206"/>
    <w:p>
      <w:pPr>
        <w:jc w:val="right"/>
        <w:spacing w:after="0"/>
        <w:rPr>
          <w:sz w:val="20"/>
          <w:szCs w:val="20"/>
          <w:color w:val="auto"/>
        </w:rPr>
      </w:pPr>
      <w:r>
        <w:rPr>
          <w:rFonts w:ascii="Arial" w:cs="Arial" w:eastAsia="Arial" w:hAnsi="Arial"/>
          <w:sz w:val="15"/>
          <w:szCs w:val="15"/>
          <w:b w:val="1"/>
          <w:bCs w:val="1"/>
          <w:color w:val="auto"/>
        </w:rPr>
        <w:t>Exhibit 32.1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 PURSUANT TO</w:t>
      </w:r>
    </w:p>
    <w:p>
      <w:pPr>
        <w:ind w:left="2860"/>
        <w:spacing w:after="0" w:line="208" w:lineRule="auto"/>
        <w:rPr>
          <w:sz w:val="20"/>
          <w:szCs w:val="20"/>
          <w:color w:val="auto"/>
        </w:rPr>
      </w:pPr>
      <w:r>
        <w:rPr>
          <w:rFonts w:ascii="Arial" w:cs="Arial" w:eastAsia="Arial" w:hAnsi="Arial"/>
          <w:sz w:val="15"/>
          <w:szCs w:val="15"/>
          <w:b w:val="1"/>
          <w:bCs w:val="1"/>
          <w:color w:val="auto"/>
        </w:rPr>
        <w:t>18 U.S.C. SECTION 1350, AS ADOPTED PURSUANT TO</w:t>
      </w:r>
    </w:p>
    <w:p>
      <w:pPr>
        <w:ind w:left="2800"/>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50" w:lineRule="exact"/>
        <w:rPr>
          <w:sz w:val="20"/>
          <w:szCs w:val="20"/>
          <w:color w:val="auto"/>
        </w:rPr>
      </w:pPr>
    </w:p>
    <w:p>
      <w:pPr>
        <w:ind w:firstLine="377"/>
        <w:spacing w:after="0" w:line="229" w:lineRule="auto"/>
        <w:rPr>
          <w:sz w:val="20"/>
          <w:szCs w:val="20"/>
          <w:color w:val="auto"/>
        </w:rPr>
      </w:pPr>
      <w:r>
        <w:rPr>
          <w:rFonts w:ascii="Arial" w:cs="Arial" w:eastAsia="Arial" w:hAnsi="Arial"/>
          <w:sz w:val="15"/>
          <w:szCs w:val="15"/>
          <w:color w:val="auto"/>
        </w:rPr>
        <w:t>In connection with the Annual Report of Pulse Biosciences, Inc. (the “Company”) on Form 10-K for the fiscal year ended December 31, 2020 as filed with the Securities and Exchange Commission on the date hereof (the “Report”), each of the undersigned certify, pursuant to 18 U.S.C. Section 1350, as adopted pursuant to Section 906 of the Sarbanes-Oxley Act of 2002, that to the best of his knowledge:</w:t>
      </w:r>
    </w:p>
    <w:p>
      <w:pPr>
        <w:spacing w:after="0" w:line="37" w:lineRule="exact"/>
        <w:rPr>
          <w:sz w:val="20"/>
          <w:szCs w:val="20"/>
          <w:color w:val="auto"/>
        </w:rPr>
      </w:pPr>
    </w:p>
    <w:p>
      <w:pPr>
        <w:ind w:left="600" w:hanging="221"/>
        <w:spacing w:after="0"/>
        <w:tabs>
          <w:tab w:leader="none" w:pos="60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61" w:lineRule="exact"/>
        <w:rPr>
          <w:rFonts w:ascii="Arial" w:cs="Arial" w:eastAsia="Arial" w:hAnsi="Arial"/>
          <w:sz w:val="15"/>
          <w:szCs w:val="15"/>
          <w:color w:val="auto"/>
        </w:rPr>
      </w:pPr>
    </w:p>
    <w:p>
      <w:pPr>
        <w:ind w:left="600" w:hanging="221"/>
        <w:spacing w:after="0"/>
        <w:tabs>
          <w:tab w:leader="none" w:pos="60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5200" w:right="3160" w:hanging="5199"/>
        <w:spacing w:after="0"/>
        <w:tabs>
          <w:tab w:leader="none" w:pos="5180" w:val="left"/>
        </w:tabs>
        <w:rPr>
          <w:sz w:val="20"/>
          <w:szCs w:val="20"/>
          <w:color w:val="auto"/>
        </w:rPr>
      </w:pPr>
      <w:r>
        <w:rPr>
          <w:rFonts w:ascii="Arial" w:cs="Arial" w:eastAsia="Arial" w:hAnsi="Arial"/>
          <w:sz w:val="15"/>
          <w:szCs w:val="15"/>
          <w:color w:val="auto"/>
        </w:rPr>
        <w:t>Date: March 12, 2021</w:t>
      </w:r>
      <w:r>
        <w:rPr>
          <w:sz w:val="20"/>
          <w:szCs w:val="20"/>
          <w:color w:val="auto"/>
        </w:rPr>
        <w:tab/>
      </w:r>
      <w:r>
        <w:rPr>
          <w:rFonts w:ascii="Arial" w:cs="Arial" w:eastAsia="Arial" w:hAnsi="Arial"/>
          <w:sz w:val="14"/>
          <w:szCs w:val="14"/>
          <w:color w:val="auto"/>
        </w:rPr>
        <w:t>/s/ Darrin R. Uecker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-94615</wp:posOffset>
            </wp:positionV>
            <wp:extent cx="275272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6">
                      <a:extLst>
                        <a:ext uri="{28A0092B-C50C-407E-A947-70E740481C1C}"/>
                      </a:extLst>
                    </a:blip>
                    <a:srcRect/>
                    <a:stretch>
                      <a:fillRect/>
                    </a:stretch>
                  </pic:blipFill>
                  <pic:spPr bwMode="auto">
                    <a:xfrm>
                      <a:off x="0" y="0"/>
                      <a:ext cx="2752725" cy="7620"/>
                    </a:xfrm>
                    <a:prstGeom prst="rect">
                      <a:avLst/>
                    </a:prstGeom>
                    <a:noFill/>
                  </pic:spPr>
                </pic:pic>
              </a:graphicData>
            </a:graphic>
          </wp:anchor>
        </w:drawing>
      </w:r>
    </w:p>
    <w:p>
      <w:pPr>
        <w:ind w:left="5200"/>
        <w:spacing w:after="0" w:line="210" w:lineRule="auto"/>
        <w:rPr>
          <w:sz w:val="20"/>
          <w:szCs w:val="20"/>
          <w:color w:val="auto"/>
        </w:rPr>
      </w:pPr>
      <w:r>
        <w:rPr>
          <w:rFonts w:ascii="Arial" w:cs="Arial" w:eastAsia="Arial" w:hAnsi="Arial"/>
          <w:sz w:val="15"/>
          <w:szCs w:val="15"/>
          <w:color w:val="auto"/>
        </w:rPr>
        <w:t>President and Chief Executive Officer</w:t>
      </w:r>
    </w:p>
    <w:p>
      <w:pPr>
        <w:ind w:left="5200"/>
        <w:spacing w:after="0"/>
        <w:rPr>
          <w:sz w:val="20"/>
          <w:szCs w:val="20"/>
          <w:color w:val="auto"/>
        </w:rPr>
      </w:pPr>
      <w:r>
        <w:rPr>
          <w:rFonts w:ascii="Arial" w:cs="Arial" w:eastAsia="Arial" w:hAnsi="Arial"/>
          <w:sz w:val="15"/>
          <w:szCs w:val="15"/>
          <w:color w:val="auto"/>
        </w:rPr>
        <w:t>(Principal Executive Officer)</w:t>
      </w:r>
    </w:p>
    <w:p>
      <w:pPr>
        <w:spacing w:after="0" w:line="127"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/s/ Sandra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0</wp:posOffset>
            </wp:positionV>
            <wp:extent cx="2752725"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7">
                      <a:extLst>
                        <a:ext uri="{28A0092B-C50C-407E-A947-70E740481C1C}"/>
                      </a:extLst>
                    </a:blip>
                    <a:srcRect/>
                    <a:stretch>
                      <a:fillRect/>
                    </a:stretch>
                  </pic:blipFill>
                  <pic:spPr bwMode="auto">
                    <a:xfrm>
                      <a:off x="0" y="0"/>
                      <a:ext cx="2752725" cy="7620"/>
                    </a:xfrm>
                    <a:prstGeom prst="rect">
                      <a:avLst/>
                    </a:prstGeom>
                    <a:noFill/>
                  </pic:spPr>
                </pic:pic>
              </a:graphicData>
            </a:graphic>
          </wp:anchor>
        </w:drawing>
      </w:r>
    </w:p>
    <w:p>
      <w:pPr>
        <w:ind w:left="5200"/>
        <w:spacing w:after="0" w:line="209" w:lineRule="auto"/>
        <w:rPr>
          <w:sz w:val="20"/>
          <w:szCs w:val="20"/>
          <w:color w:val="auto"/>
        </w:rPr>
      </w:pPr>
      <w:r>
        <w:rPr>
          <w:rFonts w:ascii="Arial" w:cs="Arial" w:eastAsia="Arial" w:hAnsi="Arial"/>
          <w:sz w:val="15"/>
          <w:szCs w:val="15"/>
          <w:color w:val="auto"/>
        </w:rPr>
        <w:t>Sandra Gardiner</w:t>
      </w:r>
    </w:p>
    <w:p>
      <w:pPr>
        <w:ind w:left="5200"/>
        <w:spacing w:after="0" w:line="209" w:lineRule="auto"/>
        <w:rPr>
          <w:sz w:val="20"/>
          <w:szCs w:val="20"/>
          <w:color w:val="auto"/>
        </w:rPr>
      </w:pPr>
      <w:r>
        <w:rPr>
          <w:rFonts w:ascii="Arial" w:cs="Arial" w:eastAsia="Arial" w:hAnsi="Arial"/>
          <w:sz w:val="15"/>
          <w:szCs w:val="15"/>
          <w:color w:val="auto"/>
        </w:rPr>
        <w:t>Chief Financial Officer, Executive Vice President of Finance and</w:t>
      </w:r>
    </w:p>
    <w:p>
      <w:pPr>
        <w:ind w:left="5200"/>
        <w:spacing w:after="0" w:line="208" w:lineRule="auto"/>
        <w:rPr>
          <w:sz w:val="20"/>
          <w:szCs w:val="20"/>
          <w:color w:val="auto"/>
        </w:rPr>
      </w:pPr>
      <w:r>
        <w:rPr>
          <w:rFonts w:ascii="Arial" w:cs="Arial" w:eastAsia="Arial" w:hAnsi="Arial"/>
          <w:sz w:val="15"/>
          <w:szCs w:val="15"/>
          <w:color w:val="auto"/>
        </w:rPr>
        <w:t>Administration, Secretary and Treasurer</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(Principal Financial and Accounting Officer)</w:t>
      </w:r>
    </w:p>
    <w:p>
      <w:pPr>
        <w:spacing w:after="0" w:line="300" w:lineRule="exact"/>
        <w:rPr>
          <w:sz w:val="20"/>
          <w:szCs w:val="20"/>
          <w:color w:val="auto"/>
        </w:rPr>
      </w:pPr>
    </w:p>
    <w:p>
      <w:pPr>
        <w:ind w:right="40" w:firstLine="377"/>
        <w:spacing w:after="0" w:line="229" w:lineRule="auto"/>
        <w:rPr>
          <w:sz w:val="20"/>
          <w:szCs w:val="20"/>
          <w:color w:val="auto"/>
        </w:rPr>
      </w:pPr>
      <w:r>
        <w:rPr>
          <w:rFonts w:ascii="Arial" w:cs="Arial" w:eastAsia="Arial" w:hAnsi="Arial"/>
          <w:sz w:val="15"/>
          <w:szCs w:val="15"/>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293370</wp:posOffset>
            </wp:positionV>
            <wp:extent cx="6112510" cy="222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8">
                      <a:extLst>
                        <a:ext uri="{28A0092B-C50C-407E-A947-70E740481C1C}"/>
                      </a:extLst>
                    </a:blip>
                    <a:srcRect/>
                    <a:stretch>
                      <a:fillRect/>
                    </a:stretch>
                  </pic:blipFill>
                  <pic:spPr bwMode="auto">
                    <a:xfrm>
                      <a:off x="0" y="0"/>
                      <a:ext cx="6112510" cy="22225"/>
                    </a:xfrm>
                    <a:prstGeom prst="rect">
                      <a:avLst/>
                    </a:prstGeom>
                    <a:noFill/>
                  </pic:spPr>
                </pic:pic>
              </a:graphicData>
            </a:graphic>
          </wp:anchor>
        </w:drawing>
      </w:r>
    </w:p>
    <w:sectPr>
      <w:pgSz w:w="11900" w:h="16838" w:orient="portrait"/>
      <w:cols w:equalWidth="0" w:num="1">
        <w:col w:w="9600"/>
      </w:cols>
      <w:pgMar w:left="1140" w:top="112"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x"/>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o"/>
      <w:numFmt w:val="bullet"/>
      <w:start w:val="1"/>
    </w:lvl>
  </w:abstractNum>
  <w:abstractNum w:abstractNumId="3">
    <w:nsid w:val="8F2B15E"/>
    <w:multiLevelType w:val="hybridMultilevel"/>
    <w:lvl w:ilvl="0">
      <w:lvlJc w:val="left"/>
      <w:lvlText w:val="o"/>
      <w:numFmt w:val="bullet"/>
      <w:start w:val="1"/>
    </w:lvl>
  </w:abstractNum>
  <w:abstractNum w:abstractNumId="4">
    <w:nsid w:val="1A32234B"/>
    <w:multiLevelType w:val="hybridMultilevel"/>
    <w:lvl w:ilvl="0">
      <w:lvlJc w:val="left"/>
      <w:lvlText w:val="o"/>
      <w:numFmt w:val="bullet"/>
      <w:start w:val="1"/>
    </w:lvl>
  </w:abstractNum>
  <w:abstractNum w:abstractNumId="5">
    <w:nsid w:val="3B0FD379"/>
    <w:multiLevelType w:val="hybridMultilevel"/>
    <w:lvl w:ilvl="0">
      <w:lvlJc w:val="left"/>
      <w:lvlText w:val="o"/>
      <w:numFmt w:val="bullet"/>
      <w:start w:val="1"/>
    </w:lvl>
  </w:abstractNum>
  <w:abstractNum w:abstractNumId="6">
    <w:nsid w:val="68EB2F63"/>
    <w:multiLevelType w:val="hybridMultilevel"/>
    <w:lvl w:ilvl="0">
      <w:lvlJc w:val="left"/>
      <w:lvlText w:val="o"/>
      <w:numFmt w:val="bullet"/>
      <w:start w:val="1"/>
    </w:lvl>
  </w:abstractNum>
  <w:abstractNum w:abstractNumId="7">
    <w:nsid w:val="4962813B"/>
    <w:multiLevelType w:val="hybridMultilevel"/>
    <w:lvl w:ilvl="0">
      <w:lvlJc w:val="left"/>
      <w:lvlText w:val="o"/>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1."/>
      <w:numFmt w:val="decimal"/>
      <w:start w:val="3"/>
    </w:lvl>
  </w:abstractNum>
  <w:abstractNum w:abstractNumId="10">
    <w:nsid w:val="14330624"/>
    <w:multiLevelType w:val="hybridMultilevel"/>
    <w:lvl w:ilvl="0">
      <w:lvlJc w:val="left"/>
      <w:lvlText w:val="%1."/>
      <w:numFmt w:val="decimal"/>
      <w:start w:val="4"/>
    </w:lvl>
  </w:abstractNum>
  <w:abstractNum w:abstractNumId="11">
    <w:nsid w:val="7FFFCA11"/>
    <w:multiLevelType w:val="hybridMultilevel"/>
    <w:lvl w:ilvl="0">
      <w:lvlJc w:val="left"/>
      <w:lvlText w:val="(%1)"/>
      <w:numFmt w:val="lowerLetter"/>
      <w:start w:val="1"/>
    </w:lvl>
    <w:lvl w:ilvl="1">
      <w:lvlJc w:val="left"/>
      <w:lvlText w:val="%2."/>
      <w:numFmt w:val="decimal"/>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1."/>
      <w:numFmt w:val="decimal"/>
      <w:start w:val="1"/>
    </w:lvl>
  </w:abstractNum>
  <w:abstractNum w:abstractNumId="14">
    <w:nsid w:val="100F59D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
    <w:nsid w:val="7FB7E0AA"/>
    <w:multiLevelType w:val="hybridMultilevel"/>
    <w:lvl w:ilvl="0">
      <w:lvlJc w:val="left"/>
      <w:lvlText w:val="(%1)"/>
      <w:numFmt w:val="lowerRoman"/>
      <w:start w:val="3"/>
    </w:lvl>
  </w:abstractNum>
  <w:abstractNum w:abstractNumId="16">
    <w:nsid w:val="6EB5BD4"/>
    <w:multiLevelType w:val="hybridMultilevel"/>
    <w:lvl w:ilvl="0">
      <w:lvlJc w:val="left"/>
      <w:lvlText w:val="(%1)"/>
      <w:numFmt w:val="lowerLetter"/>
      <w:start w:val="7"/>
    </w:lvl>
  </w:abstractNum>
  <w:abstractNum w:abstractNumId="17">
    <w:nsid w:val="6F6DD9AC"/>
    <w:multiLevelType w:val="hybridMultilevel"/>
    <w:lvl w:ilvl="0">
      <w:lvlJc w:val="left"/>
      <w:lvlText w:val="(%1)"/>
      <w:numFmt w:val="lowerLetter"/>
      <w:start w:val="11"/>
    </w:lvl>
    <w:lvl w:ilvl="1">
      <w:lvlJc w:val="left"/>
      <w:lvlText w:val="(%2)"/>
      <w:numFmt w:val="lowerRoman"/>
      <w:start w:val="1"/>
    </w:lvl>
  </w:abstractNum>
  <w:abstractNum w:abstractNumId="18">
    <w:nsid w:val="94211F2"/>
    <w:multiLevelType w:val="hybridMultilevel"/>
    <w:lvl w:ilvl="0">
      <w:lvlJc w:val="left"/>
      <w:lvlText w:val="(%1)"/>
      <w:numFmt w:val="lowerLetter"/>
      <w:start w:val="20"/>
    </w:lvl>
  </w:abstractNum>
  <w:abstractNum w:abstractNumId="19">
    <w:nsid w:val="885E1B"/>
    <w:multiLevelType w:val="hybridMultilevel"/>
    <w:lvl w:ilvl="0">
      <w:lvlJc w:val="left"/>
      <w:lvlText w:val="(%1)"/>
      <w:numFmt w:val="lowerLetter"/>
      <w:start w:val="27"/>
    </w:lvl>
  </w:abstractNum>
  <w:abstractNum w:abstractNumId="20">
    <w:nsid w:val="76272110"/>
    <w:multiLevelType w:val="hybridMultilevel"/>
    <w:lvl w:ilvl="0">
      <w:lvlJc w:val="left"/>
      <w:lvlText w:val="%1"/>
      <w:numFmt w:val="decimal"/>
      <w:start w:val="1"/>
    </w:lvl>
    <w:lvl w:ilvl="1">
      <w:lvlJc w:val="left"/>
      <w:lvlText w:val="(%2)"/>
      <w:numFmt w:val="lowerLetter"/>
      <w:start w:val="37"/>
    </w:lvl>
  </w:abstractNum>
  <w:abstractNum w:abstractNumId="21">
    <w:nsid w:val="4C04A8AF"/>
    <w:multiLevelType w:val="hybridMultilevel"/>
    <w:lvl w:ilvl="0">
      <w:lvlJc w:val="left"/>
      <w:lvlText w:val="%1."/>
      <w:numFmt w:val="decimal"/>
      <w:start w:val="3"/>
    </w:lvl>
    <w:lvl w:ilvl="1">
      <w:lvlJc w:val="left"/>
      <w:lvlText w:val="(%2)"/>
      <w:numFmt w:val="lowerLetter"/>
      <w:start w:val="1"/>
    </w:lvl>
  </w:abstractNum>
  <w:abstractNum w:abstractNumId="22">
    <w:nsid w:val="1716703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23">
    <w:nsid w:val="14E17E33"/>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24">
    <w:nsid w:val="3222E7CD"/>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5">
    <w:nsid w:val="74DE0EE3"/>
    <w:multiLevelType w:val="hybridMultilevel"/>
    <w:lvl w:ilvl="0">
      <w:lvlJc w:val="left"/>
      <w:lvlText w:val="(%1)"/>
      <w:numFmt w:val="lowerRoman"/>
      <w:start w:val="9"/>
    </w:lvl>
  </w:abstractNum>
  <w:abstractNum w:abstractNumId="26">
    <w:nsid w:val="68EBC55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7">
    <w:nsid w:val="2DF6D64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8">
    <w:nsid w:val="46B7D447"/>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29">
    <w:nsid w:val="4A2AC315"/>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lvl w:ilvl="3">
      <w:lvlJc w:val="left"/>
      <w:lvlText w:val="(%4)"/>
      <w:numFmt w:val="decimal"/>
      <w:start w:val="2"/>
    </w:lvl>
  </w:abstractNum>
  <w:abstractNum w:abstractNumId="30">
    <w:nsid w:val="39EE015C"/>
    <w:multiLevelType w:val="hybridMultilevel"/>
    <w:lvl w:ilvl="0">
      <w:lvlJc w:val="left"/>
      <w:lvlText w:val="(%1)"/>
      <w:numFmt w:val="lowerRoman"/>
      <w:start w:val="1"/>
    </w:lvl>
  </w:abstractNum>
  <w:abstractNum w:abstractNumId="31">
    <w:nsid w:val="57FC4FBB"/>
    <w:multiLevelType w:val="hybridMultilevel"/>
    <w:lvl w:ilvl="0">
      <w:lvlJc w:val="left"/>
      <w:lvlText w:val="(%1)"/>
      <w:numFmt w:val="lowerRoman"/>
      <w:start w:val="2"/>
    </w:lvl>
  </w:abstractNum>
  <w:abstractNum w:abstractNumId="32">
    <w:nsid w:val="CC1016F"/>
    <w:multiLevelType w:val="hybridMultilevel"/>
    <w:lvl w:ilvl="0">
      <w:lvlJc w:val="left"/>
      <w:lvlText w:val="%1."/>
      <w:numFmt w:val="decimal"/>
      <w:start w:val="7"/>
    </w:lvl>
    <w:lvl w:ilvl="1">
      <w:lvlJc w:val="left"/>
      <w:lvlText w:val="(%2)"/>
      <w:numFmt w:val="lowerLetter"/>
      <w:start w:val="1"/>
    </w:lvl>
  </w:abstractNum>
  <w:abstractNum w:abstractNumId="33">
    <w:nsid w:val="43F18422"/>
    <w:multiLevelType w:val="hybridMultilevel"/>
    <w:lvl w:ilvl="0">
      <w:lvlJc w:val="left"/>
      <w:lvlText w:val="%1"/>
      <w:numFmt w:val="decimal"/>
      <w:start w:val="1"/>
    </w:lvl>
    <w:lvl w:ilvl="1">
      <w:lvlJc w:val="left"/>
      <w:lvlText w:val="(%2)"/>
      <w:numFmt w:val="lowerLetter"/>
      <w:start w:val="8"/>
    </w:lvl>
  </w:abstractNum>
  <w:abstractNum w:abstractNumId="34">
    <w:nsid w:val="60EF0119"/>
    <w:multiLevelType w:val="hybridMultilevel"/>
    <w:lvl w:ilvl="0">
      <w:lvlJc w:val="left"/>
      <w:lvlText w:val="%1."/>
      <w:numFmt w:val="decimal"/>
      <w:start w:val="8"/>
    </w:lvl>
    <w:lvl w:ilvl="1">
      <w:lvlJc w:val="left"/>
      <w:lvlText w:val="(%2)"/>
      <w:numFmt w:val="lowerLetter"/>
      <w:start w:val="1"/>
    </w:lvl>
  </w:abstractNum>
  <w:abstractNum w:abstractNumId="35">
    <w:nsid w:val="26F324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
    <w:nsid w:val="7F01579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7">
    <w:nsid w:val="49DA307D"/>
    <w:multiLevelType w:val="hybridMultilevel"/>
    <w:lvl w:ilvl="0">
      <w:lvlJc w:val="left"/>
      <w:lvlText w:val="%1"/>
      <w:numFmt w:val="decimal"/>
      <w:start w:val="1"/>
    </w:lvl>
    <w:lvl w:ilvl="1">
      <w:lvlJc w:val="left"/>
      <w:lvlText w:val="(%2)"/>
      <w:numFmt w:val="lowerLetter"/>
      <w:start w:val="4"/>
    </w:lvl>
  </w:abstractNum>
  <w:abstractNum w:abstractNumId="38">
    <w:nsid w:val="7055A5F5"/>
    <w:multiLevelType w:val="hybridMultilevel"/>
    <w:lvl w:ilvl="0">
      <w:lvlJc w:val="left"/>
      <w:lvlText w:val="%1."/>
      <w:numFmt w:val="decimal"/>
      <w:start w:val="11"/>
    </w:lvl>
    <w:lvl w:ilvl="1">
      <w:lvlJc w:val="left"/>
      <w:lvlText w:val="(%2)"/>
      <w:numFmt w:val="lowerLetter"/>
      <w:start w:val="1"/>
    </w:lvl>
  </w:abstractNum>
  <w:abstractNum w:abstractNumId="39">
    <w:nsid w:val="5FB8370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0">
    <w:nsid w:val="50801EE1"/>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41">
    <w:nsid w:val="488AC1A"/>
    <w:multiLevelType w:val="hybridMultilevel"/>
    <w:lvl w:ilvl="0">
      <w:lvlJc w:val="left"/>
      <w:lvlText w:val="(%1)"/>
      <w:numFmt w:val="lowerLetter"/>
      <w:start w:val="9"/>
    </w:lvl>
    <w:lvl w:ilvl="1">
      <w:lvlJc w:val="left"/>
      <w:lvlText w:val="%2."/>
      <w:numFmt w:val="decimal"/>
      <w:start w:val="14"/>
    </w:lvl>
    <w:lvl w:ilvl="2">
      <w:lvlJc w:val="left"/>
      <w:lvlText w:val="(%3)"/>
      <w:numFmt w:val="lowerLetter"/>
      <w:start w:val="1"/>
    </w:lvl>
  </w:abstractNum>
  <w:abstractNum w:abstractNumId="42">
    <w:nsid w:val="5FB8011C"/>
    <w:multiLevelType w:val="hybridMultilevel"/>
    <w:lvl w:ilvl="0">
      <w:lvlJc w:val="left"/>
      <w:lvlText w:val="%1"/>
      <w:numFmt w:val="upperLetter"/>
      <w:start w:val="1"/>
    </w:lvl>
    <w:lvl w:ilvl="1">
      <w:lvlJc w:val="left"/>
      <w:lvlText w:val="(%2)"/>
      <w:numFmt w:val="lowerLetter"/>
      <w:start w:val="2"/>
    </w:lvl>
  </w:abstractNum>
  <w:abstractNum w:abstractNumId="43">
    <w:nsid w:val="6AA78F7F"/>
    <w:multiLevelType w:val="hybridMultilevel"/>
    <w:lvl w:ilvl="0">
      <w:lvlJc w:val="left"/>
      <w:lvlText w:val="(%1)"/>
      <w:numFmt w:val="upperLetter"/>
      <w:start w:val="1"/>
    </w:lvl>
    <w:lvl w:ilvl="1">
      <w:lvlJc w:val="left"/>
      <w:lvlText w:val="%2"/>
      <w:numFmt w:val="lowerLetter"/>
      <w:start w:val="1"/>
    </w:lvl>
  </w:abstractNum>
  <w:abstractNum w:abstractNumId="44">
    <w:nsid w:val="7672BD2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45">
    <w:nsid w:val="6FC75AF8"/>
    <w:multiLevelType w:val="hybridMultilevel"/>
    <w:lvl w:ilvl="0">
      <w:lvlJc w:val="left"/>
      <w:lvlText w:val="%1"/>
      <w:numFmt w:val="lowerLetter"/>
      <w:start w:val="1"/>
    </w:lvl>
    <w:lvl w:ilvl="1">
      <w:lvlJc w:val="left"/>
      <w:lvlText w:val="%2."/>
      <w:numFmt w:val="decimal"/>
      <w:start w:val="16"/>
    </w:lvl>
    <w:lvl w:ilvl="2">
      <w:lvlJc w:val="left"/>
      <w:lvlText w:val="(%3)"/>
      <w:numFmt w:val="lowerLetter"/>
      <w:start w:val="1"/>
    </w:lvl>
  </w:abstractNum>
  <w:abstractNum w:abstractNumId="46">
    <w:nsid w:val="6A5F702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7">
    <w:nsid w:val="7D5E18F8"/>
    <w:multiLevelType w:val="hybridMultilevel"/>
    <w:lvl w:ilvl="0">
      <w:lvlJc w:val="left"/>
      <w:lvlText w:val="%1."/>
      <w:numFmt w:val="decimal"/>
      <w:start w:val="17"/>
    </w:lvl>
    <w:lvl w:ilvl="1">
      <w:lvlJc w:val="left"/>
      <w:lvlText w:val="(%2)"/>
      <w:numFmt w:val="lowerLetter"/>
      <w:start w:val="1"/>
    </w:lvl>
  </w:abstractNum>
  <w:abstractNum w:abstractNumId="48">
    <w:nsid w:val="5F3534A4"/>
    <w:multiLevelType w:val="hybridMultilevel"/>
    <w:lvl w:ilvl="0">
      <w:lvlJc w:val="left"/>
      <w:lvlText w:val="%1."/>
      <w:numFmt w:val="decimal"/>
      <w:start w:val="23"/>
    </w:lvl>
  </w:abstractNum>
  <w:abstractNum w:abstractNumId="49">
    <w:nsid w:val="73A1821B"/>
    <w:multiLevelType w:val="hybridMultilevel"/>
    <w:lvl w:ilvl="0">
      <w:lvlJc w:val="left"/>
      <w:lvlText w:val="%1."/>
      <w:numFmt w:val="decimal"/>
      <w:start w:val="1"/>
    </w:lvl>
    <w:lvl w:ilvl="1">
      <w:lvlJc w:val="left"/>
      <w:lvlText w:val="(%2)"/>
      <w:numFmt w:val="lowerLetter"/>
      <w:start w:val="1"/>
    </w:lvl>
  </w:abstractNum>
  <w:abstractNum w:abstractNumId="50">
    <w:nsid w:val="7DE67713"/>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51">
    <w:nsid w:val="555C55B5"/>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52">
    <w:nsid w:val="3FA62ACA"/>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53">
    <w:nsid w:val="14FCE74E"/>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54">
    <w:nsid w:val="6A3DD3E8"/>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
      <w:numFmt w:val="bullet"/>
      <w:start w:val="1"/>
    </w:lvl>
  </w:abstractNum>
  <w:abstractNum w:abstractNumId="55">
    <w:nsid w:val="71C9129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6">
    <w:nsid w:val="9DAF632"/>
    <w:multiLevelType w:val="hybridMultilevel"/>
    <w:lvl w:ilvl="0">
      <w:lvlJc w:val="left"/>
      <w:lvlText w:val="%1."/>
      <w:numFmt w:val="decimal"/>
      <w:start w:val="12"/>
    </w:lvl>
    <w:lvl w:ilvl="1">
      <w:lvlJc w:val="left"/>
      <w:lvlText w:val="-"/>
      <w:numFmt w:val="bullet"/>
      <w:start w:val="1"/>
    </w:lvl>
  </w:abstractNum>
  <w:abstractNum w:abstractNumId="57">
    <w:nsid w:val="53299938"/>
    <w:multiLevelType w:val="hybridMultilevel"/>
    <w:lvl w:ilvl="0">
      <w:lvlJc w:val="left"/>
      <w:lvlText w:val="%1."/>
      <w:numFmt w:val="decimal"/>
      <w:start w:val="16"/>
    </w:lvl>
    <w:lvl w:ilvl="1">
      <w:lvlJc w:val="left"/>
      <w:lvlText w:val="-"/>
      <w:numFmt w:val="bullet"/>
      <w:start w:val="1"/>
    </w:lvl>
  </w:abstractNum>
  <w:abstractNum w:abstractNumId="58">
    <w:nsid w:val="1FBFE8E0"/>
    <w:multiLevelType w:val="hybridMultilevel"/>
    <w:lvl w:ilvl="0">
      <w:lvlJc w:val="left"/>
      <w:lvlText w:val="%1."/>
      <w:numFmt w:val="decimal"/>
      <w:start w:val="23"/>
    </w:lvl>
    <w:lvl w:ilvl="1">
      <w:lvlJc w:val="left"/>
      <w:lvlText w:val="-"/>
      <w:numFmt w:val="bullet"/>
      <w:start w:val="1"/>
    </w:lvl>
  </w:abstractNum>
  <w:abstractNum w:abstractNumId="59">
    <w:nsid w:val="5092CA79"/>
    <w:multiLevelType w:val="hybridMultilevel"/>
    <w:lvl w:ilvl="0">
      <w:lvlJc w:val="left"/>
      <w:lvlText w:val="%1."/>
      <w:numFmt w:val="decimal"/>
      <w:start w:val="1"/>
    </w:lvl>
  </w:abstractNum>
  <w:abstractNum w:abstractNumId="60">
    <w:nsid w:val="1D545C4D"/>
    <w:multiLevelType w:val="hybridMultilevel"/>
    <w:lvl w:ilvl="0">
      <w:lvlJc w:val="left"/>
      <w:lvlText w:val="%1."/>
      <w:numFmt w:val="decimal"/>
      <w:start w:val="1"/>
    </w:lvl>
    <w:lvl w:ilvl="1">
      <w:lvlJc w:val="left"/>
      <w:lvlText w:val="(%2)"/>
      <w:numFmt w:val="lowerLetter"/>
      <w:start w:val="1"/>
    </w:lvl>
  </w:abstractNum>
  <w:abstractNum w:abstractNumId="61">
    <w:nsid w:val="59ADEA3D"/>
    <w:multiLevelType w:val="hybridMultilevel"/>
    <w:lvl w:ilvl="0">
      <w:lvlJc w:val="left"/>
      <w:lvlText w:val="%1"/>
      <w:numFmt w:val="decimal"/>
      <w:start w:val="1"/>
    </w:lvl>
    <w:lvl w:ilvl="1">
      <w:lvlJc w:val="left"/>
      <w:lvlText w:val="(%2)"/>
      <w:numFmt w:val="lowerLetter"/>
      <w:start w:val="3"/>
    </w:lvl>
  </w:abstractNum>
  <w:abstractNum w:abstractNumId="62">
    <w:nsid w:val="288F1A34"/>
    <w:multiLevelType w:val="hybridMultilevel"/>
    <w:lvl w:ilvl="0">
      <w:lvlJc w:val="left"/>
      <w:lvlText w:val="%1."/>
      <w:numFmt w:val="decimal"/>
      <w:start w:val="6"/>
    </w:lvl>
    <w:lvl w:ilvl="1">
      <w:lvlJc w:val="left"/>
      <w:lvlText w:val="(%2)"/>
      <w:numFmt w:val="lowerLetter"/>
      <w:start w:val="1"/>
    </w:lvl>
  </w:abstractNum>
  <w:abstractNum w:abstractNumId="63">
    <w:nsid w:val="2A155DBC"/>
    <w:multiLevelType w:val="hybridMultilevel"/>
    <w:lvl w:ilvl="0">
      <w:lvlJc w:val="left"/>
      <w:lvlText w:val="%1."/>
      <w:numFmt w:val="decimal"/>
      <w:start w:val="7"/>
    </w:lvl>
    <w:lvl w:ilvl="1">
      <w:lvlJc w:val="left"/>
      <w:lvlText w:val="(%2)"/>
      <w:numFmt w:val="lowerLetter"/>
      <w:start w:val="1"/>
    </w:lvl>
  </w:abstractNum>
  <w:abstractNum w:abstractNumId="64">
    <w:nsid w:val="1D9F6E5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0"/>
    </w:lvl>
  </w:abstractNum>
  <w:abstractNum w:abstractNumId="65">
    <w:nsid w:val="97E1B4E"/>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
    </w:lvl>
  </w:abstractNum>
  <w:abstractNum w:abstractNumId="66">
    <w:nsid w:val="51088277"/>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67">
    <w:nsid w:val="1CA0C5FA"/>
    <w:multiLevelType w:val="hybridMultilevel"/>
    <w:lvl w:ilvl="0">
      <w:lvlJc w:val="left"/>
      <w:lvlText w:val="%1."/>
      <w:numFmt w:val="decimal"/>
      <w:start w:val="12"/>
    </w:lvl>
  </w:abstractNum>
  <w:abstractNum w:abstractNumId="68">
    <w:nsid w:val="53584BCB"/>
    <w:multiLevelType w:val="hybridMultilevel"/>
    <w:lvl w:ilvl="0">
      <w:lvlJc w:val="left"/>
      <w:lvlText w:val="%1."/>
      <w:numFmt w:val="decimal"/>
      <w:start w:val="16"/>
    </w:lvl>
  </w:abstractNum>
  <w:abstractNum w:abstractNumId="69">
    <w:nsid w:val="415E286C"/>
    <w:multiLevelType w:val="hybridMultilevel"/>
    <w:lvl w:ilvl="0">
      <w:lvlJc w:val="left"/>
      <w:lvlText w:val="%1."/>
      <w:numFmt w:val="decimal"/>
      <w:start w:val="24"/>
    </w:lvl>
  </w:abstractNum>
  <w:abstractNum w:abstractNumId="70">
    <w:nsid w:val="7C58FD05"/>
    <w:multiLevelType w:val="hybridMultilevel"/>
    <w:lvl w:ilvl="0">
      <w:lvlJc w:val="left"/>
      <w:lvlText w:val="%1."/>
      <w:numFmt w:val="decimal"/>
      <w:start w:val="1"/>
    </w:lvl>
  </w:abstractNum>
  <w:abstractNum w:abstractNumId="71">
    <w:nsid w:val="23D86AAC"/>
    <w:multiLevelType w:val="hybridMultilevel"/>
    <w:lvl w:ilvl="0">
      <w:lvlJc w:val="left"/>
      <w:lvlText w:val="%1."/>
      <w:numFmt w:val="decimal"/>
      <w:start w:val="1"/>
    </w:lvl>
  </w:abstractNum>
  <w:abstractNum w:abstractNumId="72">
    <w:nsid w:val="45E6D486"/>
    <w:multiLevelType w:val="hybridMultilevel"/>
    <w:lvl w:ilvl="0">
      <w:lvlJc w:val="left"/>
      <w:lvlText w:val="%1."/>
      <w:numFmt w:val="decimal"/>
      <w:start w:val="2"/>
    </w:lvl>
  </w:abstractNum>
  <w:abstractNum w:abstractNumId="73">
    <w:nsid w:val="5C10FE21"/>
    <w:multiLevelType w:val="hybridMultilevel"/>
    <w:lvl w:ilvl="0">
      <w:lvlJc w:val="left"/>
      <w:lvlText w:val="%1."/>
      <w:numFmt w:val="decimal"/>
      <w:start w:val="3"/>
    </w:lvl>
  </w:abstractNum>
  <w:abstractNum w:abstractNumId="74">
    <w:nsid w:val="E7FFA2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5">
    <w:nsid w:val="3C5991A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6">
    <w:nsid w:val="4BD8591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77">
    <w:nsid w:val="78DF6A55"/>
    <w:multiLevelType w:val="hybridMultilevel"/>
    <w:lvl w:ilvl="0">
      <w:lvlJc w:val="left"/>
      <w:lvlText w:val="%1"/>
      <w:numFmt w:val="decimal"/>
      <w:start w:val="1"/>
    </w:lvl>
    <w:lvl w:ilvl="1">
      <w:lvlJc w:val="left"/>
      <w:lvlText w:val="(%2)"/>
      <w:numFmt w:val="lowerLetter"/>
      <w:start w:val="1"/>
    </w:lvl>
  </w:abstractNum>
  <w:abstractNum w:abstractNumId="78">
    <w:nsid w:val="39B7AAA2"/>
    <w:multiLevelType w:val="hybridMultilevel"/>
    <w:lvl w:ilvl="0">
      <w:lvlJc w:val="left"/>
      <w:lvlText w:val="%1."/>
      <w:numFmt w:val="decimal"/>
      <w:start w:val="5"/>
    </w:lvl>
    <w:lvl w:ilvl="1">
      <w:lvlJc w:val="left"/>
      <w:lvlText w:val="%2"/>
      <w:numFmt w:val="lowerLetter"/>
      <w:start w:val="1"/>
    </w:lvl>
  </w:abstractNum>
  <w:abstractNum w:abstractNumId="79">
    <w:nsid w:val="2B0D8DBE"/>
    <w:multiLevelType w:val="hybridMultilevel"/>
    <w:lvl w:ilvl="0">
      <w:lvlJc w:val="left"/>
      <w:lvlText w:val="%1."/>
      <w:numFmt w:val="decimal"/>
      <w:start w:val="6"/>
    </w:lvl>
  </w:abstractNum>
  <w:abstractNum w:abstractNumId="80">
    <w:nsid w:val="6C80EC70"/>
    <w:multiLevelType w:val="hybridMultilevel"/>
    <w:lvl w:ilvl="0">
      <w:lvlJc w:val="left"/>
      <w:lvlText w:val="(%1)"/>
      <w:numFmt w:val="lowerLetter"/>
      <w:start w:val="1"/>
    </w:lvl>
  </w:abstractNum>
  <w:abstractNum w:abstractNumId="81">
    <w:nsid w:val="379E21B5"/>
    <w:multiLevelType w:val="hybridMultilevel"/>
    <w:lvl w:ilvl="0">
      <w:lvlJc w:val="left"/>
      <w:lvlText w:val="%1."/>
      <w:numFmt w:val="decimal"/>
      <w:start w:val="27"/>
    </w:lvl>
    <w:lvl w:ilvl="1">
      <w:lvlJc w:val="left"/>
      <w:lvlText w:val="(%2)"/>
      <w:numFmt w:val="lowerLetter"/>
      <w:start w:val="1"/>
    </w:lvl>
  </w:abstractNum>
  <w:abstractNum w:abstractNumId="82">
    <w:nsid w:val="69E373"/>
    <w:multiLevelType w:val="hybridMultilevel"/>
    <w:lvl w:ilvl="0">
      <w:lvlJc w:val="left"/>
      <w:lvlText w:val="%1"/>
      <w:numFmt w:val="decimal"/>
      <w:start w:val="1"/>
    </w:lvl>
    <w:lvl w:ilvl="1">
      <w:lvlJc w:val="left"/>
      <w:lvlText w:val="(%2)"/>
      <w:numFmt w:val="lowerLetter"/>
      <w:start w:val="3"/>
    </w:lvl>
  </w:abstractNum>
  <w:abstractNum w:abstractNumId="83">
    <w:nsid w:val="2C27173B"/>
    <w:multiLevelType w:val="hybridMultilevel"/>
    <w:lvl w:ilvl="0">
      <w:lvlJc w:val="left"/>
      <w:lvlText w:val="%1."/>
      <w:numFmt w:val="decimal"/>
      <w:start w:val="32"/>
    </w:lvl>
    <w:lvl w:ilvl="1">
      <w:lvlJc w:val="left"/>
      <w:lvlText w:val="(%2)"/>
      <w:numFmt w:val="lowerLetter"/>
      <w:start w:val="1"/>
    </w:lvl>
  </w:abstractNum>
  <w:abstractNum w:abstractNumId="84">
    <w:nsid w:val="4C9B0904"/>
    <w:multiLevelType w:val="hybridMultilevel"/>
    <w:lvl w:ilvl="0">
      <w:lvlJc w:val="left"/>
      <w:lvlText w:val="%1."/>
      <w:numFmt w:val="decimal"/>
      <w:start w:val="33"/>
    </w:lvl>
    <w:lvl w:ilvl="1">
      <w:lvlJc w:val="left"/>
      <w:lvlText w:val="(%2)"/>
      <w:numFmt w:val="lowerLetter"/>
      <w:start w:val="1"/>
    </w:lvl>
  </w:abstractNum>
  <w:abstractNum w:abstractNumId="85">
    <w:nsid w:val="6AA7B7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0"/>
    </w:lvl>
  </w:abstractNum>
  <w:abstractNum w:abstractNumId="86">
    <w:nsid w:val="1DF029D3"/>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
    </w:lvl>
  </w:abstractNum>
  <w:abstractNum w:abstractNumId="87">
    <w:nsid w:val="5675FF36"/>
    <w:multiLevelType w:val="hybridMultilevel"/>
    <w:lvl w:ilvl="0">
      <w:lvlJc w:val="left"/>
      <w:lvlText w:val="%1."/>
      <w:numFmt w:val="decimal"/>
      <w:start w:val="36"/>
    </w:lvl>
    <w:lvl w:ilvl="1">
      <w:lvlJc w:val="left"/>
      <w:lvlText w:val="%2"/>
      <w:numFmt w:val="lowerLetter"/>
      <w:start w:val="1"/>
    </w:lvl>
    <w:lvl w:ilvl="2">
      <w:lvlJc w:val="left"/>
      <w:lvlText w:val="%3"/>
      <w:numFmt w:val="lowerLetter"/>
      <w:start w:val="1"/>
    </w:lvl>
  </w:abstractNum>
  <w:abstractNum w:abstractNumId="88">
    <w:nsid w:val="3DD15094"/>
    <w:multiLevelType w:val="hybridMultilevel"/>
    <w:lvl w:ilvl="0">
      <w:lvlJc w:val="left"/>
      <w:lvlText w:val="%1."/>
      <w:numFmt w:val="decimal"/>
      <w:start w:val="38"/>
    </w:lvl>
  </w:abstractNum>
  <w:abstractNum w:abstractNumId="89">
    <w:nsid w:val="3DB012B3"/>
    <w:multiLevelType w:val="hybridMultilevel"/>
    <w:lvl w:ilvl="0">
      <w:lvlJc w:val="left"/>
      <w:lvlText w:val="%1."/>
      <w:numFmt w:val="decimal"/>
      <w:start w:val="42"/>
    </w:lvl>
  </w:abstractNum>
  <w:abstractNum w:abstractNumId="90">
    <w:nsid w:val="2708C9AF"/>
    <w:multiLevelType w:val="hybridMultilevel"/>
    <w:lvl w:ilvl="0">
      <w:lvlJc w:val="left"/>
      <w:lvlText w:val="%1."/>
      <w:numFmt w:val="decimal"/>
      <w:start w:val="50"/>
    </w:lvl>
  </w:abstractNum>
  <w:abstractNum w:abstractNumId="91">
    <w:nsid w:val="5B25ACE2"/>
    <w:multiLevelType w:val="hybridMultilevel"/>
    <w:lvl w:ilvl="0">
      <w:lvlJc w:val="left"/>
      <w:lvlText w:val="%1."/>
      <w:numFmt w:val="decimal"/>
      <w:start w:val="7"/>
    </w:lvl>
  </w:abstractNum>
  <w:abstractNum w:abstractNumId="92">
    <w:nsid w:val="175DFCF0"/>
    <w:multiLevelType w:val="hybridMultilevel"/>
    <w:lvl w:ilvl="0">
      <w:lvlJc w:val="left"/>
      <w:lvlText w:val="%1."/>
      <w:numFmt w:val="decimal"/>
      <w:start w:val="53"/>
    </w:lvl>
    <w:lvl w:ilvl="1">
      <w:lvlJc w:val="left"/>
      <w:lvlText w:val="(%2)"/>
      <w:numFmt w:val="lowerLetter"/>
      <w:start w:val="1"/>
    </w:lvl>
  </w:abstractNum>
  <w:abstractNum w:abstractNumId="93">
    <w:nsid w:val="4F97E3E4"/>
    <w:multiLevelType w:val="hybridMultilevel"/>
    <w:lvl w:ilvl="0">
      <w:lvlJc w:val="left"/>
      <w:lvlText w:val="%1"/>
      <w:numFmt w:val="decimal"/>
      <w:start w:val="1"/>
    </w:lvl>
    <w:lvl w:ilvl="1">
      <w:lvlJc w:val="left"/>
      <w:lvlText w:val="(%2)"/>
      <w:numFmt w:val="lowerLetter"/>
      <w:start w:val="3"/>
    </w:lvl>
  </w:abstractNum>
  <w:abstractNum w:abstractNumId="94">
    <w:nsid w:val="53B0A9E"/>
    <w:multiLevelType w:val="hybridMultilevel"/>
    <w:lvl w:ilvl="0">
      <w:lvlJc w:val="left"/>
      <w:lvlText w:val="%1."/>
      <w:numFmt w:val="decimal"/>
      <w:start w:val="58"/>
    </w:lvl>
    <w:lvl w:ilvl="1">
      <w:lvlJc w:val="left"/>
      <w:lvlText w:val="(%2)"/>
      <w:numFmt w:val="lowerLetter"/>
      <w:start w:val="1"/>
    </w:lvl>
  </w:abstractNum>
  <w:abstractNum w:abstractNumId="95">
    <w:nsid w:val="34FD6B4F"/>
    <w:multiLevelType w:val="hybridMultilevel"/>
    <w:lvl w:ilvl="0">
      <w:lvlJc w:val="left"/>
      <w:lvlText w:val="%1."/>
      <w:numFmt w:val="decimal"/>
      <w:start w:val="59"/>
    </w:lvl>
    <w:lvl w:ilvl="1">
      <w:lvlJc w:val="left"/>
      <w:lvlText w:val="(%2)"/>
      <w:numFmt w:val="lowerLetter"/>
      <w:start w:val="1"/>
    </w:lvl>
  </w:abstractNum>
  <w:abstractNum w:abstractNumId="96">
    <w:nsid w:val="5915FF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0"/>
    </w:lvl>
  </w:abstractNum>
  <w:abstractNum w:abstractNumId="97">
    <w:nsid w:val="56438D15"/>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
    </w:lvl>
  </w:abstractNum>
  <w:abstractNum w:abstractNumId="98">
    <w:nsid w:val="519E3149"/>
    <w:multiLevelType w:val="hybridMultilevel"/>
    <w:lvl w:ilvl="0">
      <w:lvlJc w:val="left"/>
      <w:lvlText w:val="%1."/>
      <w:numFmt w:val="decimal"/>
      <w:start w:val="62"/>
    </w:lvl>
    <w:lvl w:ilvl="1">
      <w:lvlJc w:val="left"/>
      <w:lvlText w:val="%2"/>
      <w:numFmt w:val="lowerLetter"/>
      <w:start w:val="1"/>
    </w:lvl>
    <w:lvl w:ilvl="2">
      <w:lvlJc w:val="left"/>
      <w:lvlText w:val="%3"/>
      <w:numFmt w:val="lowerLetter"/>
      <w:start w:val="1"/>
    </w:lvl>
  </w:abstractNum>
  <w:abstractNum w:abstractNumId="99">
    <w:nsid w:val="2C6E4AFD"/>
    <w:multiLevelType w:val="hybridMultilevel"/>
    <w:lvl w:ilvl="0">
      <w:lvlJc w:val="left"/>
      <w:lvlText w:val="%1."/>
      <w:numFmt w:val="decimal"/>
      <w:start w:val="64"/>
    </w:lvl>
  </w:abstractNum>
  <w:abstractNum w:abstractNumId="100">
    <w:nsid w:val="17A1B582"/>
    <w:multiLevelType w:val="hybridMultilevel"/>
    <w:lvl w:ilvl="0">
      <w:lvlJc w:val="left"/>
      <w:lvlText w:val="%1."/>
      <w:numFmt w:val="decimal"/>
      <w:start w:val="68"/>
    </w:lvl>
  </w:abstractNum>
  <w:abstractNum w:abstractNumId="101">
    <w:nsid w:val="4DF72E4E"/>
    <w:multiLevelType w:val="hybridMultilevel"/>
    <w:lvl w:ilvl="0">
      <w:lvlJc w:val="left"/>
      <w:lvlText w:val="%1."/>
      <w:numFmt w:val="decimal"/>
      <w:start w:val="76"/>
    </w:lvl>
  </w:abstractNum>
  <w:abstractNum w:abstractNumId="102">
    <w:nsid w:val="5046B5A9"/>
    <w:multiLevelType w:val="hybridMultilevel"/>
    <w:lvl w:ilvl="0">
      <w:lvlJc w:val="left"/>
      <w:lvlText w:val="%1."/>
      <w:numFmt w:val="decimal"/>
      <w:start w:val="13"/>
    </w:lvl>
  </w:abstractNum>
  <w:abstractNum w:abstractNumId="103">
    <w:nsid w:val="5D888A08"/>
    <w:multiLevelType w:val="hybridMultilevel"/>
    <w:lvl w:ilvl="0">
      <w:lvlJc w:val="left"/>
      <w:lvlText w:val="%1."/>
      <w:numFmt w:val="decimal"/>
      <w:start w:val="79"/>
    </w:lvl>
    <w:lvl w:ilvl="1">
      <w:lvlJc w:val="left"/>
      <w:lvlText w:val="(%2)"/>
      <w:numFmt w:val="lowerLetter"/>
      <w:start w:val="1"/>
    </w:lvl>
  </w:abstractNum>
  <w:abstractNum w:abstractNumId="104">
    <w:nsid w:val="2A082C70"/>
    <w:multiLevelType w:val="hybridMultilevel"/>
    <w:lvl w:ilvl="0">
      <w:lvlJc w:val="left"/>
      <w:lvlText w:val="%1"/>
      <w:numFmt w:val="decimal"/>
      <w:start w:val="1"/>
    </w:lvl>
    <w:lvl w:ilvl="1">
      <w:lvlJc w:val="left"/>
      <w:lvlText w:val="(%2)"/>
      <w:numFmt w:val="lowerLetter"/>
      <w:start w:val="3"/>
    </w:lvl>
  </w:abstractNum>
  <w:abstractNum w:abstractNumId="105">
    <w:nsid w:val="5EC6AFD4"/>
    <w:multiLevelType w:val="hybridMultilevel"/>
    <w:lvl w:ilvl="0">
      <w:lvlJc w:val="left"/>
      <w:lvlText w:val="%1."/>
      <w:numFmt w:val="decimal"/>
      <w:start w:val="84"/>
    </w:lvl>
    <w:lvl w:ilvl="1">
      <w:lvlJc w:val="left"/>
      <w:lvlText w:val="(%2)"/>
      <w:numFmt w:val="lowerLetter"/>
      <w:start w:val="1"/>
    </w:lvl>
  </w:abstractNum>
  <w:abstractNum w:abstractNumId="106">
    <w:nsid w:val="19E21BB2"/>
    <w:multiLevelType w:val="hybridMultilevel"/>
    <w:lvl w:ilvl="0">
      <w:lvlJc w:val="left"/>
      <w:lvlText w:val="%1."/>
      <w:numFmt w:val="decimal"/>
      <w:start w:val="85"/>
    </w:lvl>
    <w:lvl w:ilvl="1">
      <w:lvlJc w:val="left"/>
      <w:lvlText w:val="(%2)"/>
      <w:numFmt w:val="lowerLetter"/>
      <w:start w:val="1"/>
    </w:lvl>
  </w:abstractNum>
  <w:abstractNum w:abstractNumId="107">
    <w:nsid w:val="75E0858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0"/>
    </w:lvl>
  </w:abstractNum>
  <w:abstractNum w:abstractNumId="108">
    <w:nsid w:val="57A61A29"/>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
    </w:lvl>
  </w:abstractNum>
  <w:abstractNum w:abstractNumId="109">
    <w:nsid w:val="5399C654"/>
    <w:multiLevelType w:val="hybridMultilevel"/>
    <w:lvl w:ilvl="0">
      <w:lvlJc w:val="left"/>
      <w:lvlText w:val="%1."/>
      <w:numFmt w:val="decimal"/>
      <w:start w:val="88"/>
    </w:lvl>
    <w:lvl w:ilvl="1">
      <w:lvlJc w:val="left"/>
      <w:lvlText w:val="%2"/>
      <w:numFmt w:val="lowerLetter"/>
      <w:start w:val="1"/>
    </w:lvl>
    <w:lvl w:ilvl="2">
      <w:lvlJc w:val="left"/>
      <w:lvlText w:val="%3"/>
      <w:numFmt w:val="lowerLetter"/>
      <w:start w:val="1"/>
    </w:lvl>
  </w:abstractNum>
  <w:abstractNum w:abstractNumId="110">
    <w:nsid w:val="20EE1348"/>
    <w:multiLevelType w:val="hybridMultilevel"/>
    <w:lvl w:ilvl="0">
      <w:lvlJc w:val="left"/>
      <w:lvlText w:val="%1."/>
      <w:numFmt w:val="decimal"/>
      <w:start w:val="90"/>
    </w:lvl>
  </w:abstractNum>
  <w:abstractNum w:abstractNumId="111">
    <w:nsid w:val="4427069A"/>
    <w:multiLevelType w:val="hybridMultilevel"/>
    <w:lvl w:ilvl="0">
      <w:lvlJc w:val="left"/>
      <w:lvlText w:val="%1."/>
      <w:numFmt w:val="decimal"/>
      <w:start w:val="94"/>
    </w:lvl>
  </w:abstractNum>
  <w:abstractNum w:abstractNumId="112">
    <w:nsid w:val="B37E80A"/>
    <w:multiLevelType w:val="hybridMultilevel"/>
    <w:lvl w:ilvl="0">
      <w:lvlJc w:val="left"/>
      <w:lvlText w:val="%1."/>
      <w:numFmt w:val="decimal"/>
      <w:start w:val="102"/>
    </w:lvl>
  </w:abstractNum>
  <w:abstractNum w:abstractNumId="113">
    <w:nsid w:val="2157F6BC"/>
    <w:multiLevelType w:val="hybridMultilevel"/>
    <w:lvl w:ilvl="0">
      <w:lvlJc w:val="left"/>
      <w:lvlText w:val="%1."/>
      <w:numFmt w:val="decimal"/>
      <w:start w:val="19"/>
    </w:lvl>
  </w:abstractNum>
  <w:abstractNum w:abstractNumId="114">
    <w:nsid w:val="704E1DD5"/>
    <w:multiLevelType w:val="hybridMultilevel"/>
    <w:lvl w:ilvl="0">
      <w:lvlJc w:val="left"/>
      <w:lvlText w:val="%1."/>
      <w:numFmt w:val="decimal"/>
      <w:start w:val="105"/>
    </w:lvl>
    <w:lvl w:ilvl="1">
      <w:lvlJc w:val="left"/>
      <w:lvlText w:val="(%2)"/>
      <w:numFmt w:val="lowerLetter"/>
      <w:start w:val="1"/>
    </w:lvl>
  </w:abstractNum>
  <w:abstractNum w:abstractNumId="115">
    <w:nsid w:val="57D2F10E"/>
    <w:multiLevelType w:val="hybridMultilevel"/>
    <w:lvl w:ilvl="0">
      <w:lvlJc w:val="left"/>
      <w:lvlText w:val="%1"/>
      <w:numFmt w:val="decimal"/>
      <w:start w:val="1"/>
    </w:lvl>
    <w:lvl w:ilvl="1">
      <w:lvlJc w:val="left"/>
      <w:lvlText w:val="(%2)"/>
      <w:numFmt w:val="lowerLetter"/>
      <w:start w:val="3"/>
    </w:lvl>
  </w:abstractNum>
  <w:abstractNum w:abstractNumId="116">
    <w:nsid w:val="BFFAE18"/>
    <w:multiLevelType w:val="hybridMultilevel"/>
    <w:lvl w:ilvl="0">
      <w:lvlJc w:val="left"/>
      <w:lvlText w:val="%1."/>
      <w:numFmt w:val="decimal"/>
      <w:start w:val="110"/>
    </w:lvl>
    <w:lvl w:ilvl="1">
      <w:lvlJc w:val="left"/>
      <w:lvlText w:val="(%2)"/>
      <w:numFmt w:val="lowerLetter"/>
      <w:start w:val="1"/>
    </w:lvl>
  </w:abstractNum>
  <w:abstractNum w:abstractNumId="117">
    <w:nsid w:val="E3E47A8"/>
    <w:multiLevelType w:val="hybridMultilevel"/>
    <w:lvl w:ilvl="0">
      <w:lvlJc w:val="left"/>
      <w:lvlText w:val="%1."/>
      <w:numFmt w:val="decimal"/>
      <w:start w:val="111"/>
    </w:lvl>
    <w:lvl w:ilvl="1">
      <w:lvlJc w:val="left"/>
      <w:lvlText w:val="(%2)"/>
      <w:numFmt w:val="lowerLetter"/>
      <w:start w:val="1"/>
    </w:lvl>
  </w:abstractNum>
  <w:abstractNum w:abstractNumId="118">
    <w:nsid w:val="2E48F04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19">
    <w:nsid w:val="49D0FEAC"/>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
    </w:lvl>
  </w:abstractNum>
  <w:abstractNum w:abstractNumId="120">
    <w:nsid w:val="4BEE5A5B"/>
    <w:multiLevelType w:val="hybridMultilevel"/>
    <w:lvl w:ilvl="0">
      <w:lvlJc w:val="left"/>
      <w:lvlText w:val="%1."/>
      <w:numFmt w:val="decimal"/>
      <w:start w:val="114"/>
    </w:lvl>
    <w:lvl w:ilvl="1">
      <w:lvlJc w:val="left"/>
      <w:lvlText w:val="%2"/>
      <w:numFmt w:val="lowerLetter"/>
      <w:start w:val="1"/>
    </w:lvl>
    <w:lvl w:ilvl="2">
      <w:lvlJc w:val="left"/>
      <w:lvlText w:val="%3"/>
      <w:numFmt w:val="lowerLetter"/>
      <w:start w:val="1"/>
    </w:lvl>
  </w:abstractNum>
  <w:abstractNum w:abstractNumId="121">
    <w:nsid w:val="5551B9F3"/>
    <w:multiLevelType w:val="hybridMultilevel"/>
    <w:lvl w:ilvl="0">
      <w:lvlJc w:val="left"/>
      <w:lvlText w:val="%1."/>
      <w:numFmt w:val="decimal"/>
      <w:start w:val="115"/>
    </w:lvl>
  </w:abstractNum>
  <w:abstractNum w:abstractNumId="122">
    <w:nsid w:val="24F6AB8E"/>
    <w:multiLevelType w:val="hybridMultilevel"/>
    <w:lvl w:ilvl="0">
      <w:lvlJc w:val="left"/>
      <w:lvlText w:val="%1."/>
      <w:numFmt w:val="decimal"/>
      <w:start w:val="120"/>
    </w:lvl>
  </w:abstractNum>
  <w:abstractNum w:abstractNumId="123">
    <w:nsid w:val="634C574C"/>
    <w:multiLevelType w:val="hybridMultilevel"/>
    <w:lvl w:ilvl="0">
      <w:lvlJc w:val="left"/>
      <w:lvlText w:val="%1."/>
      <w:numFmt w:val="decimal"/>
      <w:start w:val="127"/>
    </w:lvl>
  </w:abstractNum>
  <w:abstractNum w:abstractNumId="124">
    <w:nsid w:val="24E99DD7"/>
    <w:multiLevelType w:val="hybridMultilevel"/>
    <w:lvl w:ilvl="0">
      <w:lvlJc w:val="left"/>
      <w:lvlText w:val="%1."/>
      <w:numFmt w:val="decimal"/>
      <w:start w:val="25"/>
    </w:lvl>
  </w:abstractNum>
  <w:abstractNum w:abstractNumId="125">
    <w:nsid w:val="2A31B62D"/>
    <w:multiLevelType w:val="hybridMultilevel"/>
    <w:lvl w:ilvl="0">
      <w:lvlJc w:val="left"/>
      <w:lvlText w:val="%1."/>
      <w:numFmt w:val="decimal"/>
      <w:start w:val="131"/>
    </w:lvl>
    <w:lvl w:ilvl="1">
      <w:lvlJc w:val="left"/>
      <w:lvlText w:val="(%2)"/>
      <w:numFmt w:val="lowerLetter"/>
      <w:start w:val="1"/>
    </w:lvl>
  </w:abstractNum>
  <w:abstractNum w:abstractNumId="126">
    <w:nsid w:val="1849C29B"/>
    <w:multiLevelType w:val="hybridMultilevel"/>
    <w:lvl w:ilvl="0">
      <w:lvlJc w:val="left"/>
      <w:lvlText w:val="%1"/>
      <w:numFmt w:val="decimal"/>
      <w:start w:val="1"/>
    </w:lvl>
    <w:lvl w:ilvl="1">
      <w:lvlJc w:val="left"/>
      <w:lvlText w:val="(%2)"/>
      <w:numFmt w:val="lowerLetter"/>
      <w:start w:val="3"/>
    </w:lvl>
  </w:abstractNum>
  <w:abstractNum w:abstractNumId="127">
    <w:nsid w:val="7DFF9D09"/>
    <w:multiLevelType w:val="hybridMultilevel"/>
    <w:lvl w:ilvl="0">
      <w:lvlJc w:val="left"/>
      <w:lvlText w:val="%1."/>
      <w:numFmt w:val="decimal"/>
      <w:start w:val="136"/>
    </w:lvl>
    <w:lvl w:ilvl="1">
      <w:lvlJc w:val="left"/>
      <w:lvlText w:val="(%2)"/>
      <w:numFmt w:val="lowerLetter"/>
      <w:start w:val="1"/>
    </w:lvl>
  </w:abstractNum>
  <w:abstractNum w:abstractNumId="128">
    <w:nsid w:val="754342"/>
    <w:multiLevelType w:val="hybridMultilevel"/>
    <w:lvl w:ilvl="0">
      <w:lvlJc w:val="left"/>
      <w:lvlText w:val="%1."/>
      <w:numFmt w:val="decimal"/>
      <w:start w:val="137"/>
    </w:lvl>
    <w:lvl w:ilvl="1">
      <w:lvlJc w:val="left"/>
      <w:lvlText w:val="(%2)"/>
      <w:numFmt w:val="lowerLetter"/>
      <w:start w:val="1"/>
    </w:lvl>
  </w:abstractNum>
  <w:abstractNum w:abstractNumId="129">
    <w:nsid w:val="69E7F3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30">
    <w:nsid w:val="2A6DE806"/>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
    </w:lvl>
  </w:abstractNum>
  <w:abstractNum w:abstractNumId="131">
    <w:nsid w:val="1816F8C4"/>
    <w:multiLevelType w:val="hybridMultilevel"/>
    <w:lvl w:ilvl="0">
      <w:lvlJc w:val="left"/>
      <w:lvlText w:val="%1."/>
      <w:numFmt w:val="decimal"/>
      <w:start w:val="140"/>
    </w:lvl>
    <w:lvl w:ilvl="1">
      <w:lvlJc w:val="left"/>
      <w:lvlText w:val="%2"/>
      <w:numFmt w:val="lowerLetter"/>
      <w:start w:val="1"/>
    </w:lvl>
    <w:lvl w:ilvl="2">
      <w:lvlJc w:val="left"/>
      <w:lvlText w:val="%3"/>
      <w:numFmt w:val="lowerLetter"/>
      <w:start w:val="1"/>
    </w:lvl>
  </w:abstractNum>
  <w:abstractNum w:abstractNumId="132">
    <w:nsid w:val="37DF2233"/>
    <w:multiLevelType w:val="hybridMultilevel"/>
    <w:lvl w:ilvl="0">
      <w:lvlJc w:val="left"/>
      <w:lvlText w:val="%1."/>
      <w:numFmt w:val="decimal"/>
      <w:start w:val="141"/>
    </w:lvl>
  </w:abstractNum>
  <w:abstractNum w:abstractNumId="133">
    <w:nsid w:val="7AB49DAF"/>
    <w:multiLevelType w:val="hybridMultilevel"/>
    <w:lvl w:ilvl="0">
      <w:lvlJc w:val="left"/>
      <w:lvlText w:val="%1."/>
      <w:numFmt w:val="decimal"/>
      <w:start w:val="145"/>
    </w:lvl>
  </w:abstractNum>
  <w:abstractNum w:abstractNumId="134">
    <w:nsid w:val="759F82CD"/>
    <w:multiLevelType w:val="hybridMultilevel"/>
    <w:lvl w:ilvl="0">
      <w:lvlJc w:val="left"/>
      <w:lvlText w:val="%1."/>
      <w:numFmt w:val="decimal"/>
      <w:start w:val="153"/>
    </w:lvl>
  </w:abstractNum>
  <w:abstractNum w:abstractNumId="135">
    <w:nsid w:val="61E74EA3"/>
    <w:multiLevelType w:val="hybridMultilevel"/>
    <w:lvl w:ilvl="0">
      <w:lvlJc w:val="left"/>
      <w:lvlText w:val="%1."/>
      <w:numFmt w:val="decimal"/>
      <w:start w:val="31"/>
    </w:lvl>
  </w:abstractNum>
  <w:abstractNum w:abstractNumId="136">
    <w:nsid w:val="597B4D8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37">
    <w:nsid w:val="F819E7F"/>
    <w:multiLevelType w:val="hybridMultilevel"/>
    <w:lvl w:ilvl="0">
      <w:lvlJc w:val="left"/>
      <w:lvlText w:val="(%1)"/>
      <w:numFmt w:val="decimal"/>
      <w:start w:val="60"/>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38">
    <w:nsid w:val="57C7D42D"/>
    <w:multiLevelType w:val="hybridMultilevel"/>
    <w:lvl w:ilvl="0">
      <w:lvlJc w:val="left"/>
      <w:lvlText w:val="%1"/>
      <w:numFmt w:val="decimal"/>
      <w:start w:val="1"/>
    </w:lvl>
    <w:lvl w:ilvl="1">
      <w:lvlJc w:val="left"/>
      <w:lvlText w:val="(%2)"/>
      <w:numFmt w:val="lowerLetter"/>
      <w:start w:val="3"/>
    </w:lvl>
  </w:abstractNum>
  <w:abstractNum w:abstractNumId="139">
    <w:nsid w:val="312167AD"/>
    <w:multiLevelType w:val="hybridMultilevel"/>
    <w:lvl w:ilvl="0">
      <w:lvlJc w:val="left"/>
      <w:lvlText w:val="%1."/>
      <w:numFmt w:val="decimal"/>
      <w:start w:val="5"/>
    </w:lvl>
    <w:lvl w:ilvl="1">
      <w:lvlJc w:val="left"/>
      <w:lvlText w:val="(%2)"/>
      <w:numFmt w:val="lowerLetter"/>
      <w:start w:val="1"/>
    </w:lvl>
  </w:abstractNum>
  <w:abstractNum w:abstractNumId="140">
    <w:nsid w:val="631B64D4"/>
    <w:multiLevelType w:val="hybridMultilevel"/>
    <w:lvl w:ilvl="0">
      <w:lvlJc w:val="left"/>
      <w:lvlText w:val="%1"/>
      <w:numFmt w:val="decimal"/>
      <w:start w:val="1"/>
    </w:lvl>
    <w:lvl w:ilvl="1">
      <w:lvlJc w:val="left"/>
      <w:lvlText w:val="(%2)"/>
      <w:numFmt w:val="lowerLetter"/>
      <w:start w:val="2"/>
    </w:lvl>
  </w:abstractNum>
  <w:abstractNum w:abstractNumId="141">
    <w:nsid w:val="78B5E776"/>
    <w:multiLevelType w:val="hybridMultilevel"/>
    <w:lvl w:ilvl="0">
      <w:lvlJc w:val="left"/>
      <w:lvlText w:val="%1."/>
      <w:numFmt w:val="decimal"/>
      <w:start w:val="9"/>
    </w:lvl>
    <w:lvl w:ilvl="1">
      <w:lvlJc w:val="left"/>
      <w:lvlText w:val="%2"/>
      <w:numFmt w:val="lowerLetter"/>
      <w:start w:val="1"/>
    </w:lvl>
  </w:abstractNum>
  <w:abstractNum w:abstractNumId="142">
    <w:nsid w:val="75486E47"/>
    <w:multiLevelType w:val="hybridMultilevel"/>
    <w:lvl w:ilvl="0">
      <w:lvlJc w:val="left"/>
      <w:lvlText w:val="%1."/>
      <w:numFmt w:val="decimal"/>
      <w:start w:val="10"/>
    </w:lvl>
    <w:lvl w:ilvl="1">
      <w:lvlJc w:val="left"/>
      <w:lvlText w:val="(%2)"/>
      <w:numFmt w:val="lowerLetter"/>
      <w:start w:val="1"/>
    </w:lvl>
  </w:abstractNum>
  <w:abstractNum w:abstractNumId="143">
    <w:nsid w:val="6E534CDE"/>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44">
    <w:nsid w:val="1A0DDE32"/>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45">
    <w:nsid w:val="65968C1C"/>
    <w:multiLevelType w:val="hybridMultilevel"/>
    <w:lvl w:ilvl="0">
      <w:lvlJc w:val="left"/>
      <w:lvlText w:val="%1."/>
      <w:numFmt w:val="decimal"/>
      <w:start w:val="14"/>
    </w:lvl>
  </w:abstractNum>
  <w:abstractNum w:abstractNumId="146">
    <w:nsid w:val="46263DEC"/>
    <w:multiLevelType w:val="hybridMultilevel"/>
    <w:lvl w:ilvl="0">
      <w:lvlJc w:val="left"/>
      <w:lvlText w:val="%1."/>
      <w:numFmt w:val="decimal"/>
      <w:start w:val="15"/>
    </w:lvl>
  </w:abstractNum>
  <w:abstractNum w:abstractNumId="147">
    <w:nsid w:val="260D8C4A"/>
    <w:multiLevelType w:val="hybridMultilevel"/>
    <w:lvl w:ilvl="0">
      <w:lvlJc w:val="left"/>
      <w:lvlText w:val="%1."/>
      <w:numFmt w:val="decimal"/>
      <w:start w:val="17"/>
    </w:lvl>
  </w:abstractNum>
  <w:abstractNum w:abstractNumId="148">
    <w:nsid w:val="73D4D3C4"/>
    <w:multiLevelType w:val="hybridMultilevel"/>
    <w:lvl w:ilvl="0">
      <w:lvlJc w:val="left"/>
      <w:lvlText w:val="%1."/>
      <w:numFmt w:val="decimal"/>
      <w:start w:val="24"/>
    </w:lvl>
  </w:abstractNum>
  <w:abstractNum w:abstractNumId="149">
    <w:nsid w:val="746F2E30"/>
    <w:multiLevelType w:val="hybridMultilevel"/>
    <w:lvl w:ilvl="0">
      <w:lvlJc w:val="left"/>
      <w:lvlText w:val="%1."/>
      <w:numFmt w:val="decimal"/>
      <w:start w:val="1"/>
    </w:lvl>
    <w:lvl w:ilvl="1">
      <w:lvlJc w:val="left"/>
      <w:lvlText w:val="%2)"/>
      <w:numFmt w:val="lowerLetter"/>
      <w:start w:val="1"/>
    </w:lvl>
  </w:abstractNum>
  <w:abstractNum w:abstractNumId="150">
    <w:nsid w:val="6FDE8AF6"/>
    <w:multiLevelType w:val="hybridMultilevel"/>
    <w:lvl w:ilvl="0">
      <w:lvlJc w:val="left"/>
      <w:lvlText w:val="%1)"/>
      <w:numFmt w:val="lowerLetter"/>
      <w:start w:val="1"/>
    </w:lvl>
  </w:abstractNum>
  <w:abstractNum w:abstractNumId="151">
    <w:nsid w:val="3FC32E20"/>
    <w:multiLevelType w:val="hybridMultilevel"/>
    <w:lvl w:ilvl="0">
      <w:lvlJc w:val="left"/>
      <w:lvlText w:val="%1."/>
      <w:numFmt w:val="decimal"/>
      <w:start w:val="1"/>
    </w:lvl>
    <w:lvl w:ilvl="1">
      <w:lvlJc w:val="left"/>
      <w:lvlText w:val="%2)"/>
      <w:numFmt w:val="lowerLetter"/>
      <w:start w:val="1"/>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46"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png"/><Relationship Id="rId204"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08" Type="http://schemas.openxmlformats.org/officeDocument/2006/relationships/image" Target="media/image169.png"/><Relationship Id="rId209" Type="http://schemas.openxmlformats.org/officeDocument/2006/relationships/image" Target="media/image170.png"/><Relationship Id="rId210"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jpe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jpeg"/><Relationship Id="rId241"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png"/><Relationship Id="rId244" Type="http://schemas.openxmlformats.org/officeDocument/2006/relationships/image" Target="media/image205.pn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52" Type="http://schemas.openxmlformats.org/officeDocument/2006/relationships/image" Target="media/image213.png"/><Relationship Id="rId253" Type="http://schemas.openxmlformats.org/officeDocument/2006/relationships/image" Target="media/image214.jpeg"/><Relationship Id="rId254" Type="http://schemas.openxmlformats.org/officeDocument/2006/relationships/image" Target="media/image215.png"/><Relationship Id="rId255" Type="http://schemas.openxmlformats.org/officeDocument/2006/relationships/image" Target="media/image216.png"/><Relationship Id="rId256" Type="http://schemas.openxmlformats.org/officeDocument/2006/relationships/image" Target="media/image217.png"/><Relationship Id="rId257" Type="http://schemas.openxmlformats.org/officeDocument/2006/relationships/image" Target="media/image218.png"/><Relationship Id="rId258" Type="http://schemas.openxmlformats.org/officeDocument/2006/relationships/image" Target="media/image219.png"/><Relationship Id="rId259" Type="http://schemas.openxmlformats.org/officeDocument/2006/relationships/image" Target="media/image220.png"/><Relationship Id="rId260" Type="http://schemas.openxmlformats.org/officeDocument/2006/relationships/image" Target="media/image221.png"/><Relationship Id="rId261" Type="http://schemas.openxmlformats.org/officeDocument/2006/relationships/image" Target="media/image222.png"/><Relationship Id="rId262" Type="http://schemas.openxmlformats.org/officeDocument/2006/relationships/image" Target="media/image223.png"/><Relationship Id="rId263" Type="http://schemas.openxmlformats.org/officeDocument/2006/relationships/image" Target="media/image224.png"/><Relationship Id="rId264" Type="http://schemas.openxmlformats.org/officeDocument/2006/relationships/image" Target="media/image225.png"/><Relationship Id="rId265" Type="http://schemas.openxmlformats.org/officeDocument/2006/relationships/image" Target="media/image226.png"/><Relationship Id="rId266" Type="http://schemas.openxmlformats.org/officeDocument/2006/relationships/image" Target="media/image227.png"/><Relationship Id="rId267" Type="http://schemas.openxmlformats.org/officeDocument/2006/relationships/image" Target="media/image228.jpeg"/><Relationship Id="rId268" Type="http://schemas.openxmlformats.org/officeDocument/2006/relationships/image" Target="media/image229.png"/><Relationship Id="rId269" Type="http://schemas.openxmlformats.org/officeDocument/2006/relationships/image" Target="media/image230.png"/><Relationship Id="rId270" Type="http://schemas.openxmlformats.org/officeDocument/2006/relationships/image" Target="media/image231.png"/><Relationship Id="rId271" Type="http://schemas.openxmlformats.org/officeDocument/2006/relationships/image" Target="media/image232.png"/><Relationship Id="rId272" Type="http://schemas.openxmlformats.org/officeDocument/2006/relationships/image" Target="media/image233.png"/><Relationship Id="rId273" Type="http://schemas.openxmlformats.org/officeDocument/2006/relationships/image" Target="media/image234.png"/><Relationship Id="rId274" Type="http://schemas.openxmlformats.org/officeDocument/2006/relationships/image" Target="media/image235.png"/><Relationship Id="rId275" Type="http://schemas.openxmlformats.org/officeDocument/2006/relationships/image" Target="media/image236.png"/><Relationship Id="rId276" Type="http://schemas.openxmlformats.org/officeDocument/2006/relationships/image" Target="media/image237.png"/><Relationship Id="rId277" Type="http://schemas.openxmlformats.org/officeDocument/2006/relationships/image" Target="media/image238.png"/><Relationship Id="rId278" Type="http://schemas.openxmlformats.org/officeDocument/2006/relationships/image" Target="media/image239.png"/><Relationship Id="rId279" Type="http://schemas.openxmlformats.org/officeDocument/2006/relationships/image" Target="media/image240.png"/><Relationship Id="rId280" Type="http://schemas.openxmlformats.org/officeDocument/2006/relationships/image" Target="media/image241.png"/><Relationship Id="rId281" Type="http://schemas.openxmlformats.org/officeDocument/2006/relationships/image" Target="media/image242.png"/><Relationship Id="rId282" Type="http://schemas.openxmlformats.org/officeDocument/2006/relationships/image" Target="media/image243.png"/><Relationship Id="rId283" Type="http://schemas.openxmlformats.org/officeDocument/2006/relationships/image" Target="media/image244.png"/><Relationship Id="rId284" Type="http://schemas.openxmlformats.org/officeDocument/2006/relationships/image" Target="media/image245.png"/><Relationship Id="rId285" Type="http://schemas.openxmlformats.org/officeDocument/2006/relationships/image" Target="media/image246.png"/><Relationship Id="rId286" Type="http://schemas.openxmlformats.org/officeDocument/2006/relationships/image" Target="media/image247.png"/><Relationship Id="rId287" Type="http://schemas.openxmlformats.org/officeDocument/2006/relationships/image" Target="media/image248.png"/><Relationship Id="rId288" Type="http://schemas.openxmlformats.org/officeDocument/2006/relationships/image" Target="media/image249.png"/><Relationship Id="rId289" Type="http://schemas.openxmlformats.org/officeDocument/2006/relationships/image" Target="media/image250.png"/><Relationship Id="rId290" Type="http://schemas.openxmlformats.org/officeDocument/2006/relationships/image" Target="media/image251.png"/><Relationship Id="rId291" Type="http://schemas.openxmlformats.org/officeDocument/2006/relationships/image" Target="media/image252.png"/><Relationship Id="rId292" Type="http://schemas.openxmlformats.org/officeDocument/2006/relationships/image" Target="media/image253.png"/><Relationship Id="rId293" Type="http://schemas.openxmlformats.org/officeDocument/2006/relationships/image" Target="media/image254.png"/><Relationship Id="rId294" Type="http://schemas.openxmlformats.org/officeDocument/2006/relationships/image" Target="media/image255.png"/><Relationship Id="rId295" Type="http://schemas.openxmlformats.org/officeDocument/2006/relationships/image" Target="media/image256.jpeg"/><Relationship Id="rId296" Type="http://schemas.openxmlformats.org/officeDocument/2006/relationships/image" Target="media/image257.png"/><Relationship Id="rId297" Type="http://schemas.openxmlformats.org/officeDocument/2006/relationships/image" Target="media/image258.png"/><Relationship Id="rId298" Type="http://schemas.openxmlformats.org/officeDocument/2006/relationships/image" Target="media/image259.png"/><Relationship Id="rId299" Type="http://schemas.openxmlformats.org/officeDocument/2006/relationships/image" Target="media/image260.png"/><Relationship Id="rId300" Type="http://schemas.openxmlformats.org/officeDocument/2006/relationships/image" Target="media/image261.png"/><Relationship Id="rId301" Type="http://schemas.openxmlformats.org/officeDocument/2006/relationships/image" Target="media/image262.png"/><Relationship Id="rId302" Type="http://schemas.openxmlformats.org/officeDocument/2006/relationships/image" Target="media/image263.png"/><Relationship Id="rId303" Type="http://schemas.openxmlformats.org/officeDocument/2006/relationships/image" Target="media/image264.png"/><Relationship Id="rId304" Type="http://schemas.openxmlformats.org/officeDocument/2006/relationships/image" Target="media/image265.png"/><Relationship Id="rId305" Type="http://schemas.openxmlformats.org/officeDocument/2006/relationships/image" Target="media/image266.png"/><Relationship Id="rId306" Type="http://schemas.openxmlformats.org/officeDocument/2006/relationships/image" Target="media/image267.png"/><Relationship Id="rId307" Type="http://schemas.openxmlformats.org/officeDocument/2006/relationships/image" Target="media/image268.png"/><Relationship Id="rId308" Type="http://schemas.openxmlformats.org/officeDocument/2006/relationships/image" Target="media/image269.png"/><Relationship Id="rId309" Type="http://schemas.openxmlformats.org/officeDocument/2006/relationships/image" Target="media/image270.png"/><Relationship Id="rId310" Type="http://schemas.openxmlformats.org/officeDocument/2006/relationships/image" Target="media/image271.png"/><Relationship Id="rId311" Type="http://schemas.openxmlformats.org/officeDocument/2006/relationships/image" Target="media/image272.png"/><Relationship Id="rId312" Type="http://schemas.openxmlformats.org/officeDocument/2006/relationships/image" Target="media/image273.png"/><Relationship Id="rId313" Type="http://schemas.openxmlformats.org/officeDocument/2006/relationships/image" Target="media/image274.png"/><Relationship Id="rId314" Type="http://schemas.openxmlformats.org/officeDocument/2006/relationships/image" Target="media/image275.png"/><Relationship Id="rId315" Type="http://schemas.openxmlformats.org/officeDocument/2006/relationships/image" Target="media/image276.png"/><Relationship Id="rId316" Type="http://schemas.openxmlformats.org/officeDocument/2006/relationships/image" Target="media/image277.png"/><Relationship Id="rId317" Type="http://schemas.openxmlformats.org/officeDocument/2006/relationships/image" Target="media/image278.png"/><Relationship Id="rId318" Type="http://schemas.openxmlformats.org/officeDocument/2006/relationships/image" Target="media/image279.png"/><Relationship Id="rId319" Type="http://schemas.openxmlformats.org/officeDocument/2006/relationships/image" Target="media/image280.png"/><Relationship Id="rId320" Type="http://schemas.openxmlformats.org/officeDocument/2006/relationships/image" Target="media/image281.png"/><Relationship Id="rId321" Type="http://schemas.openxmlformats.org/officeDocument/2006/relationships/image" Target="media/image282.png"/><Relationship Id="rId322" Type="http://schemas.openxmlformats.org/officeDocument/2006/relationships/image" Target="media/image283.png"/><Relationship Id="rId323" Type="http://schemas.openxmlformats.org/officeDocument/2006/relationships/image" Target="media/image284.png"/><Relationship Id="rId324" Type="http://schemas.openxmlformats.org/officeDocument/2006/relationships/image" Target="media/image285.png"/><Relationship Id="rId325" Type="http://schemas.openxmlformats.org/officeDocument/2006/relationships/image" Target="media/image286.png"/><Relationship Id="rId326" Type="http://schemas.openxmlformats.org/officeDocument/2006/relationships/image" Target="media/image287.png"/><Relationship Id="rId327" Type="http://schemas.openxmlformats.org/officeDocument/2006/relationships/image" Target="media/image288.png"/><Relationship Id="rId328" Type="http://schemas.openxmlformats.org/officeDocument/2006/relationships/image" Target="media/image289.png"/><Relationship Id="rId119" Type="http://schemas.openxmlformats.org/officeDocument/2006/relationships/hyperlink" Target="http://www.sec.gov/Archives/edgar/data/1625101/000162510118000036/plse-20180618xex2_1.htm" TargetMode="External"/><Relationship Id="rId120" Type="http://schemas.openxmlformats.org/officeDocument/2006/relationships/hyperlink" Target="http://www.sec.gov/Archives/edgar/data/1625101/000162510118000036/plse-20180618xex3_1.htm" TargetMode="External"/><Relationship Id="rId121" Type="http://schemas.openxmlformats.org/officeDocument/2006/relationships/hyperlink" Target="http://www.sec.gov/Archives/edgar/data/1625101/000162510118000036/plse-20180618xex3_2.htm" TargetMode="External"/><Relationship Id="rId122" Type="http://schemas.openxmlformats.org/officeDocument/2006/relationships/hyperlink" Target="http://www.sec.gov/Archives/edgar/data/1625101/000162510118000036/plse-20180618xex3_3.htm" TargetMode="External"/><Relationship Id="rId123" Type="http://schemas.openxmlformats.org/officeDocument/2006/relationships/hyperlink" Target="http://www.sec.gov/Archives/edgar/data/1625101/000162510118000036/plse-20180618xex3_4.htm" TargetMode="External"/><Relationship Id="rId124" Type="http://schemas.openxmlformats.org/officeDocument/2006/relationships/hyperlink" Target="http://www.sec.gov/Archives/edgar/data/1625101/000162510118000036/plse-20180618xex4_1.htm" TargetMode="External"/><Relationship Id="rId125" Type="http://schemas.openxmlformats.org/officeDocument/2006/relationships/hyperlink" Target="http://www.sec.gov/Archives/edgar/data/1625101/000119312515410608/d11949dex42.htm" TargetMode="External"/><Relationship Id="rId126" Type="http://schemas.openxmlformats.org/officeDocument/2006/relationships/hyperlink" Target="http://www.sec.gov/Archives/edgar/data/1625101/000119312515410608/d11949dex107.htm" TargetMode="External"/><Relationship Id="rId127" Type="http://schemas.openxmlformats.org/officeDocument/2006/relationships/hyperlink" Target="http://www.sec.gov/Archives/edgar/data/1625101/000162510120000011/plse-20191231xex4_6.htm" TargetMode="External"/><Relationship Id="rId128" Type="http://schemas.openxmlformats.org/officeDocument/2006/relationships/hyperlink" Target="http://www.sec.gov/Archives/edgar/data/1625101/000114036120010389/nt10010624x8_ex4-3.htm" TargetMode="External"/><Relationship Id="rId129" Type="http://schemas.openxmlformats.org/officeDocument/2006/relationships/hyperlink" Target="http://www.sec.gov/Archives/edgar/data/1625101/000114036120010389/nt10010624x8_ex4-4.htm" TargetMode="External"/><Relationship Id="rId130" Type="http://schemas.openxmlformats.org/officeDocument/2006/relationships/hyperlink" Target="http://www.sec.gov/Archives/edgar/data/1625101/000162510117000011/plse-20161231xex10_1.htm" TargetMode="External"/><Relationship Id="rId131" Type="http://schemas.openxmlformats.org/officeDocument/2006/relationships/hyperlink" Target="http://www.sec.gov/Archives/edgar/data/1625101/000119312516575202/d11949dex1012.htm" TargetMode="External"/><Relationship Id="rId132" Type="http://schemas.openxmlformats.org/officeDocument/2006/relationships/hyperlink" Target="http://www.sec.gov/Archives/edgar/data/1625101/000119312516495268/d11949dex1013.htm" TargetMode="External"/><Relationship Id="rId133" Type="http://schemas.openxmlformats.org/officeDocument/2006/relationships/hyperlink" Target="http://www.sec.gov/Archives/edgar/data/1625101/000119312516575202/d11949dex1014.htm" TargetMode="External"/><Relationship Id="rId134" Type="http://schemas.openxmlformats.org/officeDocument/2006/relationships/hyperlink" Target="http://www.sec.gov/Archives/edgar/data/1625101/000119312516575202/d11949dex1015.htm" TargetMode="External"/><Relationship Id="rId135" Type="http://schemas.openxmlformats.org/officeDocument/2006/relationships/hyperlink" Target="http://www.sec.gov/Archives/edgar/data/1625101/000156276217000015/plse-20170210xex10_1.htm" TargetMode="External"/><Relationship Id="rId136" Type="http://schemas.openxmlformats.org/officeDocument/2006/relationships/hyperlink" Target="http://www.sec.gov/Archives/edgar/data/1625101/000162510117000030/plse-20170925xex10_1.htm" TargetMode="External"/><Relationship Id="rId137" Type="http://schemas.openxmlformats.org/officeDocument/2006/relationships/hyperlink" Target="http://www.sec.gov/Archives/edgar/data/1625101/000119312515410608/d11949dex102.htm" TargetMode="External"/><Relationship Id="rId138" Type="http://schemas.openxmlformats.org/officeDocument/2006/relationships/hyperlink" Target="http://www.sec.gov/Archives/edgar/data/1625101/000162510117000044/plse-20171128xex10_1.htm" TargetMode="External"/><Relationship Id="rId139" Type="http://schemas.openxmlformats.org/officeDocument/2006/relationships/hyperlink" Target="http://www.sec.gov/Archives/edgar/data/1625101/000156276217000071/plse-20170519xex10_2.htm" TargetMode="External"/><Relationship Id="rId140" Type="http://schemas.openxmlformats.org/officeDocument/2006/relationships/hyperlink" Target="http://www.sec.gov/Archives/edgar/data/1625101/000119312515410608/d11949dex103.htm" TargetMode="External"/><Relationship Id="rId141" Type="http://schemas.openxmlformats.org/officeDocument/2006/relationships/hyperlink" Target="http://www.sec.gov/Archives/edgar/data/1625101/000119312515410608/d11949dex109.htm" TargetMode="External"/><Relationship Id="rId142" Type="http://schemas.openxmlformats.org/officeDocument/2006/relationships/hyperlink" Target="http://www.sec.gov/Archives/edgar/data/1625101/000156276216000431/plse-20161011xex10_1.htm" TargetMode="External"/><Relationship Id="rId143" Type="http://schemas.openxmlformats.org/officeDocument/2006/relationships/hyperlink" Target="http://www.sec.gov/Archives/edgar/data/1625101/000119312515410608/d11949dex1010.htm" TargetMode="External"/><Relationship Id="rId144" Type="http://schemas.openxmlformats.org/officeDocument/2006/relationships/hyperlink" Target="http://www.sec.gov/Archives/edgar/data/1625101/000162510118000036/plse-20180618xex10_1.htm" TargetMode="External"/><Relationship Id="rId145" Type="http://schemas.openxmlformats.org/officeDocument/2006/relationships/hyperlink" Target="http://www.sec.gov/Archives/edgar/data/1625101/000162510120000041/plse-20200630xex10_1.htm" TargetMode="External"/><Relationship Id="rId147" Type="http://schemas.openxmlformats.org/officeDocument/2006/relationships/hyperlink" Target="http://www.sec.gov/Archives/edgar/data/1625101/000162510119000025/plse-20190531xex10_19.htm" TargetMode="External"/><Relationship Id="rId148" Type="http://schemas.openxmlformats.org/officeDocument/2006/relationships/hyperlink" Target="http://www.sec.gov/Archives/edgar/data/1625101/000162510119000008/plse-20181231xex10_17.htm" TargetMode="External"/><Relationship Id="rId149" Type="http://schemas.openxmlformats.org/officeDocument/2006/relationships/hyperlink" Target="http://www.sec.gov/Archives/edgar/data/1625101/000162510119000037/plse-20191107xex10_1.htm" TargetMode="External"/><Relationship Id="rId150" Type="http://schemas.openxmlformats.org/officeDocument/2006/relationships/hyperlink" Target="http://www.sec.gov/Archives/edgar/data/1625101/000119312521028155/d117634dex11.htm" TargetMode="External"/><Relationship Id="rId168" Type="http://schemas.openxmlformats.org/officeDocument/2006/relationships/hyperlink" Target="http://www.sec.gov/Archives/edgar/data/1625101/000162510121000012/plse-20210311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2021-03-12T16:35:22Z</dcterms:created>
  <dcterms:modified xsi:type="dcterms:W3CDTF">2021-03-12T16:35:22Z</dcterms:modified>
</cp:coreProperties>
</file>