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52" w:lineRule="exact"/>
        <w:rPr>
          <w:sz w:val="24"/>
          <w:szCs w:val="24"/>
          <w:color w:val="auto"/>
        </w:rPr>
      </w:pPr>
    </w:p>
    <w:tbl>
      <w:tblPr>
        <w:tblLayout w:type="fixed"/>
        <w:tblInd w:w="900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 File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001-37744</w:t>
            </w:r>
          </w:p>
        </w:tc>
      </w:tr>
    </w:tbl>
    <w:p>
      <w:pPr>
        <w:ind w:left="9000"/>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74587B101</w:t>
      </w:r>
    </w:p>
    <w:p>
      <w:pPr>
        <w:spacing w:after="0" w:line="382" w:lineRule="exact"/>
        <w:rPr>
          <w:sz w:val="24"/>
          <w:szCs w:val="24"/>
          <w:color w:val="auto"/>
        </w:rPr>
      </w:pPr>
    </w:p>
    <w:p>
      <w:pPr>
        <w:spacing w:after="0" w:line="207" w:lineRule="exact"/>
        <w:tabs>
          <w:tab w:leader="none" w:pos="1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10-K</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20-F</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11-K</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10-Q</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10-D</w:t>
      </w:r>
    </w:p>
    <w:p>
      <w:pPr>
        <w:spacing w:after="0" w:line="63" w:lineRule="exact"/>
        <w:rPr>
          <w:sz w:val="24"/>
          <w:szCs w:val="24"/>
          <w:color w:val="auto"/>
        </w:rPr>
      </w:pPr>
    </w:p>
    <w:p>
      <w:pPr>
        <w:ind w:left="1340" w:hanging="198"/>
        <w:spacing w:after="0" w:line="207" w:lineRule="exact"/>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140"/>
        <w:spacing w:after="0"/>
        <w:tabs>
          <w:tab w:leader="none" w:pos="2760" w:val="left"/>
        </w:tabs>
        <w:rPr>
          <w:sz w:val="20"/>
          <w:szCs w:val="20"/>
          <w:color w:val="auto"/>
        </w:rPr>
      </w:pPr>
      <w:r>
        <w:rPr>
          <w:rFonts w:ascii="Times New Roman" w:cs="Times New Roman" w:eastAsia="Times New Roman" w:hAnsi="Times New Roman"/>
          <w:sz w:val="18"/>
          <w:szCs w:val="18"/>
          <w:color w:val="auto"/>
        </w:rPr>
        <w:t>For Period Ended:</w:t>
      </w:r>
      <w:r>
        <w:rPr>
          <w:sz w:val="20"/>
          <w:szCs w:val="20"/>
          <w:color w:val="auto"/>
        </w:rPr>
        <w:tab/>
      </w:r>
      <w:r>
        <w:rPr>
          <w:rFonts w:ascii="Times New Roman" w:cs="Times New Roman" w:eastAsia="Times New Roman" w:hAnsi="Times New Roman"/>
          <w:sz w:val="17"/>
          <w:szCs w:val="17"/>
          <w:color w:val="auto"/>
        </w:rPr>
        <w:t>June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1591310</wp:posOffset>
            </wp:positionH>
            <wp:positionV relativeFrom="paragraph">
              <wp:posOffset>-7620</wp:posOffset>
            </wp:positionV>
            <wp:extent cx="980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spacing w:after="0" w:line="2" w:lineRule="exact"/>
        <w:rPr>
          <w:sz w:val="24"/>
          <w:szCs w:val="24"/>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140" w:right="7560" w:firstLine="2"/>
        <w:spacing w:after="0" w:line="288" w:lineRule="auto"/>
        <w:tabs>
          <w:tab w:leader="none" w:pos="134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432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432435"/>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-49530</wp:posOffset>
            </wp:positionV>
            <wp:extent cx="628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601 Brickell Key Drive, Suite 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Miami, FL 33131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RULE 12b-25 (b)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700" w:hanging="381"/>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700" w:hanging="38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w:t>
      </w:r>
    </w:p>
    <w:p>
      <w:pPr>
        <w:spacing w:after="0" w:line="9" w:lineRule="exact"/>
        <w:rPr>
          <w:rFonts w:ascii="Times New Roman" w:cs="Times New Roman" w:eastAsia="Times New Roman" w:hAnsi="Times New Roman"/>
          <w:sz w:val="18"/>
          <w:szCs w:val="18"/>
          <w:color w:val="auto"/>
        </w:rPr>
      </w:pPr>
    </w:p>
    <w:p>
      <w:pPr>
        <w:jc w:val="both"/>
        <w:ind w:left="1700" w:right="20" w:hanging="1213"/>
        <w:spacing w:after="0" w:line="200" w:lineRule="auto"/>
        <w:tabs>
          <w:tab w:leader="none" w:pos="170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700" w:hanging="381"/>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-816610</wp:posOffset>
            </wp:positionV>
            <wp:extent cx="825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PART 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Pulse Biosciences, Inc. (the “Company”) has determined that it is unable, without unreasonable effort or expense, to file its Quarterly Report on Form 10-Q for the fiscal quarter ended June 30, 2024 (the “Form 10-Q”) by the prescribed due date for the reasons described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reviewing the accounting treatment of its completed rights offerings of common stock and common stock warrants. Even though the accounting treatment is not expected to adversely impact the Company’s operations or the preliminary financial results reported below, the Company has determined that it is unable to file its Form 10-Q within the prescribed period of time, because it needs additional time to determine such accounting treatment and, therefore, to prepare and review its financial statements to ensure adequate disclosure of the financial information required to be included in the Form 10-Q.</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working diligently to complete the Form 10-Q and currently anticipates that it will be able to file the Form 10-Q within the 5-day extension provided under Rule 12b-25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Kenneth Stratton</w:t>
            </w:r>
          </w:p>
        </w:tc>
        <w:tc>
          <w:tcPr>
            <w:tcW w:w="32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(510)</w:t>
            </w:r>
          </w:p>
        </w:tc>
        <w:tc>
          <w:tcPr>
            <w:tcW w:w="32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906-4600</w:t>
            </w:r>
          </w:p>
        </w:tc>
      </w:tr>
      <w:tr>
        <w:trPr>
          <w:trHeight w:val="228"/>
        </w:trPr>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16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395" w:lineRule="exact"/>
        <w:rPr>
          <w:sz w:val="20"/>
          <w:szCs w:val="20"/>
          <w:color w:val="auto"/>
        </w:rPr>
      </w:pPr>
    </w:p>
    <w:p>
      <w:pPr>
        <w:ind w:left="660" w:right="160" w:hanging="652"/>
        <w:spacing w:after="0" w:line="255" w:lineRule="auto"/>
        <w:tabs>
          <w:tab w:leader="none" w:pos="6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 w:lineRule="exact"/>
        <w:rPr>
          <w:sz w:val="20"/>
          <w:szCs w:val="20"/>
          <w:color w:val="auto"/>
        </w:rPr>
      </w:pPr>
    </w:p>
    <w:p>
      <w:pPr>
        <w:ind w:left="1800"/>
        <w:spacing w:after="0" w:line="207" w:lineRule="exact"/>
        <w:tabs>
          <w:tab w:leader="none" w:pos="2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p>
    <w:p>
      <w:pPr>
        <w:spacing w:after="0" w:line="200" w:lineRule="exact"/>
        <w:rPr>
          <w:sz w:val="20"/>
          <w:szCs w:val="20"/>
          <w:color w:val="auto"/>
        </w:rPr>
      </w:pPr>
    </w:p>
    <w:p>
      <w:pPr>
        <w:spacing w:after="0" w:line="228" w:lineRule="exact"/>
        <w:rPr>
          <w:sz w:val="20"/>
          <w:szCs w:val="20"/>
          <w:color w:val="auto"/>
        </w:rPr>
      </w:pPr>
    </w:p>
    <w:p>
      <w:pPr>
        <w:ind w:left="660" w:right="300" w:hanging="652"/>
        <w:spacing w:after="0" w:line="258"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800"/>
        <w:spacing w:after="0" w:line="207" w:lineRule="exact"/>
        <w:tabs>
          <w:tab w:leader="none" w:pos="2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p>
    <w:p>
      <w:pPr>
        <w:spacing w:after="0" w:line="212"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Company’s results of operations for the three months ended June 30, 2024 are expected to reflect significant changes from the three months ended June 30, 2023. While the Company is still reviewing and finalizing its financial results, it is able to provide certain preliminary results, as previously reported in the press release furnished as an exhibit to the Company’s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August 12, 2024. The Company expects to report Total Cost and Expenses of $11.7 million for the three months ended June 30, 2024, as compared to $10.2 million for the three months ended June 30, 2023. The Company expects to report cash and cash equivalents of $26.2 million as of June 30, 2024, compared to $58.7 million as of June 30, 2023. The Company’s cash and cash equivalents as of June 30, 2024, reported in the foregoing sentence excludes $60.0 million in cash proceeds received by the Company in connection with the closing of its previously announced rights offering in July 2024. Cash used in the second quarter of 2024 was $8.7 million, compared to $10.0 million used in the same period in the prior year, and $9.5 million used in the first quarter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preliminary results based on current expectations and are still under review and subject to change. Actual results may differ.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12b-25 includes information that constitutes forward-looking statements within the meaning of the Private Securities Litigation Reform Act of 1995. These forward-looking statements are based on the Company’s current beliefs, assumptions and expectations regarding future events, which in turn are based on information currently available to the Company. Such forward-looking statements include statements regarding the anticipated timing of completion of the Company’s financial results for the three months ended June 30, 2024, and the Company’s expectations with respect to its results of operations for the three months ended June 30, 2024, the expected timing of the filing of the Form 10-Q, and the financial information to be included in the Form 10-Q.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risk that additional or different information may become known prior to the expected filing of the periodic report described herein. Other risks affecting the Company are discussed in the Company’s filings with the Securities and Exchange Commission (“SEC”), including the Company’s most recent Annual Report on Form 10-K, and any subsequent Quarterly Report on Form 10-Q and any other subsequent reports filed with the SEC. The Company undertakes no obligation to publicly update or revise any forward-looking statement, whether as a result of new information, future events or otherwise, except to the extent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17145</wp:posOffset>
            </wp:positionV>
            <wp:extent cx="2134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15, 2024</w:t>
            </w:r>
          </w:p>
        </w:tc>
        <w:tc>
          <w:tcPr>
            <w:tcW w:w="616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By:  /s/ Burke T. Barrett</w:t>
            </w:r>
          </w:p>
        </w:tc>
      </w:tr>
      <w:tr>
        <w:trPr>
          <w:trHeight w:val="191"/>
        </w:trPr>
        <w:tc>
          <w:tcPr>
            <w:tcW w:w="46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92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lvl w:ilvl="1">
      <w:lvlJc w:val="left"/>
      <w:lvlText w:val="(%2)"/>
      <w:numFmt w:val="lowerLetter"/>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2024-08-15T15:35:53Z</dcterms:created>
  <dcterms:modified xsi:type="dcterms:W3CDTF">2024-08-15T15:35:53Z</dcterms:modified>
</cp:coreProperties>
</file>