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5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15,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Pulse Biosciences,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001-37744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46-5696597</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ind w:left="1004"/>
        <w:spacing w:after="0"/>
        <w:rPr>
          <w:sz w:val="20"/>
          <w:szCs w:val="20"/>
          <w:color w:val="auto"/>
        </w:rPr>
      </w:pPr>
      <w:r>
        <w:rPr>
          <w:rFonts w:ascii="Times New Roman" w:cs="Times New Roman" w:eastAsia="Times New Roman" w:hAnsi="Times New Roman"/>
          <w:sz w:val="17"/>
          <w:szCs w:val="17"/>
          <w:b w:val="1"/>
          <w:bCs w:val="1"/>
          <w:color w:val="auto"/>
        </w:rPr>
        <w:t>601 Brickell Key Drive, Suite 1000, Miami, FL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33131</w:t>
      </w:r>
    </w:p>
    <w:p>
      <w:pPr>
        <w:spacing w:after="0" w:line="43" w:lineRule="exact"/>
        <w:rPr>
          <w:sz w:val="24"/>
          <w:szCs w:val="24"/>
          <w:color w:val="auto"/>
        </w:rPr>
      </w:pPr>
    </w:p>
    <w:p>
      <w:pPr>
        <w:sectPr>
          <w:pgSz w:w="11900" w:h="16838" w:orient="portrait"/>
          <w:cols w:equalWidth="0" w:num="2">
            <w:col w:w="7404" w:space="720"/>
            <w:col w:w="2900"/>
          </w:cols>
          <w:pgMar w:left="436" w:top="443"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54" w:lineRule="exact"/>
        <w:rPr>
          <w:sz w:val="24"/>
          <w:szCs w:val="24"/>
          <w:color w:val="auto"/>
        </w:rPr>
      </w:pPr>
    </w:p>
    <w:p>
      <w:pPr>
        <w:sectPr>
          <w:pgSz w:w="11900" w:h="16838" w:orient="portrait"/>
          <w:cols w:equalWidth="0" w:num="2">
            <w:col w:w="7284" w:space="720"/>
            <w:col w:w="3020"/>
          </w:cols>
          <w:pgMar w:left="436" w:top="443"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(510) 906-4600</w:t>
      </w:r>
    </w:p>
    <w:p>
      <w:pPr>
        <w:spacing w:after="0" w:line="18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PLSE</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4"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July 15, 2024, Pulse Biosciences, Inc. (the “Company”) entered into an equity distribution agreement (the “Distribution Agreement”) with Canaccord Genuity LLC and Needham &amp; Company, LLC (each a “Sales Agent” and together, the “Sales Agents”), as sales agents, pursuant to which the Company may offer and sell, from time to time, through the Sales Agents, shares of the Company’s common stock, par value $0.001 per share (the “Common Stock”), having an aggregate offering price of up to $60.0 million (the “Shares”).</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is not obligated to sell any Shares under the Distribution Agreement. Subject to the terms and conditions of the Distribution Agreement, the Sales Agents will use commercially reasonable efforts, consistent with their normal trading and sales practices, to sell Shares from time to time based upon the Company’s instructions, including any price, time or size limits or other customary parameters or conditions specified by the Company. Under the Distribution Agreement, the Sales Agents may sell Shares in transactions that are deemed to be “at the market” offerings as defined in Rule 415(a)(4) under the Securities Act of 1933, as amended (the “Securities Act”), including sales made by means of ordinary brokers’ transactions, including directly on the Nasdaq Capital Market or into any other existing trading market for the Shares, or sales made to or through a market maker, in block transactions or by any other method permitted by law, including negotiated transactions. Sales may be made at market prices prevailing at the time of a sale or at prices related to prevailing market prices or at negotiated prices. The Company will pay the Sales Agents a commission of up to 3.0% of the gross sales price per share sold by the Sales Agents. The Company also will reimburse the Sales Agents for certain specified expenses in connection with entering into the Distribution Agreement. The Company has no obligation to sell any of the Shares under the Distribution Agreement and may at any time suspend solicitations and offers under the Distribution Agreement.</w:t>
      </w:r>
    </w:p>
    <w:p>
      <w:pPr>
        <w:spacing w:after="0" w:line="19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The issuance and sale, if any, of the Shares by the Company under the Distribution Agreement will be made pursuant to the Company’s effective registration statement on Form S-3 (File No. 333-278322) filed with the U.S. Securities and Exchange Commission (the “SEC”) on March 28, 2024, and declared effective as of April 8, 2024, as well as a related registration statement on Form S-3 (File No. 333-280805), filed with the SEC on July 15,</w:t>
      </w:r>
    </w:p>
    <w:p>
      <w:pPr>
        <w:spacing w:after="0" w:line="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2024 pursuant to Rule 462(b) of the Securities Act, which became effective immediately upon filing. The Company filed a prospectus supplement with the SEC on July 15, 2024 in connection with the offer and sale of the Shares pursuant to the Distribution Agreement.</w:t>
      </w:r>
    </w:p>
    <w:p>
      <w:pPr>
        <w:spacing w:after="0" w:line="18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foregoing description of the Distribution Agreement does not purport to be complete and is qualified in its entirety by reference to the full text of the Distribution Agreement, a copy of which is filed as Exhibit 1.1 to this Current Report on Form 8-K and is incorporated herein by reference. The legal opinion of Baker &amp; Hostetler LLP, counsel to the Company, relating to the validity of the issuance and sale of the Shares being offered pursuant to the Distribution Agreement, is filed as Exhibit 5.1 to this Current Report on Form 8-K and is incorporated herein by reference.</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This Current Report on Form 8-K shall not constitute an offer to sell or the solicitation of an offer to buy any Shares under the Distribution Agreement nor shall there be any sale of such Shares in any state in which such offer, solicitation or sale would be unlawful prior to registration or qualification under the securities laws of any such state.</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Preliminary Financial Results for the Three Months Ended June 30, 2024 (unaudited)</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this Current Report, the Company is providing certain estimated preliminary unaudited financial results and other information for the three months ended June 30, 2024. The Company is providing estimated ranges of these preliminary financial results below because its closing procedures for the fiscal quarter ended June 30, 2024 are not yet complete. The Company’s final results remain subject to the completion of management’s final review and the Company’s other closing procedures or subsequent events. Accordingly, you should not place undue reliance on the Company’s preliminary results set forth below, which may differ from actual results. These preliminary estimates are forward-looking statements. During the course of the preparation of the Company’s unaudited financial statements and the notes thereto by management, additional items that require adjustments to the preliminary results presented below may be identified.</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estimated preliminary financial results included in this Current Report on Form 8-K have been prepared by and are the responsibility of the Company’s management. The Company’s independent registered public accounting firm, Deloitte &amp; Touche LLP, has not audited, reviewed, compiled or performed any procedures with respect to this preliminary financial information and, accordingly, Deloitte &amp; Touche LLP does not express an opinion or any other form of assurance with respect thereto. These estimates should not be viewed as a substitute for the Company’s full interim unaudited financial statements prepared in accordance with U.S. generally accepted accounting principles (“GAAP”).</w:t>
      </w:r>
    </w:p>
    <w:p>
      <w:pPr>
        <w:sectPr>
          <w:pgSz w:w="11900" w:h="16838" w:orient="portrait"/>
          <w:cols w:equalWidth="0" w:num="1">
            <w:col w:w="11000"/>
          </w:cols>
          <w:pgMar w:left="440" w:top="293"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following table reflects certain estimated preliminary financial results as of and for the three months ended June 30, 2024:</w:t>
      </w:r>
    </w:p>
    <w:p>
      <w:pPr>
        <w:spacing w:after="0" w:line="246"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120"/>
        <w:spacing w:after="0"/>
        <w:rPr>
          <w:sz w:val="20"/>
          <w:szCs w:val="20"/>
          <w:color w:val="auto"/>
        </w:rPr>
      </w:pPr>
      <w:r>
        <w:rPr>
          <w:rFonts w:ascii="Times New Roman" w:cs="Times New Roman" w:eastAsia="Times New Roman" w:hAnsi="Times New Roman"/>
          <w:sz w:val="14"/>
          <w:szCs w:val="14"/>
          <w:b w:val="1"/>
          <w:bCs w:val="1"/>
          <w:color w:val="auto"/>
        </w:rPr>
        <w:t>June 30, 2024</w:t>
      </w:r>
    </w:p>
    <w:tbl>
      <w:tblPr>
        <w:tblLayout w:type="fixed"/>
        <w:tblInd w:w="1320" w:type="dxa"/>
        <w:tblCellMar>
          <w:top w:w="0" w:type="dxa"/>
          <w:left w:w="0" w:type="dxa"/>
          <w:bottom w:w="0" w:type="dxa"/>
          <w:right w:w="0" w:type="dxa"/>
        </w:tblCellMar>
      </w:tblPr>
      <w:tr>
        <w:trPr>
          <w:trHeight w:val="117"/>
        </w:trPr>
        <w:tc>
          <w:tcPr>
            <w:tcW w:w="62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456"/>
              <w:spacing w:after="0" w:line="117" w:lineRule="exact"/>
              <w:rPr>
                <w:sz w:val="20"/>
                <w:szCs w:val="20"/>
                <w:color w:val="auto"/>
              </w:rPr>
            </w:pPr>
            <w:r>
              <w:rPr>
                <w:rFonts w:ascii="Times New Roman" w:cs="Times New Roman" w:eastAsia="Times New Roman" w:hAnsi="Times New Roman"/>
                <w:sz w:val="13"/>
                <w:szCs w:val="13"/>
                <w:b w:val="1"/>
                <w:bCs w:val="1"/>
                <w:color w:val="auto"/>
              </w:rPr>
              <w:t>Low</w:t>
            </w:r>
          </w:p>
        </w:tc>
        <w:tc>
          <w:tcPr>
            <w:tcW w:w="4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74"/>
              <w:spacing w:after="0" w:line="117" w:lineRule="exact"/>
              <w:rPr>
                <w:sz w:val="20"/>
                <w:szCs w:val="20"/>
                <w:color w:val="auto"/>
              </w:rPr>
            </w:pPr>
            <w:r>
              <w:rPr>
                <w:rFonts w:ascii="Times New Roman" w:cs="Times New Roman" w:eastAsia="Times New Roman" w:hAnsi="Times New Roman"/>
                <w:sz w:val="13"/>
                <w:szCs w:val="13"/>
                <w:b w:val="1"/>
                <w:bCs w:val="1"/>
                <w:color w:val="auto"/>
              </w:rPr>
              <w:t>High</w:t>
            </w:r>
          </w:p>
        </w:tc>
        <w:tc>
          <w:tcPr>
            <w:tcW w:w="100" w:type="dxa"/>
            <w:vAlign w:val="bottom"/>
          </w:tcPr>
          <w:p>
            <w:pPr>
              <w:spacing w:after="0"/>
              <w:rPr>
                <w:sz w:val="10"/>
                <w:szCs w:val="10"/>
                <w:color w:val="auto"/>
              </w:rPr>
            </w:pPr>
          </w:p>
        </w:tc>
      </w:tr>
      <w:tr>
        <w:trPr>
          <w:trHeight w:val="173"/>
        </w:trPr>
        <w:tc>
          <w:tcPr>
            <w:tcW w:w="6240" w:type="dxa"/>
            <w:vAlign w:val="bottom"/>
          </w:tcPr>
          <w:p>
            <w:pPr>
              <w:spacing w:after="0"/>
              <w:rPr>
                <w:sz w:val="15"/>
                <w:szCs w:val="15"/>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080" w:type="dxa"/>
            <w:vAlign w:val="bottom"/>
            <w:gridSpan w:val="3"/>
          </w:tcPr>
          <w:p>
            <w:pPr>
              <w:jc w:val="center"/>
              <w:ind w:left="73"/>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42"/>
        </w:trPr>
        <w:tc>
          <w:tcPr>
            <w:tcW w:w="6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2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Cash and cash equivalents </w:t>
            </w:r>
            <w:r>
              <w:rPr>
                <w:rFonts w:ascii="Times New Roman" w:cs="Times New Roman" w:eastAsia="Times New Roman" w:hAnsi="Times New Roman"/>
                <w:sz w:val="25"/>
                <w:szCs w:val="25"/>
                <w:color w:val="auto"/>
                <w:vertAlign w:val="superscript"/>
              </w:rPr>
              <w:t>(1)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26.0</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w:t>
            </w: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GAAP costs and expenses</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rPr>
              <w:t>11.0</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loss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(10.7)</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62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Non-GAAP costs and expenses </w:t>
            </w:r>
            <w:r>
              <w:rPr>
                <w:rFonts w:ascii="Times New Roman" w:cs="Times New Roman" w:eastAsia="Times New Roman" w:hAnsi="Times New Roman"/>
                <w:sz w:val="25"/>
                <w:szCs w:val="25"/>
                <w:color w:val="auto"/>
                <w:vertAlign w:val="superscript"/>
              </w:rPr>
              <w:t>(2)</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rPr>
              <w:t>9.0</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62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Non-GAAP net loss </w:t>
            </w:r>
            <w:r>
              <w:rPr>
                <w:rFonts w:ascii="Times New Roman" w:cs="Times New Roman" w:eastAsia="Times New Roman" w:hAnsi="Times New Roman"/>
                <w:sz w:val="25"/>
                <w:szCs w:val="25"/>
                <w:color w:val="auto"/>
                <w:vertAlign w:val="superscript"/>
              </w:rPr>
              <w:t>(2)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(8.7)</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w:t>
            </w:r>
          </w:p>
        </w:tc>
      </w:tr>
    </w:tbl>
    <w:p>
      <w:pPr>
        <w:spacing w:after="0" w:line="103" w:lineRule="exact"/>
        <w:rPr>
          <w:sz w:val="20"/>
          <w:szCs w:val="20"/>
          <w:color w:val="auto"/>
        </w:rPr>
      </w:pPr>
    </w:p>
    <w:p>
      <w:pPr>
        <w:ind w:left="960" w:right="520" w:hanging="532"/>
        <w:spacing w:after="0" w:line="261"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$60.0 million in cash proceeds received by the Company in connection with the previously announced closing of its rights offering in July 2024.</w:t>
      </w:r>
    </w:p>
    <w:p>
      <w:pPr>
        <w:ind w:left="960" w:right="60" w:hanging="532"/>
        <w:spacing w:after="0" w:line="255"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Non-GAAP costs and expenses and non-GAAP net loss are not calculated in accordance with GAAP. See </w:t>
      </w:r>
      <w:r>
        <w:rPr>
          <w:rFonts w:ascii="Times New Roman" w:cs="Times New Roman" w:eastAsia="Times New Roman" w:hAnsi="Times New Roman"/>
          <w:sz w:val="18"/>
          <w:szCs w:val="18"/>
          <w:i w:val="1"/>
          <w:iCs w:val="1"/>
          <w:color w:val="auto"/>
        </w:rPr>
        <w:t xml:space="preserve">Reconciliation of GAAP to Non-GAAP Measures </w:t>
      </w:r>
      <w:r>
        <w:rPr>
          <w:rFonts w:ascii="Times New Roman" w:cs="Times New Roman" w:eastAsia="Times New Roman" w:hAnsi="Times New Roman"/>
          <w:sz w:val="18"/>
          <w:szCs w:val="18"/>
          <w:color w:val="auto"/>
        </w:rPr>
        <w:t>below for a reconciliation of GAAP costs and expenses to non-GAAP costs and expenses and GAAP net loss to non-GAAP net loss, the most directly comparable financial measures calculated in accordance with GAAP.</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Reconciliation of GAAP to Non-GAAP Financial Measures</w:t>
      </w:r>
    </w:p>
    <w:p>
      <w:pPr>
        <w:spacing w:after="0" w:line="1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To supplement the Company’s preliminary financial information presented on a GAAP basis, the Company’s management has disclosed non-GAAP costs and expenses and non-GAAP net loss. The Company believes that an evaluation of its ongoing operations (and comparisons of its current operations with historical and future operations) would be difficult if the disclosure of the Company’s financial information were limited to financial measures prepared in accordance with GAAP. As a result, the Company is disclosing these non-GAAP financial measures in order to supplement investors’ and other readers’ understanding and assessment of the Company’s financial performance. The Company’s management uses these measurements as aids in monitoring the Company’s ongoing financial performance from quarter to quarter, and year to year, on a regular basis and for financial and operational decision-making. Non-GAAP adjustments include stock-based compensation, depreciation and amortization. From time to time in the future, there may be other items that the Company may exclude if it believes that doing so is consistent with the goal of providing useful information to management and investors. The Company has provided a reconciliation of each non-GAAP financial measure used in this Current Report on Form 8-K to the most directly comparable GAAP financial measure. Investors are cautioned that there are a number of limitations associated with the use of non-GAAP financial measures as analytical tools. Investors are encouraged to review these reconciliations and not to rely on any single financial measure to evaluate the Company’s business. Non-GAAP financial measures used by us may be calculated differently from, and therefore may not be comparable to, similarly titled measures used by other companies, which could reduce the usefulness of the Company’s non-GAAP financial measures as tools for comparison. Investors and other readers are encouraged to review the related GAAP financial measures and the reconciliation of non-GAAP measures to their most directly comparable GAAP measures set forth below and should consider non-GAAP measures only as a supplement to, not as a substitute for or as a superior measure to, measures of financial performance prepared in accordance with GAAP. Non-GAAP financial measures in this Current Report on Form 8-K exclude the following:</w:t>
      </w:r>
    </w:p>
    <w:p>
      <w:pPr>
        <w:spacing w:after="0" w:line="95" w:lineRule="exact"/>
        <w:rPr>
          <w:sz w:val="20"/>
          <w:szCs w:val="20"/>
          <w:color w:val="auto"/>
        </w:rPr>
      </w:pPr>
    </w:p>
    <w:p>
      <w:pPr>
        <w:ind w:left="960" w:right="240" w:hanging="424"/>
        <w:spacing w:after="0" w:line="25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Non-cash expenses for stock-based compensation. </w:t>
      </w:r>
      <w:r>
        <w:rPr>
          <w:rFonts w:ascii="Times New Roman" w:cs="Times New Roman" w:eastAsia="Times New Roman" w:hAnsi="Times New Roman"/>
          <w:sz w:val="18"/>
          <w:szCs w:val="18"/>
          <w:color w:val="auto"/>
        </w:rPr>
        <w:t>The Company has excluded the effect of stock-based compensation expenses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calculating its non-GAAP costs and expenses and net loss measures. Although stock-based compensation is a key incentive offered to employees, the Company continues to evaluate its business performance excluding stock-based compensation expenses. The Company records stock-based compensation expense related to grants of time-based and performance-based options, such as options that vest as a result of its market capitalization. Depending upon the size, timing and terms of the grants, as well as the probability of achievement of performance-based awards, this expense may vary significantly but will recur in future periods. The Company believes that excluding stock-based compensation better allows for comparisons from period to period.</w:t>
      </w:r>
    </w:p>
    <w:p>
      <w:pPr>
        <w:spacing w:after="0" w:line="88" w:lineRule="exact"/>
        <w:rPr>
          <w:rFonts w:ascii="Times New Roman" w:cs="Times New Roman" w:eastAsia="Times New Roman" w:hAnsi="Times New Roman"/>
          <w:sz w:val="18"/>
          <w:szCs w:val="18"/>
          <w:color w:val="auto"/>
        </w:rPr>
      </w:pPr>
    </w:p>
    <w:p>
      <w:pPr>
        <w:ind w:left="960" w:right="40" w:hanging="424"/>
        <w:spacing w:after="0" w:line="28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Depreciation and amortization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has excluded depreciation and amortization expense in calculating its non-GAAP costs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expenses and net loss measures. Depreciation and amortization are non-cash charges to current operations.</w:t>
      </w:r>
    </w:p>
    <w:p>
      <w:pPr>
        <w:sectPr>
          <w:pgSz w:w="11900" w:h="16838" w:orient="portrait"/>
          <w:cols w:equalWidth="0" w:num="1">
            <w:col w:w="11000"/>
          </w:cols>
          <w:pgMar w:left="440" w:top="297" w:right="459" w:bottom="1440" w:gutter="0" w:footer="0" w:header="0"/>
        </w:sectPr>
      </w:pPr>
    </w:p>
    <w:bookmarkStart w:id="3" w:name="page4"/>
    <w:bookmarkEnd w:id="3"/>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following table reconciles preliminary GAAP costs and expenses to preliminary non-GAAP costs and expenses for the three months ended June 30, 2024:</w:t>
      </w:r>
    </w:p>
    <w:p>
      <w:pPr>
        <w:spacing w:after="0" w:line="182"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060"/>
        <w:spacing w:after="0"/>
        <w:rPr>
          <w:sz w:val="20"/>
          <w:szCs w:val="20"/>
          <w:color w:val="auto"/>
        </w:rPr>
      </w:pPr>
      <w:r>
        <w:rPr>
          <w:rFonts w:ascii="Times New Roman" w:cs="Times New Roman" w:eastAsia="Times New Roman" w:hAnsi="Times New Roman"/>
          <w:sz w:val="14"/>
          <w:szCs w:val="14"/>
          <w:b w:val="1"/>
          <w:bCs w:val="1"/>
          <w:color w:val="auto"/>
        </w:rPr>
        <w:t>June 30, 2024</w:t>
      </w:r>
    </w:p>
    <w:tbl>
      <w:tblPr>
        <w:tblLayout w:type="fixed"/>
        <w:tblInd w:w="1320" w:type="dxa"/>
        <w:tblCellMar>
          <w:top w:w="0" w:type="dxa"/>
          <w:left w:w="0" w:type="dxa"/>
          <w:bottom w:w="0" w:type="dxa"/>
          <w:right w:w="0" w:type="dxa"/>
        </w:tblCellMar>
      </w:tblPr>
      <w:tr>
        <w:trPr>
          <w:trHeight w:val="117"/>
        </w:trPr>
        <w:tc>
          <w:tcPr>
            <w:tcW w:w="61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497"/>
              <w:spacing w:after="0" w:line="117" w:lineRule="exact"/>
              <w:rPr>
                <w:sz w:val="20"/>
                <w:szCs w:val="20"/>
                <w:color w:val="auto"/>
              </w:rPr>
            </w:pPr>
            <w:r>
              <w:rPr>
                <w:rFonts w:ascii="Times New Roman" w:cs="Times New Roman" w:eastAsia="Times New Roman" w:hAnsi="Times New Roman"/>
                <w:sz w:val="13"/>
                <w:szCs w:val="13"/>
                <w:b w:val="1"/>
                <w:bCs w:val="1"/>
                <w:color w:val="auto"/>
              </w:rPr>
              <w:t>Low</w:t>
            </w:r>
          </w:p>
        </w:tc>
        <w:tc>
          <w:tcPr>
            <w:tcW w:w="4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ind w:left="60"/>
              <w:spacing w:after="0" w:line="117" w:lineRule="exact"/>
              <w:rPr>
                <w:sz w:val="20"/>
                <w:szCs w:val="20"/>
                <w:color w:val="auto"/>
              </w:rPr>
            </w:pPr>
            <w:r>
              <w:rPr>
                <w:rFonts w:ascii="Times New Roman" w:cs="Times New Roman" w:eastAsia="Times New Roman" w:hAnsi="Times New Roman"/>
                <w:sz w:val="13"/>
                <w:szCs w:val="13"/>
                <w:b w:val="1"/>
                <w:bCs w:val="1"/>
                <w:color w:val="auto"/>
              </w:rPr>
              <w:t>High</w:t>
            </w:r>
          </w:p>
        </w:tc>
        <w:tc>
          <w:tcPr>
            <w:tcW w:w="100" w:type="dxa"/>
            <w:vAlign w:val="bottom"/>
          </w:tcPr>
          <w:p>
            <w:pPr>
              <w:spacing w:after="0"/>
              <w:rPr>
                <w:sz w:val="10"/>
                <w:szCs w:val="10"/>
                <w:color w:val="auto"/>
              </w:rPr>
            </w:pPr>
          </w:p>
        </w:tc>
      </w:tr>
      <w:tr>
        <w:trPr>
          <w:trHeight w:val="173"/>
        </w:trPr>
        <w:tc>
          <w:tcPr>
            <w:tcW w:w="6180" w:type="dxa"/>
            <w:vAlign w:val="bottom"/>
          </w:tcPr>
          <w:p>
            <w:pPr>
              <w:spacing w:after="0"/>
              <w:rPr>
                <w:sz w:val="15"/>
                <w:szCs w:val="15"/>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10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42"/>
        </w:trPr>
        <w:tc>
          <w:tcPr>
            <w:tcW w:w="6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2"/>
          </w:tcPr>
          <w:p>
            <w:pPr>
              <w:ind w:left="52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costs and expenses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rPr>
              <w:t>11.0</w:t>
            </w:r>
          </w:p>
        </w:tc>
        <w:tc>
          <w:tcPr>
            <w:tcW w:w="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8"/>
                <w:szCs w:val="18"/>
                <w:color w:val="auto"/>
              </w:rPr>
            </w:pPr>
          </w:p>
        </w:tc>
        <w:tc>
          <w:tcPr>
            <w:tcW w:w="920" w:type="dxa"/>
            <w:vAlign w:val="bottom"/>
          </w:tcPr>
          <w:p>
            <w:pPr>
              <w:jc w:val="right"/>
              <w:ind w:right="197"/>
              <w:spacing w:after="0"/>
              <w:rPr>
                <w:sz w:val="20"/>
                <w:szCs w:val="20"/>
                <w:color w:val="auto"/>
              </w:rPr>
            </w:pPr>
            <w:r>
              <w:rPr>
                <w:rFonts w:ascii="Times New Roman" w:cs="Times New Roman" w:eastAsia="Times New Roman" w:hAnsi="Times New Roman"/>
                <w:sz w:val="18"/>
                <w:szCs w:val="18"/>
                <w:color w:val="auto"/>
              </w:rPr>
              <w:t>(0.3)</w:t>
            </w:r>
          </w:p>
        </w:tc>
        <w:tc>
          <w:tcPr>
            <w:tcW w:w="4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rPr>
              <w:t>(1.7)</w:t>
            </w:r>
          </w:p>
        </w:tc>
        <w:tc>
          <w:tcPr>
            <w:tcW w:w="4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Non-GAAP costs and expenses</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257"/>
              <w:spacing w:after="0"/>
              <w:rPr>
                <w:sz w:val="20"/>
                <w:szCs w:val="20"/>
                <w:color w:val="auto"/>
              </w:rPr>
            </w:pPr>
            <w:r>
              <w:rPr>
                <w:rFonts w:ascii="Times New Roman" w:cs="Times New Roman" w:eastAsia="Times New Roman" w:hAnsi="Times New Roman"/>
                <w:sz w:val="18"/>
                <w:szCs w:val="18"/>
                <w:color w:val="auto"/>
              </w:rPr>
              <w:t>9.0</w:t>
            </w:r>
          </w:p>
        </w:tc>
        <w:tc>
          <w:tcPr>
            <w:tcW w:w="42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preliminary GAAP net loss to preliminary non-GAAP net loss for the three months ended June 30, 2024:</w:t>
      </w:r>
    </w:p>
    <w:p>
      <w:pPr>
        <w:spacing w:after="0" w:line="246"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120"/>
        <w:spacing w:after="0"/>
        <w:rPr>
          <w:sz w:val="20"/>
          <w:szCs w:val="20"/>
          <w:color w:val="auto"/>
        </w:rPr>
      </w:pPr>
      <w:r>
        <w:rPr>
          <w:rFonts w:ascii="Times New Roman" w:cs="Times New Roman" w:eastAsia="Times New Roman" w:hAnsi="Times New Roman"/>
          <w:sz w:val="14"/>
          <w:szCs w:val="14"/>
          <w:b w:val="1"/>
          <w:bCs w:val="1"/>
          <w:color w:val="auto"/>
        </w:rPr>
        <w:t>June 30, 2024</w:t>
      </w:r>
    </w:p>
    <w:tbl>
      <w:tblPr>
        <w:tblLayout w:type="fixed"/>
        <w:tblInd w:w="1320" w:type="dxa"/>
        <w:tblCellMar>
          <w:top w:w="0" w:type="dxa"/>
          <w:left w:w="0" w:type="dxa"/>
          <w:bottom w:w="0" w:type="dxa"/>
          <w:right w:w="0" w:type="dxa"/>
        </w:tblCellMar>
      </w:tblPr>
      <w:tr>
        <w:trPr>
          <w:trHeight w:val="117"/>
        </w:trPr>
        <w:tc>
          <w:tcPr>
            <w:tcW w:w="42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437"/>
              <w:spacing w:after="0" w:line="117" w:lineRule="exact"/>
              <w:rPr>
                <w:sz w:val="20"/>
                <w:szCs w:val="20"/>
                <w:color w:val="auto"/>
              </w:rPr>
            </w:pPr>
            <w:r>
              <w:rPr>
                <w:rFonts w:ascii="Times New Roman" w:cs="Times New Roman" w:eastAsia="Times New Roman" w:hAnsi="Times New Roman"/>
                <w:sz w:val="13"/>
                <w:szCs w:val="13"/>
                <w:b w:val="1"/>
                <w:bCs w:val="1"/>
                <w:color w:val="auto"/>
              </w:rPr>
              <w:t>Low</w:t>
            </w:r>
          </w:p>
        </w:tc>
        <w:tc>
          <w:tcPr>
            <w:tcW w:w="4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75"/>
              <w:spacing w:after="0" w:line="117" w:lineRule="exact"/>
              <w:rPr>
                <w:sz w:val="20"/>
                <w:szCs w:val="20"/>
                <w:color w:val="auto"/>
              </w:rPr>
            </w:pPr>
            <w:r>
              <w:rPr>
                <w:rFonts w:ascii="Times New Roman" w:cs="Times New Roman" w:eastAsia="Times New Roman" w:hAnsi="Times New Roman"/>
                <w:sz w:val="13"/>
                <w:szCs w:val="13"/>
                <w:b w:val="1"/>
                <w:bCs w:val="1"/>
                <w:color w:val="auto"/>
              </w:rPr>
              <w:t>High</w:t>
            </w:r>
          </w:p>
        </w:tc>
        <w:tc>
          <w:tcPr>
            <w:tcW w:w="100" w:type="dxa"/>
            <w:vAlign w:val="bottom"/>
          </w:tcPr>
          <w:p>
            <w:pPr>
              <w:spacing w:after="0"/>
              <w:rPr>
                <w:sz w:val="10"/>
                <w:szCs w:val="10"/>
                <w:color w:val="auto"/>
              </w:rPr>
            </w:pPr>
          </w:p>
        </w:tc>
      </w:tr>
      <w:tr>
        <w:trPr>
          <w:trHeight w:val="173"/>
        </w:trPr>
        <w:tc>
          <w:tcPr>
            <w:tcW w:w="42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080" w:type="dxa"/>
            <w:vAlign w:val="bottom"/>
            <w:gridSpan w:val="3"/>
          </w:tcPr>
          <w:p>
            <w:pPr>
              <w:jc w:val="center"/>
              <w:ind w:left="76"/>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42"/>
        </w:trPr>
        <w:tc>
          <w:tcPr>
            <w:tcW w:w="4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loss</w:t>
            </w:r>
          </w:p>
        </w:tc>
        <w:tc>
          <w:tcPr>
            <w:tcW w:w="2180" w:type="dxa"/>
            <w:vAlign w:val="bottom"/>
            <w:gridSpan w:val="2"/>
            <w:shd w:val="clear" w:color="auto" w:fill="CCEEFF"/>
          </w:tcPr>
          <w:p>
            <w:pPr>
              <w:ind w:left="20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(10.7)</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217"/>
              <w:spacing w:after="0"/>
              <w:rPr>
                <w:sz w:val="20"/>
                <w:szCs w:val="20"/>
                <w:color w:val="auto"/>
              </w:rPr>
            </w:pPr>
            <w:r>
              <w:rPr>
                <w:rFonts w:ascii="Times New Roman" w:cs="Times New Roman" w:eastAsia="Times New Roman" w:hAnsi="Times New Roman"/>
                <w:sz w:val="18"/>
                <w:szCs w:val="18"/>
                <w:color w:val="auto"/>
              </w:rPr>
              <w:t>0.3</w:t>
            </w:r>
          </w:p>
        </w:tc>
        <w:tc>
          <w:tcPr>
            <w:tcW w:w="4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rPr>
              <w:t>1.7</w:t>
            </w: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Non-GAAP net loss</w:t>
            </w:r>
          </w:p>
        </w:tc>
        <w:tc>
          <w:tcPr>
            <w:tcW w:w="218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rPr>
              <w:t>(8.7)</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w:t>
            </w:r>
          </w:p>
        </w:tc>
      </w:tr>
    </w:tbl>
    <w:p>
      <w:pPr>
        <w:spacing w:after="0" w:line="179"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The information set forth in Item 2.02 of this Current Report on Form 8-K shall not be deemed “filed” for purposes of Section 18 of the Securities Exchange Act of 1934, as amended (the “Exchange Act”), or incorporated by reference in any filing under the Securities Act or the Exchange Act, except as shall be expressly set forth by specific reference in such a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Current Report on Form 8-K includes forward-looking statements that involve risks and uncertainties relating to future events and the future performance of the Company,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Company’s estimated preliminary financial information described above, including the Company’s GAAP and non-GAAP costs and expenses and net loss, depreciation and amortization, stock-based compensation, and cash and cash equivalents for the quarterly period ended June 30, 2024. A more complete description of these and other material risks can be found in the Company’s filings with the SEC under the heading “Risk Factors.” Any forward-looking statements are made based on management’s current beliefs and judgment, and the reader is cautioned not to rely on any forward-looking statements made by the Company. The Company does not undertake any obligation to update (publicly or otherwise) any forward-looking statement, including without limitation any financial projection or guidance, whether as a result of new information, future events, or otherwise.</w:t>
      </w:r>
    </w:p>
    <w:p>
      <w:pPr>
        <w:sectPr>
          <w:pgSz w:w="11900" w:h="16838" w:orient="portrait"/>
          <w:cols w:equalWidth="0" w:num="1">
            <w:col w:w="10960"/>
          </w:cols>
          <w:pgMar w:left="440" w:top="297" w:right="4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00" w:type="dxa"/>
            <w:vAlign w:val="bottom"/>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540" w:type="dxa"/>
            <w:vAlign w:val="bottom"/>
          </w:tcPr>
          <w:p>
            <w:pPr>
              <w:spacing w:after="0"/>
              <w:rPr>
                <w:sz w:val="24"/>
                <w:szCs w:val="24"/>
                <w:color w:val="auto"/>
              </w:rPr>
            </w:pPr>
          </w:p>
        </w:tc>
        <w:tc>
          <w:tcPr>
            <w:tcW w:w="99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Equity Distribution Agreement, dated July 15, 2024, by and among Pulse Biosciences, Inc. and Canaccord Genuity LLC and Needham &amp;</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Company, LLC.</w:t>
            </w:r>
          </w:p>
        </w:tc>
        <w:tc>
          <w:tcPr>
            <w:tcW w:w="87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540" w:type="dxa"/>
            <w:vAlign w:val="bottom"/>
          </w:tcPr>
          <w:p>
            <w:pPr>
              <w:spacing w:after="0"/>
              <w:rPr>
                <w:sz w:val="24"/>
                <w:szCs w:val="24"/>
                <w:color w:val="auto"/>
              </w:rPr>
            </w:pPr>
          </w:p>
        </w:tc>
        <w:tc>
          <w:tcPr>
            <w:tcW w:w="99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Opinion of Baker &amp; Hostetler LLP</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00" w:type="dxa"/>
            <w:vAlign w:val="bottom"/>
            <w:gridSpan w:val="2"/>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5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40" w:type="dxa"/>
            <w:vAlign w:val="bottom"/>
          </w:tcPr>
          <w:p>
            <w:pPr>
              <w:spacing w:after="0"/>
              <w:rPr>
                <w:sz w:val="24"/>
                <w:szCs w:val="24"/>
                <w:color w:val="auto"/>
              </w:rPr>
            </w:pPr>
          </w:p>
        </w:tc>
        <w:tc>
          <w:tcPr>
            <w:tcW w:w="99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Consent of Baker &amp; Hostetler LLP (included in Exhibit 5.1)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320" w:type="dxa"/>
            <w:vAlign w:val="bottom"/>
            <w:gridSpan w:val="3"/>
            <w:shd w:val="clear" w:color="auto" w:fill="0000EE"/>
          </w:tcPr>
          <w:p>
            <w:pPr>
              <w:spacing w:after="0" w:line="20" w:lineRule="exact"/>
              <w:rPr>
                <w:sz w:val="1"/>
                <w:szCs w:val="1"/>
                <w:color w:val="auto"/>
              </w:rPr>
            </w:pPr>
          </w:p>
        </w:tc>
        <w:tc>
          <w:tcPr>
            <w:tcW w:w="55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99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40"/>
          </w:cols>
          <w:pgMar w:left="440" w:top="293" w:right="5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bookmarkStart w:id="5" w:name="page6"/>
    <w:bookmarkEnd w:id="5"/>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PULSE BIOSCIENCES,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July 15,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Burke T.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i w:val="1"/>
          <w:iCs w:val="1"/>
          <w:color w:val="auto"/>
        </w:rPr>
        <w:t>(Principal Executive and Principal Financial Officer)</w:t>
      </w:r>
    </w:p>
    <w:p>
      <w:pPr>
        <w:sectPr>
          <w:pgSz w:w="11900" w:h="16838" w:orient="portrait"/>
          <w:cols w:equalWidth="0" w:num="1">
            <w:col w:w="10700"/>
          </w:cols>
          <w:pgMar w:left="440" w:top="293" w:right="75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PULSE BIOSCIENCES, INC.</w:t>
      </w:r>
    </w:p>
    <w:p>
      <w:pPr>
        <w:spacing w:after="0" w:line="12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Common Stock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($0.001 par value per share)</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DISTRIBUTION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July 15,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CANACCORD GENUITY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Post Office Square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3000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 02109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NEEDHAM &amp; COMPANY,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 Park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10177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20" w:firstLine="440"/>
        <w:spacing w:after="0" w:line="274" w:lineRule="auto"/>
        <w:rPr>
          <w:sz w:val="20"/>
          <w:szCs w:val="20"/>
          <w:color w:val="auto"/>
        </w:rPr>
      </w:pPr>
      <w:r>
        <w:rPr>
          <w:rFonts w:ascii="Times New Roman" w:cs="Times New Roman" w:eastAsia="Times New Roman" w:hAnsi="Times New Roman"/>
          <w:sz w:val="17"/>
          <w:szCs w:val="17"/>
          <w:color w:val="auto"/>
        </w:rPr>
        <w:t>Pulse Biosciences,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proposes, subject to the terms and conditions stated herein, to issue and sell from time to time to or through Canaccord Genuity LLC (“</w:t>
      </w:r>
      <w:r>
        <w:rPr>
          <w:rFonts w:ascii="Times New Roman" w:cs="Times New Roman" w:eastAsia="Times New Roman" w:hAnsi="Times New Roman"/>
          <w:sz w:val="17"/>
          <w:szCs w:val="17"/>
          <w:u w:val="single" w:color="auto"/>
          <w:color w:val="auto"/>
        </w:rPr>
        <w:t>Canaccord</w:t>
      </w:r>
      <w:r>
        <w:rPr>
          <w:rFonts w:ascii="Times New Roman" w:cs="Times New Roman" w:eastAsia="Times New Roman" w:hAnsi="Times New Roman"/>
          <w:sz w:val="17"/>
          <w:szCs w:val="17"/>
          <w:color w:val="auto"/>
        </w:rPr>
        <w:t>”) and Needham &amp; Company, LLC (“</w:t>
      </w:r>
      <w:r>
        <w:rPr>
          <w:rFonts w:ascii="Times New Roman" w:cs="Times New Roman" w:eastAsia="Times New Roman" w:hAnsi="Times New Roman"/>
          <w:sz w:val="17"/>
          <w:szCs w:val="17"/>
          <w:u w:val="single" w:color="auto"/>
          <w:color w:val="auto"/>
        </w:rPr>
        <w:t>Needham</w:t>
      </w:r>
      <w:r>
        <w:rPr>
          <w:rFonts w:ascii="Times New Roman" w:cs="Times New Roman" w:eastAsia="Times New Roman" w:hAnsi="Times New Roman"/>
          <w:sz w:val="17"/>
          <w:szCs w:val="17"/>
          <w:color w:val="auto"/>
        </w:rPr>
        <w:t>”; each an “</w:t>
      </w:r>
      <w:r>
        <w:rPr>
          <w:rFonts w:ascii="Times New Roman" w:cs="Times New Roman" w:eastAsia="Times New Roman" w:hAnsi="Times New Roman"/>
          <w:sz w:val="17"/>
          <w:szCs w:val="17"/>
          <w:u w:val="single" w:color="auto"/>
          <w:color w:val="auto"/>
        </w:rPr>
        <w:t>Agent</w:t>
      </w:r>
      <w:r>
        <w:rPr>
          <w:rFonts w:ascii="Times New Roman" w:cs="Times New Roman" w:eastAsia="Times New Roman" w:hAnsi="Times New Roman"/>
          <w:sz w:val="17"/>
          <w:szCs w:val="17"/>
          <w:color w:val="auto"/>
        </w:rPr>
        <w:t>” and together the “</w:t>
      </w:r>
      <w:r>
        <w:rPr>
          <w:rFonts w:ascii="Times New Roman" w:cs="Times New Roman" w:eastAsia="Times New Roman" w:hAnsi="Times New Roman"/>
          <w:sz w:val="17"/>
          <w:szCs w:val="17"/>
          <w:u w:val="single" w:color="auto"/>
          <w:color w:val="auto"/>
        </w:rPr>
        <w:t>Agents</w:t>
      </w:r>
      <w:r>
        <w:rPr>
          <w:rFonts w:ascii="Times New Roman" w:cs="Times New Roman" w:eastAsia="Times New Roman" w:hAnsi="Times New Roman"/>
          <w:sz w:val="17"/>
          <w:szCs w:val="17"/>
          <w:color w:val="auto"/>
        </w:rPr>
        <w:t>”), as sales agents and/or principals, shares (the “</w:t>
      </w:r>
      <w:r>
        <w:rPr>
          <w:rFonts w:ascii="Times New Roman" w:cs="Times New Roman" w:eastAsia="Times New Roman" w:hAnsi="Times New Roman"/>
          <w:sz w:val="17"/>
          <w:szCs w:val="17"/>
          <w:u w:val="single" w:color="auto"/>
          <w:color w:val="auto"/>
        </w:rPr>
        <w:t>Shares</w:t>
      </w:r>
      <w:r>
        <w:rPr>
          <w:rFonts w:ascii="Times New Roman" w:cs="Times New Roman" w:eastAsia="Times New Roman" w:hAnsi="Times New Roman"/>
          <w:sz w:val="17"/>
          <w:szCs w:val="17"/>
          <w:color w:val="auto"/>
        </w:rPr>
        <w:t>”) of the Company’s common stock, $0.001 par value per share (the “</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having an aggregate offering price of up to $60,000,000 on the terms set forth in Section 2 of this Equity Distribution Agreement (the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The Company agrees that whenever it determines to sell Shares directly to an Agent as principal, it will enter into a separate agreement with such Agent (each, a “</w:t>
      </w:r>
      <w:r>
        <w:rPr>
          <w:rFonts w:ascii="Times New Roman" w:cs="Times New Roman" w:eastAsia="Times New Roman" w:hAnsi="Times New Roman"/>
          <w:sz w:val="17"/>
          <w:szCs w:val="17"/>
          <w:u w:val="single" w:color="auto"/>
          <w:color w:val="auto"/>
        </w:rPr>
        <w:t>Terms Agreement</w:t>
      </w:r>
      <w:r>
        <w:rPr>
          <w:rFonts w:ascii="Times New Roman" w:cs="Times New Roman" w:eastAsia="Times New Roman" w:hAnsi="Times New Roman"/>
          <w:sz w:val="17"/>
          <w:szCs w:val="17"/>
          <w:color w:val="auto"/>
        </w:rPr>
        <w:t>”) in substantially the form of Annex I hereto, relating to such sale in accordance with Section 3 of this Agreement.</w:t>
      </w:r>
    </w:p>
    <w:p>
      <w:pPr>
        <w:spacing w:after="0" w:line="173"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Company represents and warrants to the Agents that, unless such representation or warranty specifies otherwise, as of the date of this Agreement, any applicable Registration Statement Amendment Date (as defined in Section 3 below), each Company Periodic Report Date (as defined in Section 3 below), each Applicable Time (as defined in Section 1(c) below) and each Settlement Date (as defined in Section 2 below):</w:t>
      </w:r>
    </w:p>
    <w:p>
      <w:pPr>
        <w:spacing w:after="0" w:line="72" w:lineRule="exact"/>
        <w:rPr>
          <w:sz w:val="20"/>
          <w:szCs w:val="20"/>
          <w:color w:val="auto"/>
        </w:rPr>
      </w:pPr>
    </w:p>
    <w:p>
      <w:pPr>
        <w:ind w:right="20" w:firstLine="436"/>
        <w:spacing w:after="0" w:line="253" w:lineRule="auto"/>
        <w:tabs>
          <w:tab w:leader="none" w:pos="68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Registration Requirements</w:t>
      </w:r>
      <w:r>
        <w:rPr>
          <w:rFonts w:ascii="Times New Roman" w:cs="Times New Roman" w:eastAsia="Times New Roman" w:hAnsi="Times New Roman"/>
          <w:sz w:val="18"/>
          <w:szCs w:val="18"/>
          <w:color w:val="auto"/>
        </w:rPr>
        <w:t>. The Company has filed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a registration statement under the Securities Act of 1933, as amended (the “</w:t>
      </w:r>
      <w:r>
        <w:rPr>
          <w:rFonts w:ascii="Times New Roman" w:cs="Times New Roman" w:eastAsia="Times New Roman" w:hAnsi="Times New Roman"/>
          <w:sz w:val="18"/>
          <w:szCs w:val="18"/>
          <w:u w:val="single" w:color="auto"/>
          <w:color w:val="auto"/>
        </w:rPr>
        <w:t>1933 Act</w:t>
      </w:r>
      <w:r>
        <w:rPr>
          <w:rFonts w:ascii="Times New Roman" w:cs="Times New Roman" w:eastAsia="Times New Roman" w:hAnsi="Times New Roman"/>
          <w:sz w:val="18"/>
          <w:szCs w:val="18"/>
          <w:color w:val="auto"/>
        </w:rPr>
        <w:t>”), on Form S-3 (File No. 333-278322), in respect of the Company’s Common Stock (including the Shares) (collectively,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not declared effective by the Commission earlier than three years prior to the date hereof; such registration statement, and any post-effective amendment thereto has become effective; and no stop order suspending the effectiveness of such registration statement or any part thereof has been issued and no proceeding for that purpose has been initiated or, to the knowledge of the Company, threatened by the Commission; the base prospectus filed as part of such registration statement, in the form in which it has most recently been filed with the Commission on or prior to the date of this Agreement, is hereinafter called the “</w:t>
      </w:r>
      <w:r>
        <w:rPr>
          <w:rFonts w:ascii="Times New Roman" w:cs="Times New Roman" w:eastAsia="Times New Roman" w:hAnsi="Times New Roman"/>
          <w:sz w:val="18"/>
          <w:szCs w:val="18"/>
          <w:u w:val="single" w:color="auto"/>
          <w:color w:val="auto"/>
        </w:rPr>
        <w:t>Basic Prospectus</w:t>
      </w:r>
      <w:r>
        <w:rPr>
          <w:rFonts w:ascii="Times New Roman" w:cs="Times New Roman" w:eastAsia="Times New Roman" w:hAnsi="Times New Roman"/>
          <w:sz w:val="18"/>
          <w:szCs w:val="18"/>
          <w:color w:val="auto"/>
        </w:rPr>
        <w:t>”; the various parts of such registration statement, including all exhibits thereto and any prospectus supplement relating to the Shares that is filed with the Commission and deemed by virtue of Rule 430B to be part of such registration statement, each as amended at the time such part of the registration statement became effective, are hereinafter collectively called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any registration statement filed pursuant to Rule 462(b) of the 1933 Act (“</w:t>
      </w:r>
      <w:r>
        <w:rPr>
          <w:rFonts w:ascii="Times New Roman" w:cs="Times New Roman" w:eastAsia="Times New Roman" w:hAnsi="Times New Roman"/>
          <w:sz w:val="18"/>
          <w:szCs w:val="18"/>
          <w:u w:val="single" w:color="auto"/>
          <w:color w:val="auto"/>
        </w:rPr>
        <w:t>Rule 462(b)</w:t>
      </w:r>
      <w:r>
        <w:rPr>
          <w:rFonts w:ascii="Times New Roman" w:cs="Times New Roman" w:eastAsia="Times New Roman" w:hAnsi="Times New Roman"/>
          <w:sz w:val="18"/>
          <w:szCs w:val="18"/>
          <w:color w:val="auto"/>
        </w:rPr>
        <w:t>”) is herein called the “</w:t>
      </w:r>
      <w:r>
        <w:rPr>
          <w:rFonts w:ascii="Times New Roman" w:cs="Times New Roman" w:eastAsia="Times New Roman" w:hAnsi="Times New Roman"/>
          <w:sz w:val="18"/>
          <w:szCs w:val="18"/>
          <w:u w:val="single" w:color="auto"/>
          <w:color w:val="auto"/>
        </w:rPr>
        <w:t>Rule 462(b) Registration</w:t>
      </w:r>
    </w:p>
    <w:p>
      <w:pPr>
        <w:sectPr>
          <w:pgSz w:w="11900" w:h="16838" w:orient="portrait"/>
          <w:cols w:equalWidth="0" w:num="1">
            <w:col w:w="11020"/>
          </w:cols>
          <w:pgMar w:left="440" w:top="117"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Statement</w:t>
      </w:r>
      <w:r>
        <w:rPr>
          <w:rFonts w:ascii="Times New Roman" w:cs="Times New Roman" w:eastAsia="Times New Roman" w:hAnsi="Times New Roman"/>
          <w:sz w:val="18"/>
          <w:szCs w:val="18"/>
          <w:color w:val="auto"/>
        </w:rPr>
        <w:t>” and, after such filing, the term “Registration Statement” shall include the Rule 462(b) Registration Statement; the prospectus supplement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specifically relating to the Shares prepared and filed with the Commission pursuant to Rule 424(b) under the 1933 Act is hereinafter called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the Basic Prospectus, as amended and supplemented by the Prospectus Supplement, is hereinafter called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reference herein to the Basic Prospectus, the Prospectus Supplement or the Prospectus shall be deemed to refer to and include the documents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by reference therein pursuant to Item 12 of Form S-3 under the 1933 Act; any reference to any amendment or supplement to the Basic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Prospectus, the Prospectus Supplement or the Prospectus shall be deemed to refer to and include any post-effective amendment to the Registration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any prospectus supplement relating to the Shares filed with the Commission pursuant to Rule 424(b) under the 1933 Act and any documents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under the Securities Exchange Act of 1934, as amended (the “</w:t>
      </w:r>
      <w:r>
        <w:rPr>
          <w:rFonts w:ascii="Times New Roman" w:cs="Times New Roman" w:eastAsia="Times New Roman" w:hAnsi="Times New Roman"/>
          <w:sz w:val="18"/>
          <w:szCs w:val="18"/>
          <w:u w:val="single" w:color="auto"/>
          <w:color w:val="auto"/>
        </w:rPr>
        <w:t>1934 Act</w:t>
      </w:r>
      <w:r>
        <w:rPr>
          <w:rFonts w:ascii="Times New Roman" w:cs="Times New Roman" w:eastAsia="Times New Roman" w:hAnsi="Times New Roman"/>
          <w:sz w:val="18"/>
          <w:szCs w:val="18"/>
          <w:color w:val="auto"/>
        </w:rPr>
        <w:t>”), and the rules and regulations of the Commission thereunder (the “</w:t>
      </w:r>
      <w:r>
        <w:rPr>
          <w:rFonts w:ascii="Times New Roman" w:cs="Times New Roman" w:eastAsia="Times New Roman" w:hAnsi="Times New Roman"/>
          <w:sz w:val="18"/>
          <w:szCs w:val="18"/>
          <w:u w:val="single" w:color="auto"/>
          <w:color w:val="auto"/>
        </w:rPr>
        <w:t>1934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Act Regulations</w:t>
      </w:r>
      <w:r>
        <w:rPr>
          <w:rFonts w:ascii="Times New Roman" w:cs="Times New Roman" w:eastAsia="Times New Roman" w:hAnsi="Times New Roman"/>
          <w:sz w:val="17"/>
          <w:szCs w:val="17"/>
          <w:color w:val="auto"/>
        </w:rPr>
        <w:t>”), and incorporated therein, in each case after the date of the Basic Prospectus, the Prospectus Supplement or the Prospectus, as the case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be; any reference to any amendment to the Registration Statement shall be deemed to refer to and include any annual report of the Company filed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Section 13(a) or 15(d) of the 1934 Act after the effective date of the Registration Statement that is incorporated by reference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and any “issuer free writing prospectus” as defined in Rule 433 under the 1933 Act relating to the Shares is (hereinafter called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u w:val="single" w:color="auto"/>
          <w:color w:val="auto"/>
        </w:rPr>
        <w:t>Issuer Free Writing Prospectus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No order preventing or suspending the use of the Basic Prospectus, the Prospectus Supplement, the Prospectus or any Issuer Free Writing Prospectus has been issued by the Commission, and the Basic Prospectus and the Prospectus Supplement, at the time of filing thereof, conformed in all material respects to the requirements of the 1933 Act and the rules and regulations of the Commission thereunder (the “</w:t>
      </w:r>
      <w:r>
        <w:rPr>
          <w:rFonts w:ascii="Times New Roman" w:cs="Times New Roman" w:eastAsia="Times New Roman" w:hAnsi="Times New Roman"/>
          <w:sz w:val="18"/>
          <w:szCs w:val="18"/>
          <w:u w:val="single" w:color="auto"/>
          <w:color w:val="auto"/>
        </w:rPr>
        <w:t>1933 Act Regulations</w:t>
      </w:r>
      <w:r>
        <w:rPr>
          <w:rFonts w:ascii="Times New Roman" w:cs="Times New Roman" w:eastAsia="Times New Roman" w:hAnsi="Times New Roman"/>
          <w:sz w:val="18"/>
          <w:szCs w:val="18"/>
          <w:color w:val="auto"/>
        </w:rPr>
        <w:t>”) and did not contain an untrue statement of a material fact or omit to state a material fact required to be stated therein or necessary to make the statements therein, in the light of the circumstances under which they were made, not misleading.</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For the purposes of this Agreement, the “</w:t>
      </w:r>
      <w:r>
        <w:rPr>
          <w:rFonts w:ascii="Times New Roman" w:cs="Times New Roman" w:eastAsia="Times New Roman" w:hAnsi="Times New Roman"/>
          <w:sz w:val="18"/>
          <w:szCs w:val="18"/>
          <w:u w:val="single" w:color="auto"/>
          <w:color w:val="auto"/>
        </w:rPr>
        <w:t>Applicable Time</w:t>
      </w:r>
      <w:r>
        <w:rPr>
          <w:rFonts w:ascii="Times New Roman" w:cs="Times New Roman" w:eastAsia="Times New Roman" w:hAnsi="Times New Roman"/>
          <w:sz w:val="18"/>
          <w:szCs w:val="18"/>
          <w:color w:val="auto"/>
        </w:rPr>
        <w:t>” means, with respect to any Shares, the time of sale of such Shares pursuant to this Agreement; the Prospectus and the applicable Issuer Free Writing Prospectus(es) issued at or prior to such Applicable Time, taken together (collectively, and, with respect to any Shares, together with the public offering price of such Shares, the “</w:t>
      </w:r>
      <w:r>
        <w:rPr>
          <w:rFonts w:ascii="Times New Roman" w:cs="Times New Roman" w:eastAsia="Times New Roman" w:hAnsi="Times New Roman"/>
          <w:sz w:val="18"/>
          <w:szCs w:val="18"/>
          <w:u w:val="single" w:color="auto"/>
          <w:color w:val="auto"/>
        </w:rPr>
        <w:t>General Disclosure Package</w:t>
      </w:r>
      <w:r>
        <w:rPr>
          <w:rFonts w:ascii="Times New Roman" w:cs="Times New Roman" w:eastAsia="Times New Roman" w:hAnsi="Times New Roman"/>
          <w:sz w:val="18"/>
          <w:szCs w:val="18"/>
          <w:color w:val="auto"/>
        </w:rPr>
        <w:t>”) as of each Applicable Time and each Settlement Date, will not include any untrue statement of a material fact or omit to state any material fact necessary in order to make the statements therein, in the light of the circumstances under which they were made, not misleading; and each applicable Issuer Free Writing Prospectus will not conflict with the information contained in the Registration Statement, the Prospectus Supplement or the Prospectus and each such Issuer Free Writing Prospectus, as supplemented by and taken together with the General Disclosure Package as of such Applicable Time, will not include any untrue statement of a material fact or omit to state any material fact necessary in order to make the statements therein, in the light of the circumstances under which they were made, not misleading.</w:t>
      </w:r>
    </w:p>
    <w:p>
      <w:pPr>
        <w:spacing w:after="0" w:line="188" w:lineRule="exact"/>
        <w:rPr>
          <w:sz w:val="20"/>
          <w:szCs w:val="20"/>
          <w:color w:val="auto"/>
        </w:rPr>
      </w:pPr>
    </w:p>
    <w:p>
      <w:pPr>
        <w:ind w:right="20" w:firstLine="436"/>
        <w:spacing w:after="0" w:line="256" w:lineRule="auto"/>
        <w:tabs>
          <w:tab w:leader="none" w:pos="6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Documents by Reference</w:t>
      </w:r>
      <w:r>
        <w:rPr>
          <w:rFonts w:ascii="Times New Roman" w:cs="Times New Roman" w:eastAsia="Times New Roman" w:hAnsi="Times New Roman"/>
          <w:sz w:val="18"/>
          <w:szCs w:val="18"/>
          <w:color w:val="auto"/>
        </w:rPr>
        <w:t>. The documents incorporated or deemed to be incorporated by reference in the Registration Statement and the Prospectus, when they became effective or were filed with the Commission, as the case may be, complied in all material respects with the requirements of the 1934 Act and the 1934 Act Regulations, and, when read together with the other information in the Prospectus, (a) at the time the Registration Statement became effective, (b) at the time the Prospectus was issued and (c) on the date of this Agreement, did not contain an untrue statement of a material fact or omit to state a material fact required to be stated therein or necessary to make the statements therein, in the light of the circumstances under which they were made, not misleading.</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8" w:name="page9"/>
    <w:bookmarkEnd w:id="8"/>
    <w:p>
      <w:pPr>
        <w:ind w:right="600" w:firstLine="436"/>
        <w:spacing w:after="0" w:line="282" w:lineRule="auto"/>
        <w:tabs>
          <w:tab w:leader="none" w:pos="68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Independent Accountants</w:t>
      </w:r>
      <w:r>
        <w:rPr>
          <w:rFonts w:ascii="Times New Roman" w:cs="Times New Roman" w:eastAsia="Times New Roman" w:hAnsi="Times New Roman"/>
          <w:sz w:val="18"/>
          <w:szCs w:val="18"/>
          <w:color w:val="auto"/>
        </w:rPr>
        <w:t>. The accountants who certified the financial statements and supporting schedules included in the Registration Statement are independent public accountants as required by the 1933 Act and the 1933 Act Regulations.</w:t>
      </w:r>
    </w:p>
    <w:p>
      <w:pPr>
        <w:spacing w:after="0" w:line="161" w:lineRule="exact"/>
        <w:rPr>
          <w:rFonts w:ascii="Times New Roman" w:cs="Times New Roman" w:eastAsia="Times New Roman" w:hAnsi="Times New Roman"/>
          <w:sz w:val="18"/>
          <w:szCs w:val="18"/>
          <w:color w:val="auto"/>
        </w:rPr>
      </w:pPr>
    </w:p>
    <w:p>
      <w:pPr>
        <w:ind w:right="40" w:firstLine="436"/>
        <w:spacing w:after="0" w:line="252" w:lineRule="auto"/>
        <w:tabs>
          <w:tab w:leader="none" w:pos="6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The financial statements included or incorporated by reference in the Registration Statement, the General Disclosure Package and the Prospectus, together with the related schedules and notes, present fairly, in all material respects, the financial position of the Company and its consolidated Subsidiaries (as defined below) at the dates indicated and the statement of operations, stockholders’ equity and cash flows of the Company and its consolidated Subsidiaries for the periods specified; said financial statements have been prepared in conformity with generally accepted accounting principles in the United States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applied on a consistent basis throughout the periods involved, except as may be set forth in the notes included or incorporated by reference and except that unaudited financial statements may not contain footnotes required by GAAP. The supporting schedules, if any, present fairly, in all material respects, in accordance with GAAP the information required to be stated therein. The selected financial data and the summary financial information included in the Prospectus present fairly, in all material respects, the information shown therein and have been compiled on a basis consistent with that of the financial statements included or incorporated by reference in the Registration Statement. All disclosures contained in the Registration Statement, the General Disclosure Package or the Prospectus, or incorporated by reference therein, regarding “non-GAAP financial measures” (as such term is defined by the rules and regulations of the Commission) comply in all material respects with Regulation G of the 1934 Act and Item 10 of Regulation S-K of the 1933 Act, to the extent applicable. Except as included therein, no historical or pro forma financial statements or supporting schedules are required to be included or incorporated by reference in the Registration Statement, the General Disclosure Package or the Prospectus under the 1933 Act or the 1933 Act Regulations.</w:t>
      </w:r>
    </w:p>
    <w:p>
      <w:pPr>
        <w:spacing w:after="0" w:line="197" w:lineRule="exact"/>
        <w:rPr>
          <w:rFonts w:ascii="Times New Roman" w:cs="Times New Roman" w:eastAsia="Times New Roman" w:hAnsi="Times New Roman"/>
          <w:sz w:val="18"/>
          <w:szCs w:val="18"/>
          <w:color w:val="auto"/>
        </w:rPr>
      </w:pPr>
    </w:p>
    <w:p>
      <w:pPr>
        <w:ind w:right="40" w:firstLine="436"/>
        <w:spacing w:after="0" w:line="255" w:lineRule="auto"/>
        <w:tabs>
          <w:tab w:leader="none" w:pos="68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Change in Business</w:t>
      </w:r>
      <w:r>
        <w:rPr>
          <w:rFonts w:ascii="Times New Roman" w:cs="Times New Roman" w:eastAsia="Times New Roman" w:hAnsi="Times New Roman"/>
          <w:sz w:val="18"/>
          <w:szCs w:val="18"/>
          <w:color w:val="auto"/>
        </w:rPr>
        <w:t>. Since the respective dates as of which information is given in the Registration Statement, the General Disclosure Package or the Prospectus, except as otherwise stated therein, (A) there has been no material adverse change, or any development that could reasonably be expected to result in a material adverse change, in the condition, financial or otherwise, or in the earnings, business affairs or business prospects of the Company and its Subsidiaries considered as one enterprise, whether or not arising in the ordinary course of business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(B) there have been no transactions entered into by the Company or any of its Subsidiaries, other than those in the ordinary course of business, which are material with respect to the Company and its Subsidiaries considered as one enterprise, and (C) there has been no dividend or distribution of any kind declared, paid or made by the Company on any class of its capital stock.</w:t>
      </w:r>
    </w:p>
    <w:p>
      <w:pPr>
        <w:spacing w:after="0" w:line="188" w:lineRule="exact"/>
        <w:rPr>
          <w:rFonts w:ascii="Times New Roman" w:cs="Times New Roman" w:eastAsia="Times New Roman" w:hAnsi="Times New Roman"/>
          <w:sz w:val="18"/>
          <w:szCs w:val="18"/>
          <w:color w:val="auto"/>
        </w:rPr>
      </w:pPr>
    </w:p>
    <w:p>
      <w:pPr>
        <w:ind w:firstLine="436"/>
        <w:spacing w:after="0" w:line="256" w:lineRule="auto"/>
        <w:tabs>
          <w:tab w:leader="none" w:pos="66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Standing of the Company</w:t>
      </w:r>
      <w:r>
        <w:rPr>
          <w:rFonts w:ascii="Times New Roman" w:cs="Times New Roman" w:eastAsia="Times New Roman" w:hAnsi="Times New Roman"/>
          <w:sz w:val="18"/>
          <w:szCs w:val="18"/>
          <w:color w:val="auto"/>
        </w:rPr>
        <w:t>. The Company has been duly organized and is validly existing as a corporation in good standing under the laws of the jurisdiction of its organization and has corporate power and authority to own, lease and operate its properties and to conduct its business as described in the Prospectus and to enter into and perform its obligations under this Agreement; and the Company is duly qualified as a foreign corporation to transact business and is in good standing in each other jurisdiction in which such qualification is required, whether by reason of the ownership or leasing of property or the conduct of business, except where the failure so to qualify or to be in good standing would not result in a Material Adverse Effect.</w:t>
      </w:r>
    </w:p>
    <w:p>
      <w:pPr>
        <w:spacing w:after="0" w:line="187" w:lineRule="exact"/>
        <w:rPr>
          <w:rFonts w:ascii="Times New Roman" w:cs="Times New Roman" w:eastAsia="Times New Roman" w:hAnsi="Times New Roman"/>
          <w:sz w:val="18"/>
          <w:szCs w:val="18"/>
          <w:color w:val="auto"/>
        </w:rPr>
      </w:pPr>
    </w:p>
    <w:p>
      <w:pPr>
        <w:ind w:right="80" w:firstLine="436"/>
        <w:spacing w:after="0" w:line="258" w:lineRule="auto"/>
        <w:tabs>
          <w:tab w:leader="none" w:pos="6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Standing of Subsidiaries</w:t>
      </w:r>
      <w:r>
        <w:rPr>
          <w:rFonts w:ascii="Times New Roman" w:cs="Times New Roman" w:eastAsia="Times New Roman" w:hAnsi="Times New Roman"/>
          <w:sz w:val="18"/>
          <w:szCs w:val="18"/>
          <w:color w:val="auto"/>
        </w:rPr>
        <w:t>. Each subsidiary listed in Exhibit 21.1 to the Company’s Annual Report on Form 10-K for the most recently ended fiscal year (each a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has been duly organized and is validly existing as a corporation in good standing under the laws of the jurisdiction of its incorporation, has corporate power and authority to own, lease and operate its properties and to conduct its business as described in the Prospectus and is duly qualified as a foreign corporation to transact business and is in good standing in each jurisdiction in which</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9" w:name="page10"/>
    <w:bookmarkEnd w:id="9"/>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qualification is required, whether by reason of the ownership or leasing of property or the conduct of business, except where the failure so to qualify or to be in good standing would not result in a Material Adverse Effect; except as otherwise disclosed in the Registration Statement, all of the issued and outstanding capital stock of each such Subsidiary has been duly authorized and validly issued, is fully paid and non-assessable and is owned by the Company, directly or through subsidiaries, free and clear of any security interest, mortgage, pledge, lien, encumbrance, claim or equity. The only subsidiaries, direct and indirect, of the Company are the subsidiaries listed on in Exhibit 21.1 to the Company’s Annual Report on Form 10-K for the most recently ended fiscal year, other than (i) those subsidiaries not required to be listed on Exhibit 21.1 by Item 601 of Regulation S-K under the Exchange Act or (ii) those subsidiaries formed since the last day of the most recently ended fiscal year.</w:t>
      </w:r>
    </w:p>
    <w:p>
      <w:pPr>
        <w:spacing w:after="0" w:line="189"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shares of issued and outstanding Common Stock have been duly authorized and validly issued and are fully paid and non-assessable; none of the outstanding shares of capital stock was issued in violation of the preemptive or other similar rights of any securityholder of the Company. The Company’s Common Stock has been registered pursuant to Section 12(b) of the 1934 Act and is listed on the Nasdaq Capital Market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and the Company has taken no action designed to, or likely to have the effect of, terminating the registration or listing of the Common Stock from the Nasdaq, nor has the Company received any notification that the Commission or the Nasdaq is contemplating terminating such registration or listing.</w:t>
      </w:r>
    </w:p>
    <w:p>
      <w:pPr>
        <w:spacing w:after="0" w:line="187" w:lineRule="exact"/>
        <w:rPr>
          <w:sz w:val="20"/>
          <w:szCs w:val="20"/>
          <w:color w:val="auto"/>
        </w:rPr>
      </w:pPr>
    </w:p>
    <w:p>
      <w:pPr>
        <w:ind w:right="300" w:firstLine="436"/>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Agreements</w:t>
      </w:r>
      <w:r>
        <w:rPr>
          <w:rFonts w:ascii="Times New Roman" w:cs="Times New Roman" w:eastAsia="Times New Roman" w:hAnsi="Times New Roman"/>
          <w:sz w:val="18"/>
          <w:szCs w:val="18"/>
          <w:color w:val="auto"/>
        </w:rPr>
        <w:t>. This Agreement and any Terms Agreement have been duly authorized by the Company. This Agreement has been, and any Terms Agreement will be, executed and delivered by the Company.</w:t>
      </w:r>
    </w:p>
    <w:p>
      <w:pPr>
        <w:spacing w:after="0" w:line="161" w:lineRule="exact"/>
        <w:rPr>
          <w:rFonts w:ascii="Times New Roman" w:cs="Times New Roman" w:eastAsia="Times New Roman" w:hAnsi="Times New Roman"/>
          <w:sz w:val="18"/>
          <w:szCs w:val="18"/>
          <w:color w:val="auto"/>
        </w:rPr>
      </w:pPr>
    </w:p>
    <w:p>
      <w:pPr>
        <w:ind w:right="40" w:firstLine="436"/>
        <w:spacing w:after="0" w:line="25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and Description of Securities</w:t>
      </w:r>
      <w:r>
        <w:rPr>
          <w:rFonts w:ascii="Times New Roman" w:cs="Times New Roman" w:eastAsia="Times New Roman" w:hAnsi="Times New Roman"/>
          <w:sz w:val="18"/>
          <w:szCs w:val="18"/>
          <w:color w:val="auto"/>
        </w:rPr>
        <w:t>. The Shares have been duly authorized and reserved for issuance and sale pursuant to this Agreement and, when issued and delivered by the Company pursuant to this Agreement or any Terms Agreement against payment of the consideration set forth herein, will be validly issued and fully paid and non-assessable; the Common Stock conforms to all statements relating thereto contained in the Prospectus and such description conforms to the rights set forth in the instruments defining the same; no holder of the Shares will be subject to personal liability by reason of being such a holder; and the issuance of the Shares is not subject to the preemptive or other similar rights of any securityholder of the Company except such as have been complied with or waived.</w:t>
      </w:r>
    </w:p>
    <w:p>
      <w:pPr>
        <w:spacing w:after="0" w:line="18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Defaults and Conflicts</w:t>
      </w:r>
      <w:r>
        <w:rPr>
          <w:rFonts w:ascii="Times New Roman" w:cs="Times New Roman" w:eastAsia="Times New Roman" w:hAnsi="Times New Roman"/>
          <w:sz w:val="18"/>
          <w:szCs w:val="18"/>
          <w:color w:val="auto"/>
        </w:rPr>
        <w:t>. (a) Neither the Company nor any of its Subsidiaries is in violation of its charter or by-laws (the</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or in default in the performance or observance of any obligation, agreement, covenant or condition contained in any contract, indenture, mortgage, deed of trust, loan or credit agreement, note, lease or other agreement or instrument to which the Company or any of its Subsidiaries is a party or by which it or any of them may be bound, or to which any of the property or assets of the Company or any Subsidiary is subject (collectively, “</w:t>
      </w:r>
      <w:r>
        <w:rPr>
          <w:rFonts w:ascii="Times New Roman" w:cs="Times New Roman" w:eastAsia="Times New Roman" w:hAnsi="Times New Roman"/>
          <w:sz w:val="18"/>
          <w:szCs w:val="18"/>
          <w:u w:val="single" w:color="auto"/>
          <w:color w:val="auto"/>
        </w:rPr>
        <w:t>Agreements and Instruments</w:t>
      </w:r>
      <w:r>
        <w:rPr>
          <w:rFonts w:ascii="Times New Roman" w:cs="Times New Roman" w:eastAsia="Times New Roman" w:hAnsi="Times New Roman"/>
          <w:sz w:val="18"/>
          <w:szCs w:val="18"/>
          <w:color w:val="auto"/>
        </w:rPr>
        <w:t>”), except, in the case of the Agreements and Instruments, for such violations and defaults as would not have a Material Adverse Effect; and (b)(i) the execution, delivery and performance of this Agreement or of any Terms Agreement and the consummation of the transactions contemplated herein or in any Terms Agreement and in the Registration Statement (including the issuance and sale of the Shares and the use of the proceeds from the sale of the Shares as described in the Prospectus under the caption “Use of Proceeds”) and compliance by the Company with its obligations hereunder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property or assets of the Company or any Subsidiary pursuant to, the Agreements and Instruments, (ii) nor will such action result in any violation of the provisions of the charter or by-laws of the Company or any Subsidiary, (iii) nor will such action result in any violation of any applicable law, statute, rule,</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40" w:top="270" w:right="499" w:bottom="1440" w:gutter="0" w:footer="0" w:header="0"/>
        </w:sectPr>
      </w:pPr>
    </w:p>
    <w:bookmarkStart w:id="10" w:name="page11"/>
    <w:bookmarkEnd w:id="10"/>
    <w:p>
      <w:pPr>
        <w:ind w:left="4" w:right="16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regulation, judgment, order, writ or decree of any government, government instrumentality or court, domestic or foreign, having jurisdiction over the Company or any Subsidiary or any of their assets, properties or operations (each, a “</w:t>
      </w:r>
      <w:r>
        <w:rPr>
          <w:rFonts w:ascii="Times New Roman" w:cs="Times New Roman" w:eastAsia="Times New Roman" w:hAnsi="Times New Roman"/>
          <w:sz w:val="17"/>
          <w:szCs w:val="17"/>
          <w:u w:val="single" w:color="auto"/>
          <w:color w:val="auto"/>
        </w:rPr>
        <w:t>Governmental Entity</w:t>
      </w:r>
      <w:r>
        <w:rPr>
          <w:rFonts w:ascii="Times New Roman" w:cs="Times New Roman" w:eastAsia="Times New Roman" w:hAnsi="Times New Roman"/>
          <w:sz w:val="17"/>
          <w:szCs w:val="17"/>
          <w:color w:val="auto"/>
        </w:rPr>
        <w:t>”), except in the case of clauses (b)(i) and (b)</w:t>
      </w:r>
    </w:p>
    <w:p>
      <w:pPr>
        <w:spacing w:after="0" w:line="1" w:lineRule="exact"/>
        <w:rPr>
          <w:sz w:val="20"/>
          <w:szCs w:val="20"/>
          <w:color w:val="auto"/>
        </w:rPr>
      </w:pPr>
    </w:p>
    <w:p>
      <w:pPr>
        <w:ind w:left="4" w:right="200" w:hanging="4"/>
        <w:spacing w:after="0" w:line="277" w:lineRule="auto"/>
        <w:tabs>
          <w:tab w:leader="none" w:pos="319"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above, such violation or default as would not reasonably be expected to result in a Material Adverse Effect. As used herein, a “Repayment Event” means any event or condition which gives the holder of any note, debenture or other evidence of indebtedness (or any person acting on such holder’s behalf) the right to require the repurchase, redemption or repayment of all or a portion of such indebtedness by the Company or any Subsidiary.</w:t>
      </w:r>
    </w:p>
    <w:p>
      <w:pPr>
        <w:spacing w:after="0" w:line="168" w:lineRule="exact"/>
        <w:rPr>
          <w:rFonts w:ascii="Times New Roman" w:cs="Times New Roman" w:eastAsia="Times New Roman" w:hAnsi="Times New Roman"/>
          <w:sz w:val="17"/>
          <w:szCs w:val="17"/>
          <w:color w:val="auto"/>
        </w:rPr>
      </w:pPr>
    </w:p>
    <w:p>
      <w:pPr>
        <w:ind w:left="4" w:firstLine="436"/>
        <w:spacing w:after="0" w:line="261" w:lineRule="auto"/>
        <w:tabs>
          <w:tab w:leader="none" w:pos="69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Labor Dispute</w:t>
      </w:r>
      <w:r>
        <w:rPr>
          <w:rFonts w:ascii="Times New Roman" w:cs="Times New Roman" w:eastAsia="Times New Roman" w:hAnsi="Times New Roman"/>
          <w:sz w:val="18"/>
          <w:szCs w:val="18"/>
          <w:color w:val="auto"/>
        </w:rPr>
        <w:t>. No labor dispute with the employees of the Company or any Subsidiary that would reasonably be expected to result in a Material Adverse Effect exists or, to the knowledge of the Company, is imminent, and the Company is not aware of any existing or imminent labor disturbance by the employees of any of its principal suppliers, manufacturers, customers or contractors that would reasonably be expected to result in a Material Adverse Effect.</w:t>
      </w:r>
    </w:p>
    <w:p>
      <w:pPr>
        <w:spacing w:after="0" w:line="179" w:lineRule="exact"/>
        <w:rPr>
          <w:rFonts w:ascii="Times New Roman" w:cs="Times New Roman" w:eastAsia="Times New Roman" w:hAnsi="Times New Roman"/>
          <w:sz w:val="18"/>
          <w:szCs w:val="18"/>
          <w:color w:val="auto"/>
        </w:rPr>
      </w:pPr>
    </w:p>
    <w:p>
      <w:pPr>
        <w:ind w:left="4" w:right="20" w:firstLine="436"/>
        <w:spacing w:after="0" w:line="254" w:lineRule="auto"/>
        <w:tabs>
          <w:tab w:leader="none" w:pos="65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Proceedings</w:t>
      </w:r>
      <w:r>
        <w:rPr>
          <w:rFonts w:ascii="Times New Roman" w:cs="Times New Roman" w:eastAsia="Times New Roman" w:hAnsi="Times New Roman"/>
          <w:sz w:val="18"/>
          <w:szCs w:val="18"/>
          <w:color w:val="auto"/>
        </w:rPr>
        <w:t>. There is no action, suit, proceeding, inquiry or investigation before or brought by any Governmental Entity, now pending, or, to the knowledge of the Company, threatened, against or affecting the Company or any Subsidiary, which is required to be disclosed in the Registration Statement or the Prospectus (other than as disclosed therein), or which would reasonably be expected to result in a Material Adverse Effect, or which might materially and adversely affect the properties or assets thereof or the consummation of the transactions contemplated in this Agreement or any Terms Agreement or the performance by the Company of its obligations hereunder or thereunder; the aggregate of all pending legal or governmental proceedings to which the Company or any Subsidiary is a party or of which any of their respective property or assets is the subject which are not described in the Registration Statement or the Prospectus, including ordinary routine litigation incidental to the business, would not reasonably be expected to result in a Material Adverse Effect.</w:t>
      </w:r>
    </w:p>
    <w:p>
      <w:pPr>
        <w:spacing w:after="0" w:line="191" w:lineRule="exact"/>
        <w:rPr>
          <w:rFonts w:ascii="Times New Roman" w:cs="Times New Roman" w:eastAsia="Times New Roman" w:hAnsi="Times New Roman"/>
          <w:sz w:val="18"/>
          <w:szCs w:val="18"/>
          <w:color w:val="auto"/>
        </w:rPr>
      </w:pPr>
    </w:p>
    <w:p>
      <w:pPr>
        <w:ind w:left="4" w:right="60" w:firstLine="436"/>
        <w:spacing w:after="0" w:line="282" w:lineRule="auto"/>
        <w:tabs>
          <w:tab w:leader="none" w:pos="74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Accuracy of Exhibits</w:t>
      </w:r>
      <w:r>
        <w:rPr>
          <w:rFonts w:ascii="Times New Roman" w:cs="Times New Roman" w:eastAsia="Times New Roman" w:hAnsi="Times New Roman"/>
          <w:sz w:val="18"/>
          <w:szCs w:val="18"/>
          <w:color w:val="auto"/>
        </w:rPr>
        <w:t>. There are no contracts or documents which are required to be described in the Registration Statement or the Prospectus or the documents incorporated by reference therein or to be filed as exhibits thereto which have not been so described and filed as required.</w:t>
      </w:r>
    </w:p>
    <w:p>
      <w:pPr>
        <w:spacing w:after="0" w:line="161" w:lineRule="exact"/>
        <w:rPr>
          <w:rFonts w:ascii="Times New Roman" w:cs="Times New Roman" w:eastAsia="Times New Roman" w:hAnsi="Times New Roman"/>
          <w:sz w:val="18"/>
          <w:szCs w:val="18"/>
          <w:color w:val="auto"/>
        </w:rPr>
      </w:pPr>
    </w:p>
    <w:p>
      <w:pPr>
        <w:ind w:left="4" w:right="140" w:firstLine="436"/>
        <w:spacing w:after="0" w:line="255" w:lineRule="auto"/>
        <w:tabs>
          <w:tab w:leader="none" w:pos="69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Possession of Intellectual Property</w:t>
      </w:r>
      <w:r>
        <w:rPr>
          <w:rFonts w:ascii="Times New Roman" w:cs="Times New Roman" w:eastAsia="Times New Roman" w:hAnsi="Times New Roman"/>
          <w:sz w:val="18"/>
          <w:szCs w:val="18"/>
          <w:color w:val="auto"/>
        </w:rPr>
        <w:t>. Except where the failure thereof would not reasonably be expected to have a Material Adverse Effect, the Company and its Subsidiaries own or possess, or can acquire on reasonable terms, adequate patents, patent rights, licenses, inventions, copyrights, know-how (including trade secrets and other unpatented and/or unpatentable proprietary or confidential information, systems or procedures), trademarks, service marks, trade names or other intellectual property (collectively,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necessary to carry on the business now operated by them, and neither the Company nor any of its Subsidiaries has received any notice or is otherwise aware of any infringement of or conflict with asserted rights of others with respect to any Intellectual Property or of any facts or circumstances which would render any Intellectual Property invalid or inadequate to protect the interest of the Company or any of its Subsidiaries therein.</w:t>
      </w:r>
    </w:p>
    <w:p>
      <w:pPr>
        <w:spacing w:after="0" w:line="188" w:lineRule="exact"/>
        <w:rPr>
          <w:rFonts w:ascii="Times New Roman" w:cs="Times New Roman" w:eastAsia="Times New Roman" w:hAnsi="Times New Roman"/>
          <w:sz w:val="18"/>
          <w:szCs w:val="18"/>
          <w:color w:val="auto"/>
        </w:rPr>
      </w:pPr>
    </w:p>
    <w:p>
      <w:pPr>
        <w:ind w:left="4" w:right="60" w:firstLine="436"/>
        <w:spacing w:after="0" w:line="258" w:lineRule="auto"/>
        <w:tabs>
          <w:tab w:leader="none" w:pos="69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Further Requirements</w:t>
      </w:r>
      <w:r>
        <w:rPr>
          <w:rFonts w:ascii="Times New Roman" w:cs="Times New Roman" w:eastAsia="Times New Roman" w:hAnsi="Times New Roman"/>
          <w:sz w:val="18"/>
          <w:szCs w:val="18"/>
          <w:color w:val="auto"/>
        </w:rPr>
        <w:t>. No filing with, or authorization, approval, consent, license, order, registration, qualification or decree of, any court or governmental authority or agency is necessary or required for the performance by the Company of its obligations hereunder, in connection with the offering, issuance or sale of the Securities hereunder or the consummation of the transactions contemplated by this Agreement or any Terms Agreement, except such as have been already obtained or as may be required under the 1933 Act or the 1933 Act Regulations or state securities laws or, for the avoidance of doubt, by the rules of Nasdaq.</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11" w:name="page12"/>
    <w:bookmarkEnd w:id="11"/>
    <w:p>
      <w:pPr>
        <w:ind w:left="4" w:right="120" w:firstLine="436"/>
        <w:spacing w:after="0" w:line="266" w:lineRule="auto"/>
        <w:tabs>
          <w:tab w:leader="none" w:pos="699"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Absence of Manipulation</w:t>
      </w:r>
      <w:r>
        <w:rPr>
          <w:rFonts w:ascii="Times New Roman" w:cs="Times New Roman" w:eastAsia="Times New Roman" w:hAnsi="Times New Roman"/>
          <w:sz w:val="18"/>
          <w:szCs w:val="18"/>
          <w:color w:val="auto"/>
        </w:rPr>
        <w:t>. Neither the Company nor any affiliate of the Company has taken, nor will the Company take, directly or indirectly, any action which is designed to or which has constituted or which would be expected to cause or result in stabilization or manipulation of the price of any security of the Company to facilitate the sale or resale of the Shares.</w:t>
      </w:r>
    </w:p>
    <w:p>
      <w:pPr>
        <w:spacing w:after="0" w:line="175" w:lineRule="exact"/>
        <w:rPr>
          <w:rFonts w:ascii="Times New Roman" w:cs="Times New Roman" w:eastAsia="Times New Roman" w:hAnsi="Times New Roman"/>
          <w:sz w:val="18"/>
          <w:szCs w:val="18"/>
          <w:color w:val="auto"/>
        </w:rPr>
      </w:pPr>
    </w:p>
    <w:p>
      <w:pPr>
        <w:ind w:left="4" w:right="40" w:firstLine="436"/>
        <w:spacing w:after="0" w:line="256" w:lineRule="auto"/>
        <w:tabs>
          <w:tab w:leader="none" w:pos="699"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Possession of Licenses and Permits</w:t>
      </w:r>
      <w:r>
        <w:rPr>
          <w:rFonts w:ascii="Times New Roman" w:cs="Times New Roman" w:eastAsia="Times New Roman" w:hAnsi="Times New Roman"/>
          <w:sz w:val="18"/>
          <w:szCs w:val="18"/>
          <w:color w:val="auto"/>
        </w:rPr>
        <w:t>. The Company and its Subsidiaries possess such permits, licenses, approvals, consents and other authorizations (collectively, “</w:t>
      </w:r>
      <w:r>
        <w:rPr>
          <w:rFonts w:ascii="Times New Roman" w:cs="Times New Roman" w:eastAsia="Times New Roman" w:hAnsi="Times New Roman"/>
          <w:sz w:val="18"/>
          <w:szCs w:val="18"/>
          <w:u w:val="single" w:color="auto"/>
          <w:color w:val="auto"/>
        </w:rPr>
        <w:t>Governmental Licenses</w:t>
      </w:r>
      <w:r>
        <w:rPr>
          <w:rFonts w:ascii="Times New Roman" w:cs="Times New Roman" w:eastAsia="Times New Roman" w:hAnsi="Times New Roman"/>
          <w:sz w:val="18"/>
          <w:szCs w:val="18"/>
          <w:color w:val="auto"/>
        </w:rPr>
        <w:t>”) issued by the appropriate federal, state, local or foreign regulatory agencies or bodies necessary to conduct the business now operated by them; the Company and its Subsidiaries are in compliance with the terms and conditions of all such Governmental Licenses; all of the Governmental Licenses are valid and in full force and effect; and neither the Company nor any of its Subsidiaries has received any notice of proceedings relating to the revocation or modification of any such Governmental Licenses, except, in each case, for such failures, noncompliance or invalidity as would not reasonably be expected to result in a Material Adverse Effect.</w:t>
      </w:r>
    </w:p>
    <w:p>
      <w:pPr>
        <w:spacing w:after="0" w:line="187" w:lineRule="exact"/>
        <w:rPr>
          <w:rFonts w:ascii="Times New Roman" w:cs="Times New Roman" w:eastAsia="Times New Roman" w:hAnsi="Times New Roman"/>
          <w:sz w:val="18"/>
          <w:szCs w:val="18"/>
          <w:color w:val="auto"/>
        </w:rPr>
      </w:pPr>
    </w:p>
    <w:p>
      <w:pPr>
        <w:ind w:left="4" w:right="120" w:firstLine="436"/>
        <w:spacing w:after="0" w:line="270" w:lineRule="auto"/>
        <w:tabs>
          <w:tab w:leader="none" w:pos="669"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Title to Property</w:t>
      </w:r>
      <w:r>
        <w:rPr>
          <w:rFonts w:ascii="Times New Roman" w:cs="Times New Roman" w:eastAsia="Times New Roman" w:hAnsi="Times New Roman"/>
          <w:sz w:val="17"/>
          <w:szCs w:val="17"/>
          <w:color w:val="auto"/>
        </w:rPr>
        <w:t>. The Company and its Subsidiaries have good and marketable title to all real property owned by the Company and its Subsidiaries and good title to all other properties owned by them, in each case, free and clear of all mortgages, pledges, liens, security interests, claims, restrictions or encumbrances of any kind except such as (a) are described in the Prospectus, (b) do not, singly or in the aggregate, materially affect the value of such property and do not interfere with the use made and proposed to be made of such property by the Company or any of its Subsidiaries, or</w:t>
      </w:r>
    </w:p>
    <w:p>
      <w:pPr>
        <w:spacing w:after="0" w:line="2" w:lineRule="exact"/>
        <w:rPr>
          <w:rFonts w:ascii="Times New Roman" w:cs="Times New Roman" w:eastAsia="Times New Roman" w:hAnsi="Times New Roman"/>
          <w:sz w:val="17"/>
          <w:szCs w:val="17"/>
          <w:color w:val="auto"/>
        </w:rPr>
      </w:pPr>
    </w:p>
    <w:p>
      <w:pPr>
        <w:ind w:left="4" w:right="40" w:hanging="4"/>
        <w:spacing w:after="0" w:line="253" w:lineRule="auto"/>
        <w:tabs>
          <w:tab w:leader="none" w:pos="24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not reasonably be expected to have a Material Adverse Effect; and all of the leases and subleases material to the business of the Company and its Subsidiaries, considered as one enterprise, and under which the Company or any of its Subsidiaries holds properties described in the Prospectus, are in full force and effect, and neither the Company nor any Subsidiary has received any written notice of any material claim that has been asserted by anyone adverse to the rights of the Company or any Subsidiary under any of the leases or subleases mentioned above, or affecting or questioning the rights of the Company or such Subsidiary to the continued possession of the leased or subleased premises under any such lease or sublease.</w:t>
      </w:r>
    </w:p>
    <w:p>
      <w:pPr>
        <w:spacing w:after="0" w:line="186" w:lineRule="exact"/>
        <w:rPr>
          <w:rFonts w:ascii="Times New Roman" w:cs="Times New Roman" w:eastAsia="Times New Roman" w:hAnsi="Times New Roman"/>
          <w:sz w:val="18"/>
          <w:szCs w:val="18"/>
          <w:color w:val="auto"/>
        </w:rPr>
      </w:pPr>
    </w:p>
    <w:p>
      <w:pPr>
        <w:ind w:left="4" w:right="140" w:firstLine="436"/>
        <w:spacing w:after="0" w:line="266" w:lineRule="auto"/>
        <w:tabs>
          <w:tab w:leader="none" w:pos="67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The Company is not required, and upon the issuance and sale of the Shares as herein contemplated and the immediate application of the net proceeds therefrom as described in the Prospectus will not be required, to register as an “investment company” within the meaning of the Investment Company Act of 1940, as amended.</w:t>
      </w:r>
    </w:p>
    <w:p>
      <w:pPr>
        <w:spacing w:after="0" w:line="175" w:lineRule="exact"/>
        <w:rPr>
          <w:rFonts w:ascii="Times New Roman" w:cs="Times New Roman" w:eastAsia="Times New Roman" w:hAnsi="Times New Roman"/>
          <w:sz w:val="18"/>
          <w:szCs w:val="18"/>
          <w:color w:val="auto"/>
        </w:rPr>
      </w:pPr>
    </w:p>
    <w:p>
      <w:pPr>
        <w:ind w:left="4" w:firstLine="436"/>
        <w:spacing w:after="0" w:line="252" w:lineRule="auto"/>
        <w:tabs>
          <w:tab w:leader="none" w:pos="65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Except as described in the Prospectus, (A)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asbestos-containing materials or mold (collectively,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or to the manufacture, processing, distribution, use, treatment, storage, disposal, transport or handling of Hazardous Materials (collectively,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(B) the Company and its Subsidiaries have all permits, authorizations and approvals required under any applicable Environmental Laws and are each in compliance with their requirements, (C) there are no pending or threatened administrative, regulatory or judicial actions, suits, demands, demand letters, claims, liens, notices of noncompliance or violation, investigation or proceedings relating to any Environmental Law against the Company or any of its Subsidiaries and</w:t>
      </w:r>
    </w:p>
    <w:p>
      <w:pPr>
        <w:spacing w:after="0" w:line="5"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 there are no events or circumstances that would reasonably be expected to form the basis of an order for clean-up or</w:t>
      </w:r>
    </w:p>
    <w:p>
      <w:pPr>
        <w:spacing w:after="0" w:line="13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12" w:name="page13"/>
    <w:bookmarkEnd w:id="12"/>
    <w:p>
      <w:pPr>
        <w:jc w:val="both"/>
        <w:ind w:left="4" w:right="5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remediation, or an action, suit or proceeding by any private party or governmental body or agency, against or affecting the Company or any of its Subsidiaries relating to Hazardous Materials or any Environmental Laws, except in the case of any of clauses (A), (B), (C) or (D) above, for any violation, failure to have permits, authorization and approvals, events or circumstances that would not reasonably be expected to have a Material Adverse Effect.</w:t>
      </w:r>
    </w:p>
    <w:p>
      <w:pPr>
        <w:spacing w:after="0" w:line="180" w:lineRule="exact"/>
        <w:rPr>
          <w:sz w:val="20"/>
          <w:szCs w:val="20"/>
          <w:color w:val="auto"/>
        </w:rPr>
      </w:pPr>
    </w:p>
    <w:p>
      <w:pPr>
        <w:ind w:left="4" w:right="500" w:firstLine="436"/>
        <w:spacing w:after="0" w:line="282" w:lineRule="auto"/>
        <w:tabs>
          <w:tab w:leader="none" w:pos="699"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There are no persons with registrations rights or other similar rights to have any securities registered pursuant to the Registration Statement or otherwise registration by the Company under the 1933 Act except such as have been waived or satisfied.</w:t>
      </w:r>
    </w:p>
    <w:p>
      <w:pPr>
        <w:spacing w:after="0" w:line="161" w:lineRule="exact"/>
        <w:rPr>
          <w:rFonts w:ascii="Times New Roman" w:cs="Times New Roman" w:eastAsia="Times New Roman" w:hAnsi="Times New Roman"/>
          <w:sz w:val="18"/>
          <w:szCs w:val="18"/>
          <w:color w:val="auto"/>
        </w:rPr>
      </w:pPr>
    </w:p>
    <w:p>
      <w:pPr>
        <w:ind w:left="4" w:right="300" w:firstLine="436"/>
        <w:spacing w:after="0" w:line="276" w:lineRule="auto"/>
        <w:tabs>
          <w:tab w:leader="none" w:pos="699"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Accounting Controls and Disclosure Controls</w:t>
      </w:r>
      <w:r>
        <w:rPr>
          <w:rFonts w:ascii="Times New Roman" w:cs="Times New Roman" w:eastAsia="Times New Roman" w:hAnsi="Times New Roman"/>
          <w:sz w:val="17"/>
          <w:szCs w:val="17"/>
          <w:color w:val="auto"/>
        </w:rPr>
        <w:t>. The Company and each of its Subsidiaries maintain a system of internal accounting controls sufficient to provide reasonable assurances that (A) transactions are executed in accordance with management’s general or specific authorization;</w:t>
      </w:r>
    </w:p>
    <w:p>
      <w:pPr>
        <w:ind w:left="4" w:right="60" w:hanging="4"/>
        <w:spacing w:after="0" w:line="252" w:lineRule="auto"/>
        <w:tabs>
          <w:tab w:leader="none" w:pos="28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are recorded as necessary to permit preparation of financial statements in conformity with GAAP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Except as described in the Prospectus, since the end of the Company’s most recent audited fiscal year, there has been (1) no material weakness in the Company’s internal control over financial reporting (whether or not remediated) and (2) no change in the Company’s internal control over financial reporting that has materially affected, or is reasonably likely to materially affect, the Company’s internal control over financial reporting.</w:t>
      </w:r>
    </w:p>
    <w:p>
      <w:pPr>
        <w:spacing w:after="0" w:line="189" w:lineRule="exact"/>
        <w:rPr>
          <w:rFonts w:ascii="Times New Roman" w:cs="Times New Roman" w:eastAsia="Times New Roman" w:hAnsi="Times New Roman"/>
          <w:sz w:val="18"/>
          <w:szCs w:val="18"/>
          <w:color w:val="auto"/>
        </w:rPr>
      </w:pPr>
    </w:p>
    <w:p>
      <w:pPr>
        <w:ind w:left="4" w:right="60" w:firstLine="436"/>
        <w:spacing w:after="0" w:line="258" w:lineRule="auto"/>
        <w:tabs>
          <w:tab w:leader="none" w:pos="739"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consolidated Subsidiaries employ disclosure controls and procedures that are reasonably designed to ensure that information required to be disclosed by the Company in the reports that it files or submits under the 1934 Act is recorded, processed, summarized and reported, within the time periods specified in the Commission’s rules and forms, and is accumulated and communicated to the Company’s management, including its principal executive officer or officers and principal financial officer or officers, as appropriate, to allow timely decisions regarding disclosure.</w:t>
      </w:r>
    </w:p>
    <w:p>
      <w:pPr>
        <w:spacing w:after="0" w:line="183" w:lineRule="exact"/>
        <w:rPr>
          <w:rFonts w:ascii="Times New Roman" w:cs="Times New Roman" w:eastAsia="Times New Roman" w:hAnsi="Times New Roman"/>
          <w:sz w:val="18"/>
          <w:szCs w:val="18"/>
          <w:color w:val="auto"/>
        </w:rPr>
      </w:pPr>
    </w:p>
    <w:p>
      <w:pPr>
        <w:ind w:left="4" w:firstLine="436"/>
        <w:spacing w:after="0" w:line="256" w:lineRule="auto"/>
        <w:tabs>
          <w:tab w:leader="none" w:pos="699"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S-3 Eligibility</w:t>
      </w:r>
      <w:r>
        <w:rPr>
          <w:rFonts w:ascii="Times New Roman" w:cs="Times New Roman" w:eastAsia="Times New Roman" w:hAnsi="Times New Roman"/>
          <w:sz w:val="18"/>
          <w:szCs w:val="18"/>
          <w:color w:val="auto"/>
        </w:rPr>
        <w:t>. (A)(i) At the time of filing the Registration Statement and (ii) at the time of the most recent amendment thereto for the purposes of complying with Section 10(a)(3) of the 1933 Act (whether such amendment was by post-effective amendment, incorporated report filed pursuant to Section 13 or 15(d) of the 1934 Act or form of prospectus), the Company met the then applicable requirements for use of Form S-3 under the 1933 Act and (B) at the earliest time after the filing of the Registration Statement that the Company or another offering participant made a bona fide offer (within the meaning of Rule 164(h)(2) under the 1933 Act) of the Shares, the Company was not an “ineligible issuer” as defined in Rule 405 under the 1933 Act.</w:t>
      </w:r>
    </w:p>
    <w:p>
      <w:pPr>
        <w:spacing w:after="0" w:line="187" w:lineRule="exact"/>
        <w:rPr>
          <w:rFonts w:ascii="Times New Roman" w:cs="Times New Roman" w:eastAsia="Times New Roman" w:hAnsi="Times New Roman"/>
          <w:sz w:val="18"/>
          <w:szCs w:val="18"/>
          <w:color w:val="auto"/>
        </w:rPr>
      </w:pPr>
    </w:p>
    <w:p>
      <w:pPr>
        <w:ind w:left="4" w:right="380" w:firstLine="436"/>
        <w:spacing w:after="0" w:line="266" w:lineRule="auto"/>
        <w:tabs>
          <w:tab w:leader="none" w:pos="699"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Commissions</w:t>
      </w:r>
      <w:r>
        <w:rPr>
          <w:rFonts w:ascii="Times New Roman" w:cs="Times New Roman" w:eastAsia="Times New Roman" w:hAnsi="Times New Roman"/>
          <w:sz w:val="18"/>
          <w:szCs w:val="18"/>
          <w:color w:val="auto"/>
        </w:rPr>
        <w:t>. Neither the Company nor any of its Subsidiaries is a party to any contract, agreement or understanding with any person (other than as contemplated by this Agreement or any Terms Agreement) that would give rise to a valid claim against the Company or any of its Subsidiaries or the Agents for a brokerage commission, finder’s fee or like payment in connection with the offering and sale of the Shares.</w:t>
      </w:r>
    </w:p>
    <w:p>
      <w:pPr>
        <w:spacing w:after="0" w:line="175" w:lineRule="exact"/>
        <w:rPr>
          <w:rFonts w:ascii="Times New Roman" w:cs="Times New Roman" w:eastAsia="Times New Roman" w:hAnsi="Times New Roman"/>
          <w:sz w:val="18"/>
          <w:szCs w:val="18"/>
          <w:color w:val="auto"/>
        </w:rPr>
      </w:pPr>
    </w:p>
    <w:p>
      <w:pPr>
        <w:jc w:val="both"/>
        <w:ind w:left="4" w:right="40" w:firstLine="436"/>
        <w:spacing w:after="0" w:line="266" w:lineRule="auto"/>
        <w:tabs>
          <w:tab w:leader="none" w:pos="689"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Deemed Representation</w:t>
      </w:r>
      <w:r>
        <w:rPr>
          <w:rFonts w:ascii="Times New Roman" w:cs="Times New Roman" w:eastAsia="Times New Roman" w:hAnsi="Times New Roman"/>
          <w:sz w:val="18"/>
          <w:szCs w:val="18"/>
          <w:color w:val="auto"/>
        </w:rPr>
        <w:t>. Any certificate signed by any officer of the Company delivered to the Agents or to counsel for the Agents pursuant to or in connection with this Agreement or any Terms Agreement shall be deemed a representation and warranty hereunder by the Company to the Agents as to the matters covered thereby as of the date or dates indicated in such certificate.</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70" w:right="459" w:bottom="1440" w:gutter="0" w:footer="0" w:header="0"/>
        </w:sectPr>
      </w:pPr>
    </w:p>
    <w:bookmarkStart w:id="13" w:name="page14"/>
    <w:bookmarkEnd w:id="13"/>
    <w:p>
      <w:pPr>
        <w:ind w:left="-20" w:right="40" w:firstLine="436"/>
        <w:spacing w:after="0" w:line="261" w:lineRule="auto"/>
        <w:tabs>
          <w:tab w:leader="none" w:pos="74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Compliance with the Sarbanes-Oxley Act.</w:t>
      </w:r>
      <w:r>
        <w:rPr>
          <w:rFonts w:ascii="Times New Roman" w:cs="Times New Roman" w:eastAsia="Times New Roman" w:hAnsi="Times New Roman"/>
          <w:sz w:val="18"/>
          <w:szCs w:val="18"/>
          <w:color w:val="auto"/>
        </w:rPr>
        <w:t xml:space="preserve"> There is and has been no failure on the part of the Company or any of the Company’s directors or officers, in their capacities as such, to comply in all material respects with any provision of the Sarbanes-Oxley Act of 2002 and the rules and regulations promulgated in connection therewith (the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including Section 402 related to loans and Sections 302 and 906 related to certifications.</w:t>
      </w:r>
    </w:p>
    <w:p>
      <w:pPr>
        <w:spacing w:after="0" w:line="179" w:lineRule="exact"/>
        <w:rPr>
          <w:rFonts w:ascii="Times New Roman" w:cs="Times New Roman" w:eastAsia="Times New Roman" w:hAnsi="Times New Roman"/>
          <w:sz w:val="18"/>
          <w:szCs w:val="18"/>
          <w:color w:val="auto"/>
        </w:rPr>
      </w:pPr>
    </w:p>
    <w:p>
      <w:pPr>
        <w:ind w:left="-20" w:right="740" w:firstLine="436"/>
        <w:spacing w:after="0" w:line="282" w:lineRule="auto"/>
        <w:tabs>
          <w:tab w:leader="none" w:pos="76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FINRA Exemption</w:t>
      </w:r>
      <w:r>
        <w:rPr>
          <w:rFonts w:ascii="Times New Roman" w:cs="Times New Roman" w:eastAsia="Times New Roman" w:hAnsi="Times New Roman"/>
          <w:sz w:val="18"/>
          <w:szCs w:val="18"/>
          <w:color w:val="auto"/>
        </w:rPr>
        <w:t>. To enable the Agents to rely on Rule 5110(h)(1)(C) of FINRA, the Company represents that the Company is an “experienced issuer,” as defined in FINRA Rule 5110.</w:t>
      </w:r>
    </w:p>
    <w:p>
      <w:pPr>
        <w:spacing w:after="0" w:line="161" w:lineRule="exact"/>
        <w:rPr>
          <w:rFonts w:ascii="Times New Roman" w:cs="Times New Roman" w:eastAsia="Times New Roman" w:hAnsi="Times New Roman"/>
          <w:sz w:val="18"/>
          <w:szCs w:val="18"/>
          <w:color w:val="auto"/>
        </w:rPr>
      </w:pPr>
    </w:p>
    <w:p>
      <w:pPr>
        <w:ind w:left="-20" w:firstLine="436"/>
        <w:spacing w:after="0" w:line="254" w:lineRule="auto"/>
        <w:tabs>
          <w:tab w:leader="none" w:pos="74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All United States federal income tax returns of the Company and its Subsidiaries required by law to be filed have been filed and all taxes shown by such returns or otherwise assessed, which are due and payable, have been paid, except assessments against which appeals have been or will be promptly taken and as to which adequate reserves have been provided and except where the failure to do so would not reasonably be expected to have a Material Adverse Effect. The United States federal income tax returns of the Company through the fiscal year ended December 31, 2023 have been filed and no assessment in connection therewith has been made against the Company. The Company and its Subsidiaries have filed all other tax returns that are required to have been filed by them pursuant to applicable foreign, state, local or other law and have paid all taxes due pursuant to such returns or pursuant to any assessment received by the Company and its Subsidiaries, except for such taxes, if any, as are being contested in good faith and as to which adequate reserves have been provided and except where the failure to do so would not reasonably be expected to have a Material Adverse Effect.</w:t>
      </w:r>
    </w:p>
    <w:p>
      <w:pPr>
        <w:spacing w:after="0" w:line="188" w:lineRule="exact"/>
        <w:rPr>
          <w:rFonts w:ascii="Times New Roman" w:cs="Times New Roman" w:eastAsia="Times New Roman" w:hAnsi="Times New Roman"/>
          <w:sz w:val="18"/>
          <w:szCs w:val="18"/>
          <w:color w:val="auto"/>
        </w:rPr>
      </w:pPr>
    </w:p>
    <w:p>
      <w:pPr>
        <w:ind w:left="-20" w:right="80" w:firstLine="436"/>
        <w:spacing w:after="0" w:line="277" w:lineRule="auto"/>
        <w:tabs>
          <w:tab w:leader="none" w:pos="76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Insurance</w:t>
      </w:r>
      <w:r>
        <w:rPr>
          <w:rFonts w:ascii="Times New Roman" w:cs="Times New Roman" w:eastAsia="Times New Roman" w:hAnsi="Times New Roman"/>
          <w:sz w:val="17"/>
          <w:szCs w:val="17"/>
          <w:color w:val="auto"/>
        </w:rPr>
        <w:t>. The Company carry or are entitled to the benefits of insurance in such amounts and covering such risks as is generally maintained by companies of established repute engaged in the same or similar business, and all such insurance is in full force and effect. The Company has no reason to believe that it or its Subsidiary will not be able (A) to renew its existing insurance coverage as and when such policies expire or (B) to obtain comparable coverage as may be necessary or appropriate to conduct its business as now conducted and at a cost that would not result in a Material Adverse Effect. Neither the Company or its Subsidiary has been denied any insurance coverage which it has sought or for which it has applied.</w:t>
      </w:r>
    </w:p>
    <w:p>
      <w:pPr>
        <w:spacing w:after="0" w:line="167" w:lineRule="exact"/>
        <w:rPr>
          <w:rFonts w:ascii="Times New Roman" w:cs="Times New Roman" w:eastAsia="Times New Roman" w:hAnsi="Times New Roman"/>
          <w:sz w:val="17"/>
          <w:szCs w:val="17"/>
          <w:color w:val="auto"/>
        </w:rPr>
      </w:pPr>
    </w:p>
    <w:p>
      <w:pPr>
        <w:ind w:left="-20" w:right="20" w:firstLine="436"/>
        <w:spacing w:after="0" w:line="266" w:lineRule="auto"/>
        <w:tabs>
          <w:tab w:leader="none" w:pos="74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Statistical and Market-Related Data</w:t>
      </w:r>
      <w:r>
        <w:rPr>
          <w:rFonts w:ascii="Times New Roman" w:cs="Times New Roman" w:eastAsia="Times New Roman" w:hAnsi="Times New Roman"/>
          <w:sz w:val="18"/>
          <w:szCs w:val="18"/>
          <w:color w:val="auto"/>
        </w:rPr>
        <w:t>. Any statistical and market-related data included in the Registration Statement, the General Disclosure Package and the Prospectus are based on or derived from sources that the Company reasonably believes to be reliable and accurate, and, where required, the Company has obtained the written consent to the use of such data from such sources.</w:t>
      </w:r>
    </w:p>
    <w:p>
      <w:pPr>
        <w:spacing w:after="0" w:line="175" w:lineRule="exact"/>
        <w:rPr>
          <w:rFonts w:ascii="Times New Roman" w:cs="Times New Roman" w:eastAsia="Times New Roman" w:hAnsi="Times New Roman"/>
          <w:sz w:val="18"/>
          <w:szCs w:val="18"/>
          <w:color w:val="auto"/>
        </w:rPr>
      </w:pPr>
    </w:p>
    <w:p>
      <w:pPr>
        <w:ind w:left="-20" w:right="60" w:firstLine="436"/>
        <w:spacing w:after="0" w:line="272" w:lineRule="auto"/>
        <w:tabs>
          <w:tab w:leader="none" w:pos="702"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Foreign Corrupt Practices Act</w:t>
      </w:r>
      <w:r>
        <w:rPr>
          <w:rFonts w:ascii="Times New Roman" w:cs="Times New Roman" w:eastAsia="Times New Roman" w:hAnsi="Times New Roman"/>
          <w:sz w:val="17"/>
          <w:szCs w:val="17"/>
          <w:color w:val="auto"/>
        </w:rPr>
        <w:t>. Neither the Company nor, to the knowledge of the Company, any director, officer, agent, employee, affiliate or other person acting on behalf of the Company or any of its Subsidiaries is aware of or has taken any action, directly or indirectly, that would result in a violation by such persons of the Foreign Corrupt Practices Act of 1977, as amended, and the rules and regulations thereunder (the “</w:t>
      </w:r>
      <w:r>
        <w:rPr>
          <w:rFonts w:ascii="Times New Roman" w:cs="Times New Roman" w:eastAsia="Times New Roman" w:hAnsi="Times New Roman"/>
          <w:sz w:val="17"/>
          <w:szCs w:val="17"/>
          <w:u w:val="single" w:color="auto"/>
          <w:color w:val="auto"/>
        </w:rPr>
        <w:t>FCPA</w:t>
      </w:r>
      <w:r>
        <w:rPr>
          <w:rFonts w:ascii="Times New Roman" w:cs="Times New Roman" w:eastAsia="Times New Roman" w:hAnsi="Times New Roman"/>
          <w:sz w:val="17"/>
          <w:szCs w:val="17"/>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and, to the knowledge of the Company, its affiliates have conducted their businesses in compliance with the FCPA and have instituted and maintain policies and procedures reasonably designed to ensure continued compliance therewith.</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60" w:top="270" w:right="459" w:bottom="1440" w:gutter="0" w:footer="0" w:header="0"/>
        </w:sectPr>
      </w:pPr>
    </w:p>
    <w:bookmarkStart w:id="14" w:name="page15"/>
    <w:bookmarkEnd w:id="14"/>
    <w:p>
      <w:pPr>
        <w:ind w:firstLine="436"/>
        <w:spacing w:after="0" w:line="256" w:lineRule="auto"/>
        <w:tabs>
          <w:tab w:leader="none" w:pos="78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Money Laundering Laws</w:t>
      </w:r>
      <w:r>
        <w:rPr>
          <w:rFonts w:ascii="Times New Roman" w:cs="Times New Roman" w:eastAsia="Times New Roman" w:hAnsi="Times New Roman"/>
          <w:sz w:val="18"/>
          <w:szCs w:val="18"/>
          <w:color w:val="auto"/>
        </w:rPr>
        <w:t>. The operations of the Company are and have been conducted at all times in material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with respect to the Money Laundering Laws is pending or, to the best knowledge of the Company, threatened.</w:t>
      </w:r>
    </w:p>
    <w:p>
      <w:pPr>
        <w:spacing w:after="0" w:line="187" w:lineRule="exact"/>
        <w:rPr>
          <w:rFonts w:ascii="Times New Roman" w:cs="Times New Roman" w:eastAsia="Times New Roman" w:hAnsi="Times New Roman"/>
          <w:sz w:val="18"/>
          <w:szCs w:val="18"/>
          <w:color w:val="auto"/>
        </w:rPr>
      </w:pPr>
    </w:p>
    <w:p>
      <w:pPr>
        <w:ind w:right="100" w:firstLine="436"/>
        <w:spacing w:after="0" w:line="258" w:lineRule="auto"/>
        <w:tabs>
          <w:tab w:leader="none" w:pos="78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Neither the Company nor, to the knowledge of the Company, any director, officer, agent, employee, affiliate or person acting on behalf of the Company is currently subject to any U.S. sanctions administered by the Office of Foreign Assets Control of the U.S. Treasury Department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and the Company will not directly or indirectly use the proceeds of the offering,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183" w:lineRule="exact"/>
        <w:rPr>
          <w:rFonts w:ascii="Times New Roman" w:cs="Times New Roman" w:eastAsia="Times New Roman" w:hAnsi="Times New Roman"/>
          <w:sz w:val="18"/>
          <w:szCs w:val="18"/>
          <w:color w:val="auto"/>
        </w:rPr>
      </w:pPr>
    </w:p>
    <w:p>
      <w:pPr>
        <w:ind w:right="20" w:firstLine="436"/>
        <w:spacing w:after="0" w:line="252" w:lineRule="auto"/>
        <w:tabs>
          <w:tab w:leader="none" w:pos="70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Health Care Laws</w:t>
      </w:r>
      <w:r>
        <w:rPr>
          <w:rFonts w:ascii="Times New Roman" w:cs="Times New Roman" w:eastAsia="Times New Roman" w:hAnsi="Times New Roman"/>
          <w:sz w:val="18"/>
          <w:szCs w:val="18"/>
          <w:color w:val="auto"/>
        </w:rPr>
        <w:t>. Except as described in the Prospectus, the Company: (i) is in compliance with applicable Health Care Laws, except for such noncompliance as would not reasonably be expected to result in a Material Adverse Effect; (ii) has not received any FDA Form 483, notice of adverse finding, warning letter, untitled letter or other written correspondence or notice from any Governmental Entity alleging or asserting noncompliance with any Health Care Laws which has not been remedied by the Company, except for such noncompliance as would not reasonably be expected to result in a Material Adverse Effect; (iii) possesses all licenses, certificates, approvals, clearances, authorizations, registrations, permits (and supplements or amendments thereto) required by any Health Care Laws (“</w:t>
      </w:r>
      <w:r>
        <w:rPr>
          <w:rFonts w:ascii="Times New Roman" w:cs="Times New Roman" w:eastAsia="Times New Roman" w:hAnsi="Times New Roman"/>
          <w:sz w:val="18"/>
          <w:szCs w:val="18"/>
          <w:u w:val="single" w:color="auto"/>
          <w:color w:val="auto"/>
        </w:rPr>
        <w:t>Authorizations</w:t>
      </w:r>
      <w:r>
        <w:rPr>
          <w:rFonts w:ascii="Times New Roman" w:cs="Times New Roman" w:eastAsia="Times New Roman" w:hAnsi="Times New Roman"/>
          <w:sz w:val="18"/>
          <w:szCs w:val="18"/>
          <w:color w:val="auto"/>
        </w:rPr>
        <w:t>”), such Authorizations are valid and in full force and effect, and the Company is not in violation of any term of any such Authorizations, except for such failure invalidity or violation as would not reasonably be expected to result in a Material Adverse Effect; (iv) has not received written notice of any claim, action, suit, proceeding, hearing, enforcement, investigation, arbitration or other action from any Governmental Entity or third party alleging that any product, operation or activity is in violation of any Health Care Laws or Authorizations, and does not have knowledge that any such Governmental Entity or third party is considering any such claim, litigation, arbitration, action, suit, investigation or proceeding, except for such violations as would not reasonably be expected to result in a Material Adverse Effect; (v) has not received written notice that any Governmental Entity has taken, is taking or intends to take action to suspend or revoke any Authorizations and the Company has no knowledge that any such Governmental Entity is considering such action, except for such limitations, suspensions, modifications or revocations as would not reasonably be expected to result in a Material Adverse Effect; and (vi) has filed, obtained, maintained or submitted all reports, documents, forms, notices, applications, records, claims, submissions (and supplements or amendments thereto) as required by any Health Care Laws or Authorizations, and all such reports, documents, forms, notices, applications, records, claims, submissions (and supplements or amendments thereto) were complete and correct in all material respects on the date filed (or were corrected or supplemented by a subsequent submission), except where the failure to file, obtain, maintain or submit such documents would not reasonably be expected to result in a Material Adverse Effect.</w:t>
      </w:r>
    </w:p>
    <w:p>
      <w:pPr>
        <w:spacing w:after="0" w:line="191"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As used herein, “Health Care Laws” means: (i) the Federal Food, Drug and Cosmetic Act and the regulations promulgated thereunder; (ii) all applicable federal, state, local and all applicable foreign health care related fraud and abuse law, including the U.S. Anti-Kickback Statute (42 U.S.C. Section 1320a-7b(b)), the Physician Self-Referral Law (commonly known as the Stark law) (42 U.S.C. Section 1395nn), the civil False Claims Act (31 U.S.C. Section 3729 et seq.), the administrative False Claims Law (42 U.S.C. Section 1320a-7b(a)), the Civil Monetary Penalties Law (42 U.S.C. Section 1320a-7a), the Health Insurance Portability and Accountability Act of 1996 (42 U.S.C. Section 1320d et seq.), as amended by the Health Information Technology for Economic and Clinical Health Act of 2009</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5" w:name="page16"/>
    <w:bookmarkEnd w:id="15"/>
    <w:p>
      <w:pPr>
        <w:ind w:left="4"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(collectively, “</w:t>
      </w:r>
      <w:r>
        <w:rPr>
          <w:rFonts w:ascii="Times New Roman" w:cs="Times New Roman" w:eastAsia="Times New Roman" w:hAnsi="Times New Roman"/>
          <w:sz w:val="18"/>
          <w:szCs w:val="18"/>
          <w:u w:val="single" w:color="auto"/>
          <w:color w:val="auto"/>
        </w:rPr>
        <w:t>HIPAA</w:t>
      </w:r>
      <w:r>
        <w:rPr>
          <w:rFonts w:ascii="Times New Roman" w:cs="Times New Roman" w:eastAsia="Times New Roman" w:hAnsi="Times New Roman"/>
          <w:sz w:val="18"/>
          <w:szCs w:val="18"/>
          <w:color w:val="auto"/>
        </w:rPr>
        <w:t>”), the exclusion laws (42 U.S.C. Section 1320a-7), and the Physician Payments Sunshine Act (42 U.S.C. Section 1320a-7h); (iii) all criminal laws relating to health care fraud and abuse, including 18 U.S.C. Sections 286 and 287, and the health care fraud criminal provisions under HIPAA, Medicare (Title XVIII of the Social Security Act), and Medicaid (Title XIX of the Social Security Act); and (iv) the regulations promulgated pursuant to such laws, and comparable state laws.</w:t>
      </w:r>
    </w:p>
    <w:p>
      <w:pPr>
        <w:spacing w:after="0" w:line="180" w:lineRule="exact"/>
        <w:rPr>
          <w:sz w:val="20"/>
          <w:szCs w:val="20"/>
          <w:color w:val="auto"/>
        </w:rPr>
      </w:pPr>
    </w:p>
    <w:p>
      <w:pPr>
        <w:ind w:left="4" w:right="120" w:firstLine="436"/>
        <w:spacing w:after="0" w:line="255" w:lineRule="auto"/>
        <w:tabs>
          <w:tab w:leader="none" w:pos="70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Clinical Studies</w:t>
      </w:r>
      <w:r>
        <w:rPr>
          <w:rFonts w:ascii="Times New Roman" w:cs="Times New Roman" w:eastAsia="Times New Roman" w:hAnsi="Times New Roman"/>
          <w:sz w:val="18"/>
          <w:szCs w:val="18"/>
          <w:color w:val="auto"/>
        </w:rPr>
        <w:t>. The studies, tests and preclinical and clinical trials conducted by or on behalf of the Company as described in the Prospectus (the “</w:t>
      </w:r>
      <w:r>
        <w:rPr>
          <w:rFonts w:ascii="Times New Roman" w:cs="Times New Roman" w:eastAsia="Times New Roman" w:hAnsi="Times New Roman"/>
          <w:sz w:val="18"/>
          <w:szCs w:val="18"/>
          <w:u w:val="single" w:color="auto"/>
          <w:color w:val="auto"/>
        </w:rPr>
        <w:t>Clinical Studies</w:t>
      </w:r>
      <w:r>
        <w:rPr>
          <w:rFonts w:ascii="Times New Roman" w:cs="Times New Roman" w:eastAsia="Times New Roman" w:hAnsi="Times New Roman"/>
          <w:sz w:val="18"/>
          <w:szCs w:val="18"/>
          <w:color w:val="auto"/>
        </w:rPr>
        <w:t>”), were, and if still pending are, in all material respects, being conducted in accordance with experimental protocols, procedures and controls pursuant to accepted professional and scientific standards and all applicable Health Care Laws and Authorizations; the descriptions of the results of such studies, tests and trials contained in the Registration Statement, the General Disclosure Package and the Prospectus are accurate and complete in all material respects and fairly present the data derived from such studies, tests and trials; except to the extent disclosed in the Registration Statement, the General Disclosure Package and the Prospectus, and the Company has not received any written notices or correspondence from any Governmental Entity requiring the termination or suspension.</w:t>
      </w:r>
    </w:p>
    <w:p>
      <w:pPr>
        <w:spacing w:after="0" w:line="188" w:lineRule="exact"/>
        <w:rPr>
          <w:rFonts w:ascii="Times New Roman" w:cs="Times New Roman" w:eastAsia="Times New Roman" w:hAnsi="Times New Roman"/>
          <w:sz w:val="18"/>
          <w:szCs w:val="18"/>
          <w:color w:val="auto"/>
        </w:rPr>
      </w:pPr>
    </w:p>
    <w:p>
      <w:pPr>
        <w:ind w:left="4" w:right="380" w:firstLine="436"/>
        <w:spacing w:after="0" w:line="272" w:lineRule="auto"/>
        <w:tabs>
          <w:tab w:leader="none" w:pos="789"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IT Systems</w:t>
      </w:r>
      <w:r>
        <w:rPr>
          <w:rFonts w:ascii="Times New Roman" w:cs="Times New Roman" w:eastAsia="Times New Roman" w:hAnsi="Times New Roman"/>
          <w:sz w:val="17"/>
          <w:szCs w:val="17"/>
          <w:color w:val="auto"/>
        </w:rPr>
        <w:t>. (i)(x) To the knowledge of Company, there has been no security breach or other compromise of any of the Company’s information technology and computer systems, networks, hardware, software, data (including the data of their respective customers, employees, suppliers, vendors and any third party data maintained by or on behalf of them), equipment or technology (collectively, “</w:t>
      </w:r>
      <w:r>
        <w:rPr>
          <w:rFonts w:ascii="Times New Roman" w:cs="Times New Roman" w:eastAsia="Times New Roman" w:hAnsi="Times New Roman"/>
          <w:sz w:val="17"/>
          <w:szCs w:val="17"/>
          <w:u w:val="single" w:color="auto"/>
          <w:color w:val="auto"/>
        </w:rPr>
        <w:t>IT Systems and Data</w:t>
      </w:r>
      <w:r>
        <w:rPr>
          <w:rFonts w:ascii="Times New Roman" w:cs="Times New Roman" w:eastAsia="Times New Roman" w:hAnsi="Times New Roman"/>
          <w:sz w:val="17"/>
          <w:szCs w:val="17"/>
          <w:color w:val="auto"/>
        </w:rPr>
        <w:t>”) and</w:t>
      </w:r>
    </w:p>
    <w:p>
      <w:pPr>
        <w:spacing w:after="0" w:line="1" w:lineRule="exact"/>
        <w:rPr>
          <w:rFonts w:ascii="Times New Roman" w:cs="Times New Roman" w:eastAsia="Times New Roman" w:hAnsi="Times New Roman"/>
          <w:sz w:val="17"/>
          <w:szCs w:val="17"/>
          <w:color w:val="auto"/>
        </w:rPr>
      </w:pPr>
    </w:p>
    <w:p>
      <w:pPr>
        <w:ind w:left="4" w:right="100" w:hanging="4"/>
        <w:spacing w:after="0" w:line="270" w:lineRule="auto"/>
        <w:tabs>
          <w:tab w:leader="none" w:pos="259"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not been notified of, and has no knowledge of any event or condition that would reasonably be expected to result in, any security breach or other compromise to their IT Systems and Data, except as would not, in the case of this clause (i), individually or in the aggregate, reasonably be expected to have a Material Adverse Effect; and (ii) the Company is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 the case of this clause (ii), individually or in the aggregate, have a Material Adverse Effect.</w:t>
      </w:r>
    </w:p>
    <w:p>
      <w:pPr>
        <w:spacing w:after="0" w:line="17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Sale and Delivery of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firstLine="436"/>
        <w:spacing w:after="0" w:line="255" w:lineRule="auto"/>
        <w:tabs>
          <w:tab w:leader="none" w:pos="68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set forth herein, the Company agrees to issue and sell exclusively through an Agent (the “</w:t>
      </w:r>
      <w:r>
        <w:rPr>
          <w:rFonts w:ascii="Times New Roman" w:cs="Times New Roman" w:eastAsia="Times New Roman" w:hAnsi="Times New Roman"/>
          <w:sz w:val="18"/>
          <w:szCs w:val="18"/>
          <w:u w:val="single" w:color="auto"/>
          <w:color w:val="auto"/>
        </w:rPr>
        <w:t>Designated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acting as sales agent or directly to an Agent acting as principal from time to time, and the Designated Agent agrees to use its commercially reasonable efforts to sell as sales agent for the Company, the Shares. Nothing contained herein restricts, nor may be deemed to restrict, the Company from undertaking another offering of its securities pursuant to a separate registration under the 1933 Act (or any exemption from such registration), or another offering under the Registration Statement, provided the Company complies with Section 3(o) hereof. Sales of the Shares, if any, through a Designated Agent acting as sales agent or directly to the Designated Agent acting as principal may be made in transactions that are deemed to be “at the market offerings” as defined in Rule 415 under the 1933 Act.</w:t>
      </w:r>
    </w:p>
    <w:p>
      <w:pPr>
        <w:spacing w:after="0" w:line="188" w:lineRule="exact"/>
        <w:rPr>
          <w:rFonts w:ascii="Times New Roman" w:cs="Times New Roman" w:eastAsia="Times New Roman" w:hAnsi="Times New Roman"/>
          <w:sz w:val="18"/>
          <w:szCs w:val="18"/>
          <w:color w:val="auto"/>
        </w:rPr>
      </w:pPr>
    </w:p>
    <w:p>
      <w:pPr>
        <w:ind w:left="4" w:firstLine="436"/>
        <w:spacing w:after="0" w:line="258" w:lineRule="auto"/>
        <w:tabs>
          <w:tab w:leader="none" w:pos="69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to be sold on a daily basis or otherwise as shall be agreed to by the Company and the Designated Agent on that trading day (other than a day on which Nasdaq is scheduled to close prior to its regular weekday closing time, each, a “</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that the Company has satisfied its obligations under Section 6 of this Agreement and that the Company has instructed the Designated Agent to make such sales. For the avoidance of doubt, the foregoing limitation shall not apply to sales solely to employees or security holders of the Company or its Subsidiaries, or to a trustee or other person acquiring such securities for the accounts of such persons in which such Designated Agent is acting for</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4"/>
          </w:cols>
          <w:pgMar w:left="436" w:top="270" w:right="439" w:bottom="1440" w:gutter="0" w:footer="0" w:header="0"/>
        </w:sectPr>
      </w:pPr>
    </w:p>
    <w:bookmarkStart w:id="16" w:name="page17"/>
    <w:bookmarkEnd w:id="16"/>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in a capacity other than as Designated Agent under this Agreement. On any Trading Day, the Company may instruct the Designated Agent by telephone (confirmed promptly by telecopy or email by any of the individuals from the Company set forth on Schedule 1 and shall be addressed to each of the individuals from the Designated Agent set forth on Schedule 1, which confirmation will be promptly acknowledged by the Designated Agent) as to the maximum number of Shares to be sold by the Designated Agent on such day (in any event not in excess of the number available for issuance under the Prospectus and the currently effective Registration Statement) and the minimum price per Share at which such Shares may be sold. Subject to the terms and conditions hereof, the Designated Agent shall use its commercially reasonable efforts to sell as sales agent all of the Shares so designated by the Company. The Company and the Designated Agent each acknowledge and agree that (A) there can be no assurance that the Designated Agent will be successful in selling the Shares, (B) the Designated Agent will incur no liability or obligation to the Company or any other person or entity if they do not sell Shares for any reason other than a failure by the Designated Agent to use its commercially reasonable efforts consistent with its normal trading and sales practices and applicable law and regulations to sell such Shares as required by this Agreement, and (C) the Designated Agent shall be under no obligation to purchase Shares on a principal basis except as otherwise specifically agreed by each of the Designated Agent and the Company pursuant to a Terms Agreement. In the event of a conflict between the terms of this Agreement and the terms of a Terms Agreement, the terms of such Terms Agreement will control.</w:t>
      </w:r>
    </w:p>
    <w:p>
      <w:pPr>
        <w:spacing w:after="0" w:line="187" w:lineRule="exact"/>
        <w:rPr>
          <w:sz w:val="20"/>
          <w:szCs w:val="20"/>
          <w:color w:val="auto"/>
        </w:rPr>
      </w:pPr>
    </w:p>
    <w:p>
      <w:pPr>
        <w:ind w:right="20" w:firstLine="436"/>
        <w:spacing w:after="0" w:line="253" w:lineRule="auto"/>
        <w:tabs>
          <w:tab w:leader="none" w:pos="68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Company shall not authorize the issuance and sale of, and the Designated Agent as sales agent shall not be obligated to use its commercially reasonable efforts to sell, any Shares (i) at a price lower than the minimum price therefor authorized from time to time, or (ii) in a number in excess of the number of Shares authorized from time to time to be issued and sold under this Agreement, in each case, by the Company’s board of directors, or a duly authorized committee thereof, and notified to the Designated Agent in writing. In addition, the Company may, upon notice to the Designated Agent, suspend the offering of the Shares or the Designated Agent may, upon notice to the Company, suspend the offering of the Shares with respect to which the Designated Agent is acting as sales agent for any reason and at any time; provided, however, that such suspension or termination shall not affect or impair the parties’ respective obligations with respect to the Shares sold hereunder prior to the giving of such notice. Any notice given pursuant to the preceding sentence may be given by telephone by any of the individuals from the Company set forth on Schedule 1 (confirmed promptly by telecopy or email and shall be addressed to each of the individuals from the Agents set forth on Schedule 1, which confirmation will be promptly acknowledged).</w:t>
      </w:r>
    </w:p>
    <w:p>
      <w:pPr>
        <w:spacing w:after="0" w:line="194"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sales price of any Shares sold pursuant to this Agreement by the Designated Agent acting as sales agent of the Company shall be the market price prevailing at the time of sale for shares of the Company’s Common Stock sold by the Designated Agent on Nasdaq or otherwise, at prices relating to prevailing market prices or at negotiated prices. The compensation payable to the Designated Agent for sales of Shares with respect to which the Designated Agent acts as sales agent shall be up to 3.0% of the gross sales price of the Shares for amounts of Shares sold pursuant to this Agreement. The Company may sell Shares to an Agent, acting as principal, at a price agreed upon with such Agent at the relevant Applicable Time and pursuant to a separate Terms Agreement. The remaining proceeds, after further deduction for any transaction fees imposed by any governmental, regulatory or self-regulatory organization in respect of such sales, shall constitute the net proceeds to the Company for such Shares (the “</w:t>
      </w:r>
      <w:r>
        <w:rPr>
          <w:rFonts w:ascii="Times New Roman" w:cs="Times New Roman" w:eastAsia="Times New Roman" w:hAnsi="Times New Roman"/>
          <w:sz w:val="18"/>
          <w:szCs w:val="18"/>
          <w:u w:val="single" w:color="auto"/>
          <w:color w:val="auto"/>
        </w:rPr>
        <w:t>Net Proceeds</w:t>
      </w:r>
      <w:r>
        <w:rPr>
          <w:rFonts w:ascii="Times New Roman" w:cs="Times New Roman" w:eastAsia="Times New Roman" w:hAnsi="Times New Roman"/>
          <w:sz w:val="18"/>
          <w:szCs w:val="18"/>
          <w:color w:val="auto"/>
        </w:rPr>
        <w:t>”). Such Agent shall notify the Company as promptly as practicable if any deduction referenced in the preceding sentence will be required.</w:t>
      </w:r>
    </w:p>
    <w:p>
      <w:pPr>
        <w:spacing w:after="0" w:line="191" w:lineRule="exact"/>
        <w:rPr>
          <w:rFonts w:ascii="Times New Roman" w:cs="Times New Roman" w:eastAsia="Times New Roman" w:hAnsi="Times New Roman"/>
          <w:sz w:val="18"/>
          <w:szCs w:val="18"/>
          <w:color w:val="auto"/>
        </w:rPr>
      </w:pPr>
    </w:p>
    <w:p>
      <w:pPr>
        <w:jc w:val="both"/>
        <w:ind w:right="40" w:firstLine="436"/>
        <w:spacing w:after="0" w:line="289" w:lineRule="auto"/>
        <w:tabs>
          <w:tab w:leader="none" w:pos="68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acting as a sales agent hereunder, the Designated Agent shall provide written confirmation to the Company following the close of trading on Nasdaq, each day in which Shares are sold under this Agreement setting forth the number of Shares sold on such day, the aggregate gross sales proceeds of the Shares, the Net Proceeds to the Company and the compensation payable by the Company to such Designated Agent with respect to such sales.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17" w:name="page18"/>
    <w:bookmarkEnd w:id="17"/>
    <w:p>
      <w:pPr>
        <w:ind w:right="20" w:firstLine="436"/>
        <w:spacing w:after="0" w:line="255" w:lineRule="auto"/>
        <w:tabs>
          <w:tab w:leader="none" w:pos="66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Under no circumstances shall the aggregate offering price or number, as the case may be, of Shares sold pursuant to this Agreement and any Terms Agreement exceed the aggregate offering price or number, as the case may be, of Shares of Common Stock (i) set forth in the preamble paragraph of this Agreement, (ii) available for issuance under the Prospectus and the then currently effective Registration Statement or (iii) authorized from time to time to be issued and sold under this Agreement or any Terms Agreement by the Company’s board of directors, or a duly authorized committee thereof, and notified to the Designated Agent in writing. In addition, under no circumstances shall any Shares with respect to which the Designated Agent acts as sales agent be sold at a price lower than the minimum price therefor authorized from time to time by the Company’s board of directors, or a duly authorized committee thereof, and notified to the Designated Agent in writing.</w:t>
      </w:r>
    </w:p>
    <w:p>
      <w:pPr>
        <w:spacing w:after="0" w:line="188"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for sales of Shares pursuant to this Section 2 will occur on the first business day that is also a Trading Day following the trade date on which such sales are made, unless another date shall be agreed to by the Company and the Designated Agent (each such day, a “</w:t>
      </w:r>
      <w:r>
        <w:rPr>
          <w:rFonts w:ascii="Times New Roman" w:cs="Times New Roman" w:eastAsia="Times New Roman" w:hAnsi="Times New Roman"/>
          <w:sz w:val="18"/>
          <w:szCs w:val="18"/>
          <w:u w:val="single" w:color="auto"/>
          <w:color w:val="auto"/>
        </w:rPr>
        <w:t>Settlement Date</w:t>
      </w:r>
      <w:r>
        <w:rPr>
          <w:rFonts w:ascii="Times New Roman" w:cs="Times New Roman" w:eastAsia="Times New Roman" w:hAnsi="Times New Roman"/>
          <w:sz w:val="18"/>
          <w:szCs w:val="18"/>
          <w:color w:val="auto"/>
        </w:rPr>
        <w:t>”). On each Settlement Date, the Shares sold through the Designated Agent for settlement on such date shall be delivered by the Company to the Designated Agent against payment of the Net Proceeds from the sale of such Shares. Settlement for all Shares shall be effected by book-entry delivery of Shares to the Designated Agent’s account at The Depository Trust Company against payments by the Designated Agent of the Net Proceeds from the sale of such Shares in same day funds delivered to an account designated by the Company. If the Company shall default on its obligation to deliver Shares on any Settlement Date, the Company shall (i) indemnify and hold the Designated Agent harmless against any loss, claim or damage arising from or as a result of such default by the Company and (ii) pay the Designated Agent any commission to which it would otherwise be entitled absent such default.</w:t>
      </w:r>
    </w:p>
    <w:p>
      <w:pPr>
        <w:spacing w:after="0" w:line="188" w:lineRule="exact"/>
        <w:rPr>
          <w:rFonts w:ascii="Times New Roman" w:cs="Times New Roman" w:eastAsia="Times New Roman" w:hAnsi="Times New Roman"/>
          <w:sz w:val="18"/>
          <w:szCs w:val="18"/>
          <w:color w:val="auto"/>
        </w:rPr>
      </w:pPr>
    </w:p>
    <w:p>
      <w:pPr>
        <w:ind w:right="80" w:firstLine="436"/>
        <w:spacing w:after="0" w:line="266" w:lineRule="auto"/>
        <w:tabs>
          <w:tab w:leader="none" w:pos="6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the Company and the Designated Agent agree that no sales of Shares shall take place, and the Company shall not request the sale of any Shares that would be sold, and the Designated Agent shall not be obligated to sell, during any period in which the Company is, or could be deemed to be, in possession of material non-public information.</w:t>
      </w:r>
    </w:p>
    <w:p>
      <w:pPr>
        <w:spacing w:after="0" w:line="175" w:lineRule="exact"/>
        <w:rPr>
          <w:rFonts w:ascii="Times New Roman" w:cs="Times New Roman" w:eastAsia="Times New Roman" w:hAnsi="Times New Roman"/>
          <w:sz w:val="18"/>
          <w:szCs w:val="18"/>
          <w:color w:val="auto"/>
        </w:rPr>
      </w:pPr>
    </w:p>
    <w:p>
      <w:pPr>
        <w:ind w:right="200" w:firstLine="436"/>
        <w:spacing w:after="0" w:line="258"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Applicable Time, Settlement Date, Registration Statement Amendment Date and each Company Periodic Report Date, the Company shall be deemed to have affirmed each representation and warranty contained in this Agreement. Any obligation of the Designated Agent to use its commercially reasonable efforts to sell the Shares on behalf of the Company as sales agent shall be subject to the continuing accuracy of the representations and warranties of the Company herein, to the performance by the Company of its obligations hereunder and to the continuing satisfaction of the additional conditions specified in Section 6 of this Agreement.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Covenants</w:t>
      </w:r>
      <w:r>
        <w:rPr>
          <w:rFonts w:ascii="Times New Roman" w:cs="Times New Roman" w:eastAsia="Times New Roman" w:hAnsi="Times New Roman"/>
          <w:sz w:val="18"/>
          <w:szCs w:val="18"/>
          <w:color w:val="auto"/>
        </w:rPr>
        <w:t>. The Company agrees with the Agents:</w:t>
      </w:r>
    </w:p>
    <w:p>
      <w:pPr>
        <w:spacing w:after="0" w:line="117" w:lineRule="exact"/>
        <w:rPr>
          <w:sz w:val="20"/>
          <w:szCs w:val="20"/>
          <w:color w:val="auto"/>
        </w:rPr>
      </w:pPr>
    </w:p>
    <w:p>
      <w:pPr>
        <w:ind w:right="60" w:firstLine="436"/>
        <w:spacing w:after="0" w:line="255" w:lineRule="auto"/>
        <w:tabs>
          <w:tab w:leader="none" w:pos="68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when the delivery of a prospectus is required in connection with the offering or sale of Shares pursuant to this Agreement (whether physically or through compliance with Rule 153 or 172, or in lieu thereof, a notice referred to in Rule 173(a) under the 1933 Act), (i) to make no further amendment or any supplement to the Registration Statement or the Prospectus prior to any Settlement Date which shall be reasonably disapproved by the Agents promptly after reasonable notice thereof and to advise the Agents, promptly after it receives notice thereof, of the time when any amendment to the Registration Statement has been filed or becomes effective or any amendment or supplement to the Prospectus has been filed and to furnish the Agents with copies thereof, (ii) to file promptly all other material required to be filed by the Company with the Commission pursuant to Rule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18" w:name="page19"/>
    <w:bookmarkEnd w:id="18"/>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433(d) under the 1933 Act, (iii) to file promptly all reports and any definitive proxy or information statements required to be filed by the Company with the Commission pursuant to Section 13(a), 13(c), 14 or 15(d) of the 1934 Act, (iv) to advise the Agents, promptly after it receives notice thereof, of the issuance by the Commission of any stop order or of any order preventing or suspending the use of the Prospectus or other prospectus in respect of the Shares, of the suspension of the qualification of the Shares for offering or sale in any jurisdiction, of the initiation or threatening of any proceeding for any such purpose, or of any request by the Commission for the amending or supplementing of the form of the Registration Statement or the Prospectus or for additional information, and (v) in the event of the issuance of any such stop order or of any such order preventing or suspending the use of the Prospectus in respect of the Shares or suspending any such qualification, to promptly use its commercially reasonable efforts to obtain the withdrawal of such order; and in the event of any such issuance of a notice of objection, promptly to take such reasonable steps as may be necessary to permit offers and sales of the Shares by the Agents, which may include, without limitation, amending the Registration Statement or filing a new registration statement, at the Company’s expense (references herein to the Registration Statement shall include any such amendment or new registration statement). Notwithstanding the foregoing, the Company shall not be required to furnish any document to the extent such document is available on the Commission’s Electronic Data-Gathering, Analysis, and Retrieval System (“EDGAR”).</w:t>
      </w:r>
    </w:p>
    <w:p>
      <w:pPr>
        <w:spacing w:after="0" w:line="190" w:lineRule="exact"/>
        <w:rPr>
          <w:sz w:val="20"/>
          <w:szCs w:val="20"/>
          <w:color w:val="auto"/>
        </w:rPr>
      </w:pPr>
    </w:p>
    <w:p>
      <w:pPr>
        <w:ind w:firstLine="436"/>
        <w:spacing w:after="0" w:line="256" w:lineRule="auto"/>
        <w:tabs>
          <w:tab w:leader="none" w:pos="6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from time to time to take such action as the Agents may reasonably request to qualify the Shares for offering and sale under the securities laws of such jurisdictions as the Agents may request and to comply with such laws so as to permit the continuance of sales and dealings therein in such jurisdictions for as long as may be necessary to complete the sale of the Shares, provided that in connection therewith the Company shall not be required to qualify as a foreign corporation or to file a general consent to service of process in any jurisdiction; and to promptly advise the Agents of the receipt by the Company of any notification with respect to the suspension of the qualification of the Shares for offer or sale in any jurisdiction or the initiation or threatening of any proceeding for such purpose.</w:t>
      </w:r>
    </w:p>
    <w:p>
      <w:pPr>
        <w:spacing w:after="0" w:line="187" w:lineRule="exact"/>
        <w:rPr>
          <w:rFonts w:ascii="Times New Roman" w:cs="Times New Roman" w:eastAsia="Times New Roman" w:hAnsi="Times New Roman"/>
          <w:sz w:val="18"/>
          <w:szCs w:val="18"/>
          <w:color w:val="auto"/>
        </w:rPr>
      </w:pPr>
    </w:p>
    <w:p>
      <w:pPr>
        <w:ind w:right="20" w:firstLine="436"/>
        <w:spacing w:after="0" w:line="252" w:lineRule="auto"/>
        <w:tabs>
          <w:tab w:leader="none" w:pos="68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when the delivery of a prospectus is required (whether physically or through compliance with Rules 153 or 172, or in lieu thereof, a notice referred to in Rule 173(a) under the 1933 Act) in connection with the offering or sale of Shares pursuant to this Agreement, the Company will make available to the Agents, as soon as practicable after the execution of this Agreement, and thereafter from time to time furnish to the Agents, copies of the most recent Prospectus in such quantities and at such locations as the Agents may reasonably request for the purposes contemplated by the 1933 Act. During any period when the delivery of a prospectus is required (whether physically or through compliance with Rules 153 or 172, or in lieu thereof, a notice referred to in Rule 173(a) under the 1933 Act) in connection with the offering or sale of Shares pursuant to this Agreement,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shall be necessary during such same period to amend or supplement the Prospectus or to file under the 1934 Act any document incorporated by reference in the Prospectus in order to comply with the 1933 Act or the 1934 Act, to notify the Agents and to file such document and to prepare and furnish without charge to the Agents as many written and electronic copies as the Agents may from time to time reasonably request of an amended Prospectus or a supplement to the Prospectus which will correct such statement or omission or effect such compliance. Notwithstanding the foregoing, the Company shall not be required to furnish any document other than the Prospectus to the extent such document is available on EDGAR.</w:t>
      </w:r>
    </w:p>
    <w:p>
      <w:pPr>
        <w:spacing w:after="0" w:line="197" w:lineRule="exact"/>
        <w:rPr>
          <w:rFonts w:ascii="Times New Roman" w:cs="Times New Roman" w:eastAsia="Times New Roman" w:hAnsi="Times New Roman"/>
          <w:sz w:val="18"/>
          <w:szCs w:val="18"/>
          <w:color w:val="auto"/>
        </w:rPr>
      </w:pPr>
    </w:p>
    <w:p>
      <w:pPr>
        <w:ind w:right="440" w:firstLine="436"/>
        <w:spacing w:after="0" w:line="282" w:lineRule="auto"/>
        <w:tabs>
          <w:tab w:leader="none" w:pos="6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the required Commission filing fees relating to the Shares within the time required by Rule 456(b)(1) under the 1933 Act without regard to the proviso therein and otherwise in accordance with Rules 456(b) and 457(r) under the 1933 Act.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70" w:right="479" w:bottom="1440" w:gutter="0" w:footer="0" w:header="0"/>
        </w:sectPr>
      </w:pPr>
    </w:p>
    <w:bookmarkStart w:id="19" w:name="page20"/>
    <w:bookmarkEnd w:id="19"/>
    <w:p>
      <w:pPr>
        <w:ind w:left="-20" w:right="600" w:firstLine="436"/>
        <w:spacing w:after="0" w:line="282" w:lineRule="auto"/>
        <w:tabs>
          <w:tab w:leader="none" w:pos="66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use the Net Proceeds received by it from the sale of the Shares pursuant to this Agreement and any Terms Agreement in the manner specified in the General Disclosure Package.</w:t>
      </w:r>
    </w:p>
    <w:p>
      <w:pPr>
        <w:spacing w:after="0" w:line="161" w:lineRule="exact"/>
        <w:rPr>
          <w:rFonts w:ascii="Times New Roman" w:cs="Times New Roman" w:eastAsia="Times New Roman" w:hAnsi="Times New Roman"/>
          <w:sz w:val="18"/>
          <w:szCs w:val="18"/>
          <w:color w:val="auto"/>
        </w:rPr>
      </w:pPr>
    </w:p>
    <w:p>
      <w:pPr>
        <w:ind w:left="-20" w:right="600" w:firstLine="436"/>
        <w:spacing w:after="0" w:line="266" w:lineRule="auto"/>
        <w:tabs>
          <w:tab w:leader="none" w:pos="64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offering and sale of the Shares, the Company will file with the Nasdaq all documents and notices, and make all certifications, required by the Nasdaq of companies that have securities that are listed or quoted on the Nasdaq and will maintain such listings or quotations.</w:t>
      </w:r>
    </w:p>
    <w:p>
      <w:pPr>
        <w:spacing w:after="0" w:line="175" w:lineRule="exact"/>
        <w:rPr>
          <w:rFonts w:ascii="Times New Roman" w:cs="Times New Roman" w:eastAsia="Times New Roman" w:hAnsi="Times New Roman"/>
          <w:sz w:val="18"/>
          <w:szCs w:val="18"/>
          <w:color w:val="auto"/>
        </w:rPr>
      </w:pPr>
    </w:p>
    <w:p>
      <w:pPr>
        <w:ind w:left="-20" w:right="120" w:firstLine="436"/>
        <w:spacing w:after="0" w:line="266" w:lineRule="auto"/>
        <w:tabs>
          <w:tab w:leader="none" w:pos="6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not take, directly or indirectly, and to use commercially reasonable efforts to cause its affiliates to refrain from taking, any action designed to cause or result in, or that has constituted or might reasonably be expected to constitute, under the 1934 Act or otherwise, the stabilization or manipulation of the price of any securities of the Company to facilitate the sale or resale of the Shares.</w:t>
      </w:r>
    </w:p>
    <w:p>
      <w:pPr>
        <w:spacing w:after="0" w:line="175" w:lineRule="exact"/>
        <w:rPr>
          <w:rFonts w:ascii="Times New Roman" w:cs="Times New Roman" w:eastAsia="Times New Roman" w:hAnsi="Times New Roman"/>
          <w:sz w:val="18"/>
          <w:szCs w:val="18"/>
          <w:color w:val="auto"/>
        </w:rPr>
      </w:pPr>
    </w:p>
    <w:p>
      <w:pPr>
        <w:ind w:left="-20" w:right="40" w:firstLine="436"/>
        <w:spacing w:after="0" w:line="254" w:lineRule="auto"/>
        <w:tabs>
          <w:tab w:leader="none" w:pos="6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Applicable Time, each Settlement Date, each Registration Statement Amendment Date (as defined below), each Company Periodic Report Date (as defined below) and each date on which Shares are delivered to an Agent pursuant to a Terms Agreement, the Company shall be deemed to have affirmed each representation, warranty, covenant and other agreement contained in this Agreement or any Terms Agreement. In each Annual Report on Form 10-K or Quarterly Report on Form 10-Q filed by the Company in respect of any quarter in which sales of Shares were made by or through the Agents under this Agreement or any Terms Agreement (each date on which any such document is filed, and any date on which an amendment to any such document is filed, a “</w:t>
      </w:r>
      <w:r>
        <w:rPr>
          <w:rFonts w:ascii="Times New Roman" w:cs="Times New Roman" w:eastAsia="Times New Roman" w:hAnsi="Times New Roman"/>
          <w:sz w:val="18"/>
          <w:szCs w:val="18"/>
          <w:u w:val="single" w:color="auto"/>
          <w:color w:val="auto"/>
        </w:rPr>
        <w:t>Company Periodic Report Date</w:t>
      </w:r>
      <w:r>
        <w:rPr>
          <w:rFonts w:ascii="Times New Roman" w:cs="Times New Roman" w:eastAsia="Times New Roman" w:hAnsi="Times New Roman"/>
          <w:sz w:val="18"/>
          <w:szCs w:val="18"/>
          <w:color w:val="auto"/>
        </w:rPr>
        <w:t>”), the Company shall set forth with regard to such quarter the number of Shares sold through the Agents under this Agreement or any Terms Agreement and the Net Proceeds received by the Company with respect to sales of Shares pursuant to this Agreement or any Terms Agreement.</w:t>
      </w:r>
    </w:p>
    <w:p>
      <w:pPr>
        <w:spacing w:after="0" w:line="191" w:lineRule="exact"/>
        <w:rPr>
          <w:rFonts w:ascii="Times New Roman" w:cs="Times New Roman" w:eastAsia="Times New Roman" w:hAnsi="Times New Roman"/>
          <w:sz w:val="18"/>
          <w:szCs w:val="18"/>
          <w:color w:val="auto"/>
        </w:rPr>
      </w:pPr>
    </w:p>
    <w:p>
      <w:pPr>
        <w:ind w:left="-20" w:firstLine="436"/>
        <w:spacing w:after="0" w:line="267" w:lineRule="auto"/>
        <w:tabs>
          <w:tab w:leader="none" w:pos="63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commencement of the offering of Shares under this Agreement and promptly after each (i) date the Registration Statement or the Prospectus shall be amended or supplemented (other than (1) by an amendment or supplement providing solely for the determination of the terms of the Shares, (2) in connection with the filing of a prospectus supplement that contains solely the information set forth in Section 3(h), (3) in connection with the filing of any current reports on Form 8-K (other than any current reports on Form 8-K which contain financial statements, supporting schedules or other financial data, including any current report on Form 8-K under Item 2.02 of such form that is considered “filed” under the 1934 Act) or (4) by a prospectus supplement relating to the offering of other securities (including, without limitation, other shares of Common Stock)) (each such date, a “</w:t>
      </w:r>
      <w:r>
        <w:rPr>
          <w:rFonts w:ascii="Times New Roman" w:cs="Times New Roman" w:eastAsia="Times New Roman" w:hAnsi="Times New Roman"/>
          <w:sz w:val="17"/>
          <w:szCs w:val="17"/>
          <w:u w:val="single" w:color="auto"/>
          <w:color w:val="auto"/>
        </w:rPr>
        <w:t>Registration Statement Amendment Date</w:t>
      </w:r>
      <w:r>
        <w:rPr>
          <w:rFonts w:ascii="Times New Roman" w:cs="Times New Roman" w:eastAsia="Times New Roman" w:hAnsi="Times New Roman"/>
          <w:sz w:val="17"/>
          <w:szCs w:val="17"/>
          <w:color w:val="auto"/>
        </w:rPr>
        <w:t>”) and (ii) Company Periodic Report Date, the Company will furnish or cause to be furnished forthwith to the Agents a certificate dated the date of effectiveness of such amendment or the date of filing with the Commission of such supplement or other document, as the case may be, in a form reasonably satisfactory to the Agents to the effect that the statements contained in the certificate referred to in Section 6(e) of this Agreement which were last furnished to the Agents are true and correct at the time of such amendment, supplement or filing, as the case may be, as though made at and as of such time (except that such statements shall be deemed to relate to the Registration Statement, the General Disclosure Package and the Prospectus as amended and supplemented to such time) or, in lieu of such certificate, a certificate of the same tenor as the certificate referred to in said Section 6(e), but modified as necessary to relate to the Registration Statement and the Prospectus as amended and supplemented, or to the document incorporated by reference into the Prospectus, to the time of delivery of such certificate. As used in this paragraph, to the extent there shall be an Applicable Time on or following the date referred to in clause (i) or (ii) above, promptly shall be deemed to be on or prior to the next succeeding Applicable Time. Notwithstanding the foregoing, the Company shall not be required to deliver any such certificate at any time there is no instruction to sell Shares delivered pursuant to Section 2(b) then in effect; provided however, that such a certificate shall then be required to be delivered to the Agents prior to any further sales of Shares under this Agreement covering the period which would most recently have been required but for this sentence.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0"/>
          </w:cols>
          <w:pgMar w:left="460" w:top="270" w:right="479" w:bottom="1440" w:gutter="0" w:footer="0" w:header="0"/>
        </w:sectPr>
      </w:pPr>
    </w:p>
    <w:bookmarkStart w:id="20" w:name="page21"/>
    <w:bookmarkEnd w:id="20"/>
    <w:p>
      <w:pPr>
        <w:ind w:left="664" w:hanging="224"/>
        <w:spacing w:after="0"/>
        <w:tabs>
          <w:tab w:leader="none" w:pos="66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commencement of the offering of Shares under this Agreement and promptly after each (i) Registration Statement Amendment Date or</w:t>
      </w:r>
    </w:p>
    <w:p>
      <w:pPr>
        <w:spacing w:after="0" w:line="27" w:lineRule="exact"/>
        <w:rPr>
          <w:rFonts w:ascii="Times New Roman" w:cs="Times New Roman" w:eastAsia="Times New Roman" w:hAnsi="Times New Roman"/>
          <w:sz w:val="18"/>
          <w:szCs w:val="18"/>
          <w:color w:val="auto"/>
        </w:rPr>
      </w:pPr>
    </w:p>
    <w:p>
      <w:pPr>
        <w:ind w:left="4" w:right="40" w:hanging="4"/>
        <w:spacing w:after="0" w:line="251" w:lineRule="auto"/>
        <w:tabs>
          <w:tab w:leader="none" w:pos="26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Periodic Report Date, the Company will furnish or cause to be furnished to the Agents and to counsel to the Agents the written opinion and letter of each Company Counsel or other counsel reasonably satisfactory to the Agents, dated the date of effectiveness of such amendment or the date of filing with the Commission of such supplement or other document, as the case may be, in a form and substance reasonably satisfactory to the Agents and their counsel, of the same tenor as the opinions and letters referred to in Section 6(c) of this Agreement, but modified as necessary to relate to the Registration Statement, the General Disclosure Package and the Prospectus as amended and supplemented, or to the document incorporated by reference into the Prospectus, to the time of delivery of such opinion and letter or, in lieu of such opinion and letter, counsel last furnishing such letter to the Agents shall furnish such Agents with a letter substantially to the effect that the Agents may rely on such last opinion and letter to the same extent as though each were dated the date of such letter authorizing reliance (except that statements in such last letter shall be deemed to relate to the Registration Statement and the Prospectus as amended and supplemented to the time of delivery of such letter authorizing reliance). As used in this paragraph, to the extent there shall be an Applicable Time on or following the date referred to in clause (i) or (ii) above, promptly shall be deemed to be on or prior to the next succeeding Applicable Time. Notwithstanding the foregoing, and (y) the Company shall not be required to furnish or cause to be furnished any such opinion or statement at any time there are no instructions to sell Shares delivered pursuant to Section 2(b) or a Terms Agreement then in effect; provided, however, that such an opinion or letter shall then be required to be furnished to the Agents prior to any further sales of Shares under this Agreement covering the period which would most recently have been required but for this sentence.</w:t>
      </w:r>
    </w:p>
    <w:p>
      <w:pPr>
        <w:spacing w:after="0" w:line="191"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commencement of the offering of Shares under this Agreement and promptly after each (i) Registration Statement Amendment Date and</w:t>
      </w:r>
    </w:p>
    <w:p>
      <w:pPr>
        <w:spacing w:after="0" w:line="27" w:lineRule="exact"/>
        <w:rPr>
          <w:rFonts w:ascii="Times New Roman" w:cs="Times New Roman" w:eastAsia="Times New Roman" w:hAnsi="Times New Roman"/>
          <w:sz w:val="18"/>
          <w:szCs w:val="18"/>
          <w:color w:val="auto"/>
        </w:rPr>
      </w:pPr>
    </w:p>
    <w:p>
      <w:pPr>
        <w:ind w:left="4" w:hanging="4"/>
        <w:spacing w:after="0" w:line="251" w:lineRule="auto"/>
        <w:tabs>
          <w:tab w:leader="none" w:pos="26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Periodic Report Date, the Company will cause Deloitte &amp; Touche LLP, or other independent accountants reasonably satisfactory to the Agents, to furnish to the Agents a letter, dated the date of effectiveness of such amendment or the date of filing of such supplement or other document with the Commission, as the case may be, in form reasonably satisfactory to the Agents and their counsel, of the same tenor as the letter referred to in Section 6(d) hereof, but modified as necessary to relate to the Registration Statement, the General Disclosure Package and the Prospectus, as amended and supplemented, or to the document incorporated by reference into the Prospectus, to the date of such letter. As used in this paragraph, to the extent there shall be an Applicable Time on or following the date referred to in clause (i) or (ii) above, promptly shall be deemed to be on or prior to the next succeeding Applicable Time. Notwithstanding the foregoing, the Company shall not be required to furnish or cause to be furnished any such letter at any time there are no instructions to sell shares delivered pursuant to Section 2(b) or a Terms Agreement then in effect; provided, however, that such a letter shall then be required to be furnished to the Agents prior to any further sales of Shares under this Agreement covering the period which would most recently have been required but for this sentence.</w:t>
      </w:r>
    </w:p>
    <w:p>
      <w:pPr>
        <w:spacing w:after="0" w:line="192" w:lineRule="exact"/>
        <w:rPr>
          <w:rFonts w:ascii="Times New Roman" w:cs="Times New Roman" w:eastAsia="Times New Roman" w:hAnsi="Times New Roman"/>
          <w:sz w:val="18"/>
          <w:szCs w:val="18"/>
          <w:color w:val="auto"/>
        </w:rPr>
      </w:pPr>
    </w:p>
    <w:p>
      <w:pPr>
        <w:ind w:left="4" w:right="20" w:firstLine="436"/>
        <w:spacing w:after="0" w:line="282" w:lineRule="auto"/>
        <w:tabs>
          <w:tab w:leader="none" w:pos="65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consents to each Agent trading in the Company’s Common Stock for such Agent’s own account and for the account of its clients at the same time as sales of Shares occur pursuant to this Agreement or any Terms Agreement.</w:t>
      </w:r>
    </w:p>
    <w:p>
      <w:pPr>
        <w:spacing w:after="0" w:line="161" w:lineRule="exact"/>
        <w:rPr>
          <w:rFonts w:ascii="Times New Roman" w:cs="Times New Roman" w:eastAsia="Times New Roman" w:hAnsi="Times New Roman"/>
          <w:sz w:val="18"/>
          <w:szCs w:val="18"/>
          <w:color w:val="auto"/>
        </w:rPr>
      </w:pPr>
    </w:p>
    <w:p>
      <w:pPr>
        <w:ind w:left="4" w:right="260" w:firstLine="436"/>
        <w:spacing w:after="0" w:line="261" w:lineRule="auto"/>
        <w:tabs>
          <w:tab w:leader="none" w:pos="74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elects to rely upon Rule 462(b), the Company shall file a Rule 462(b) Registration Statement with the Commission in compliance with Rule 462(b) by 10:00 p.m., Washington, D.C. time, on the date of this Agreement, and the Company shall at the time of filing either pay the Commission the filing fee for the Rule 462(b) Registration Statement or give irrevocable instructions for the payment of such fee pursuant to Rule 111(b) under the 1933 Act.</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4"/>
          </w:cols>
          <w:pgMar w:left="436" w:top="270" w:right="459" w:bottom="1440" w:gutter="0" w:footer="0" w:header="0"/>
        </w:sectPr>
      </w:pPr>
    </w:p>
    <w:bookmarkStart w:id="21" w:name="page22"/>
    <w:bookmarkEnd w:id="21"/>
    <w:p>
      <w:pPr>
        <w:jc w:val="both"/>
        <w:ind w:left="-20" w:right="140" w:firstLine="436"/>
        <w:spacing w:after="0" w:line="261" w:lineRule="auto"/>
        <w:tabs>
          <w:tab w:leader="none" w:pos="6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will cooperate timely with any reasonable due diligence review conducted by the Agents or their counsel from time to time in connection with the transactions contemplated hereby or in any Terms Agreement, including, without limitation, and upon reasonable notice providing information and making available documents and appropriate corporate officers, during regular business hours and at the Company’s principal offices, as the Agents may reasonably request.</w:t>
      </w:r>
    </w:p>
    <w:p>
      <w:pPr>
        <w:spacing w:after="0" w:line="179" w:lineRule="exact"/>
        <w:rPr>
          <w:rFonts w:ascii="Times New Roman" w:cs="Times New Roman" w:eastAsia="Times New Roman" w:hAnsi="Times New Roman"/>
          <w:sz w:val="18"/>
          <w:szCs w:val="18"/>
          <w:color w:val="auto"/>
        </w:rPr>
      </w:pPr>
    </w:p>
    <w:p>
      <w:pPr>
        <w:ind w:left="-20" w:firstLine="436"/>
        <w:spacing w:after="0" w:line="251" w:lineRule="auto"/>
        <w:tabs>
          <w:tab w:leader="none" w:pos="6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each period commencing on the date on which the Company has given an instruction pursuant to Section 2(b) and ending on the close of business of the Settlement Date of the last Shares sold pursuant to such instruction, the Company will not, without (i) giving the Agents at least three business days’ prior written notice specifying the nature of the proposed sale and the date of such proposed sale and (ii) the Agents suspending activity under this program for such period of time as requested by the Company or as deemed appropriate by the Agents in light of the proposed sale, (A) offer, pledge, announce the intention to sell, sell, contract to sell, sell any option or contract to purchase, purchase any option or contract to sell, grant any option, right or warrant for the sale of, lend or otherwise transfer or dispose of, directly or indirectly, any shares of Common Stock or securities convertible into or exchangeable or exercisable for or repayable with Common Stock, or file any registration statement under the 1933 Act with respect to any of the foregoing (other than a shelf registration statement under Rule 415 under the 1933 Act, a registration statement on Form S-8 or post-effective amendment to the Registration Statement) or (B) enter into any swap or other agreement or any transaction that transfers in whole or in part, directly or indirectly, any of the economic consequence of ownership of the Common Stock, or any securities convertible into or exchangeable or exercisable for or repayable with Common Stock, whether any such swap or transaction described in clause (A) or (B) above is to be settled by delivery of Common Stock or such other securities, in cash or otherwise. The foregoing sentence shall not apply to (u) Common Stock or securities convertible into or exchangeable for shares of Common Stock as consideration for mergers, acquisitions, other business combinations or strategic alliances occurring after the date of this Agreement which are not issued for capital raising purposes, (v) Common Stock, options or other rights to purchase Common Stock or Common Stock issuable upon the exercise of options or upon the lapse of forfeiture restrictions on awards made pursuant to any employee or director stock incentive or benefits plan, stock ownership plan (including shares of Common Stock withheld by the Company for the purpose of paying on behalf of the holder thereof the exercise price of stock options or for paying taxes due as a result of such exercise or lapse of forfeiture restrictions) or dividend reinvestment plan (but not Common Stock subject to a waiver to exceed plan limits in its dividend reinvestment plan) of the Company whether now in effect or hereafter implemented, (w) any securities issuable upon the exercise or conversion of warrants, options, convertible securities or other rights either in existence prior to the date of this Agreement or issued thereafter in compliance with this Section 3(o), (x) shares of Common Stock related to the filing by the Company of any registration statement on Form S-8 or a successor form thereto relating to shares of Common Stock granted under any equity compensation plan or employee stock purchase plan, (y) the Shares to be offered and sold through the Agents pursuant to this Agreement or any Terms Agreement and (z) equity incentive awards approved by the board of directors of the Company or the compensation committee thereof or the issuance of Common Stock upon exercise thereof.</w:t>
      </w:r>
    </w:p>
    <w:p>
      <w:pPr>
        <w:spacing w:after="0" w:line="2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Free Writing Prospectus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40" w:firstLine="436"/>
        <w:spacing w:after="0" w:line="282" w:lineRule="auto"/>
        <w:tabs>
          <w:tab w:leader="none" w:pos="66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represents and agrees that without the prior consent of the Agents, it has not made and will not make any offer relating to the Shares that would constitute a “free writing prospectus” as defined in Rule 405 under the 1933 Act; and</w:t>
      </w:r>
    </w:p>
    <w:p>
      <w:pPr>
        <w:spacing w:after="0" w:line="53" w:lineRule="exact"/>
        <w:rPr>
          <w:rFonts w:ascii="Times New Roman" w:cs="Times New Roman" w:eastAsia="Times New Roman" w:hAnsi="Times New Roman"/>
          <w:sz w:val="18"/>
          <w:szCs w:val="18"/>
          <w:color w:val="auto"/>
        </w:rPr>
      </w:pPr>
    </w:p>
    <w:p>
      <w:pPr>
        <w:ind w:left="420" w:right="60" w:firstLine="419"/>
        <w:spacing w:after="0" w:line="282" w:lineRule="auto"/>
        <w:tabs>
          <w:tab w:leader="none" w:pos="110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Agent represents and agrees that, without the prior consent of the Company, it has not made and will not make any offer relating to the Shares that would constitute a free writing prospectus required to be filed with the Commission.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60"/>
          </w:cols>
          <w:pgMar w:left="460" w:top="270" w:right="479" w:bottom="1440" w:gutter="0" w:footer="0" w:header="0"/>
        </w:sectPr>
      </w:pPr>
    </w:p>
    <w:bookmarkStart w:id="22" w:name="page23"/>
    <w:bookmarkEnd w:id="22"/>
    <w:p>
      <w:pPr>
        <w:jc w:val="both"/>
        <w:ind w:left="4" w:right="360" w:firstLine="436"/>
        <w:spacing w:after="0" w:line="266" w:lineRule="auto"/>
        <w:tabs>
          <w:tab w:leader="none" w:pos="69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has complied and will comply with the requirements of Rule 433 under the 1933 Act applicable to any Issuer Free Writing Prospectus (including any free writing prospectus identified in Section 4(a) hereof), including timely filing with the Commission or retention where required and legending.</w:t>
      </w:r>
    </w:p>
    <w:p>
      <w:pPr>
        <w:spacing w:after="0" w:line="176" w:lineRule="exact"/>
        <w:rPr>
          <w:sz w:val="20"/>
          <w:szCs w:val="20"/>
          <w:color w:val="auto"/>
        </w:rPr>
      </w:pPr>
    </w:p>
    <w:p>
      <w:pPr>
        <w:ind w:left="4" w:firstLine="440"/>
        <w:spacing w:after="0" w:line="267" w:lineRule="auto"/>
        <w:rPr>
          <w:sz w:val="20"/>
          <w:szCs w:val="20"/>
          <w:color w:val="auto"/>
        </w:rPr>
      </w:pPr>
      <w:r>
        <w:rPr>
          <w:rFonts w:ascii="Times New Roman" w:cs="Times New Roman" w:eastAsia="Times New Roman" w:hAnsi="Times New Roman"/>
          <w:sz w:val="17"/>
          <w:szCs w:val="17"/>
          <w:color w:val="auto"/>
        </w:rPr>
        <w:t xml:space="preserve">Section 5. </w:t>
      </w:r>
      <w:r>
        <w:rPr>
          <w:rFonts w:ascii="Times New Roman" w:cs="Times New Roman" w:eastAsia="Times New Roman" w:hAnsi="Times New Roman"/>
          <w:sz w:val="17"/>
          <w:szCs w:val="17"/>
          <w:u w:val="single" w:color="auto"/>
          <w:color w:val="auto"/>
        </w:rPr>
        <w:t>Payment of Expenses</w:t>
      </w:r>
      <w:r>
        <w:rPr>
          <w:rFonts w:ascii="Times New Roman" w:cs="Times New Roman" w:eastAsia="Times New Roman" w:hAnsi="Times New Roman"/>
          <w:sz w:val="17"/>
          <w:szCs w:val="17"/>
          <w:color w:val="auto"/>
        </w:rPr>
        <w:t>. The Company covenants and agrees with the Agents that the Company will pay or cause to be paid the following: (i) the fees, disbursements and expenses of the Company’s counsel and accountants in connection with the registration of the Shares under the 1933 Act and all other expenses in connection with the preparation, printing and filing of the Registration Statement, the Basic Prospectus, Prospectus Supplement, any Issuer Free Writing Prospectus and the Prospectus and amendments and supplements thereto and the mailing and delivering of copies thereof to the Agents; (ii) the cost of printing or producing this Agreement or any Terms Agreement, any Blue Sky and Legal Investment Memoranda, closing documents (including any compilations thereof) and any other documents in connection with the offering, purchase, sale and delivery of the Shares; (iii) all actual, reasonable and documented expenses in connection with the qualification of the Shares for offering and sale under state securities laws as provided in Section 3(b) hereof, including the actual, reasonable and documented fees and disbursements of counsel for the Agents in connection with such qualification and in connection with the Blue Sky and Legal Investment Surveys; (iv) any filing fees incident to, and the actual, reasonable and documented fees and disbursements of counsel for the Agents in connection with, any required review by the Financial Industry Regulatory Authority, Inc. (“</w:t>
      </w:r>
      <w:r>
        <w:rPr>
          <w:rFonts w:ascii="Times New Roman" w:cs="Times New Roman" w:eastAsia="Times New Roman" w:hAnsi="Times New Roman"/>
          <w:sz w:val="17"/>
          <w:szCs w:val="17"/>
          <w:u w:val="single" w:color="auto"/>
          <w:color w:val="auto"/>
        </w:rPr>
        <w:t>FINRA</w:t>
      </w:r>
      <w:r>
        <w:rPr>
          <w:rFonts w:ascii="Times New Roman" w:cs="Times New Roman" w:eastAsia="Times New Roman" w:hAnsi="Times New Roman"/>
          <w:sz w:val="17"/>
          <w:szCs w:val="17"/>
          <w:color w:val="auto"/>
        </w:rPr>
        <w:t>”) of the terms of the sale of the Shares; (v) all fees and expenses in connection with listing or quoting the Shares on the Nasdaq; (vi) the cost of preparing the Shares; (vii) the costs and charges of any transfer agent or registrar or any dividend distribution agent;</w:t>
      </w:r>
    </w:p>
    <w:p>
      <w:pPr>
        <w:spacing w:after="0" w:line="1" w:lineRule="exact"/>
        <w:rPr>
          <w:sz w:val="20"/>
          <w:szCs w:val="20"/>
          <w:color w:val="auto"/>
        </w:rPr>
      </w:pPr>
    </w:p>
    <w:p>
      <w:pPr>
        <w:ind w:left="4" w:right="20" w:hanging="4"/>
        <w:spacing w:after="0" w:line="253" w:lineRule="auto"/>
        <w:tabs>
          <w:tab w:leader="none" w:pos="40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reasonable fees and disbursements of counsel to the Agents in an aggregate amount not to exceed $85,000 (which amount shall include all fees and disbursements of such counsel described in clauses (iii) and (iv) above) and (ix) all other costs and expenses incident to the performance of its obligations hereunder which are not otherwise specifically provided for in this Section. It is understood, however, that, except as provided in this Section, and Section 7 hereof, the Agents will pay all of their own costs and expenses, including the fees of their counsel, transfer taxes on resale of any of the Shares by them, and any advertising expenses connected with any offers they may make.</w:t>
      </w:r>
    </w:p>
    <w:p>
      <w:pPr>
        <w:spacing w:after="0" w:line="187" w:lineRule="exact"/>
        <w:rPr>
          <w:sz w:val="20"/>
          <w:szCs w:val="20"/>
          <w:color w:val="auto"/>
        </w:rPr>
      </w:pPr>
    </w:p>
    <w:p>
      <w:pPr>
        <w:ind w:left="4" w:right="2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Conditions of Agents’ Obligation</w:t>
      </w:r>
      <w:r>
        <w:rPr>
          <w:rFonts w:ascii="Times New Roman" w:cs="Times New Roman" w:eastAsia="Times New Roman" w:hAnsi="Times New Roman"/>
          <w:sz w:val="18"/>
          <w:szCs w:val="18"/>
          <w:color w:val="auto"/>
        </w:rPr>
        <w:t>. The obligations of the Agents hereunder shall be subject, in its discretion, to the condition that all representations and warranties and other statements of the Company herein or in certificates of any officer of the Company delivered pursuant to the provisions hereof are true and correct as of the time of the execution of this Agreement, the date of any executed Terms Agreement and as of each Registration Statement Amendment Date, Company Periodic Report Date, Applicable Time and Settlement Date, to the condition that the Company shall have performed all of its obligations hereunder theretofore to be performed, and the following additional conditions:</w:t>
      </w:r>
    </w:p>
    <w:p>
      <w:pPr>
        <w:spacing w:after="0" w:line="75" w:lineRule="exact"/>
        <w:rPr>
          <w:sz w:val="20"/>
          <w:szCs w:val="20"/>
          <w:color w:val="auto"/>
        </w:rPr>
      </w:pPr>
    </w:p>
    <w:p>
      <w:pPr>
        <w:ind w:left="4" w:right="100" w:firstLine="436"/>
        <w:spacing w:after="0" w:line="254" w:lineRule="auto"/>
        <w:tabs>
          <w:tab w:leader="none" w:pos="68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Supplement shall have been filed with the Commission pursuant to Rule 424(b) under the 1933 Act on or prior to the date hereof and in accordance with Section 3(a) hereof, any other material required to be filed by the Company pursuant to Rule 433(d) under the 1933 Act shall have been filed with the Commission within the applicable time periods prescribed for such filings by Rule 433; no stop order suspending the effectiveness of the Registration Statement or any part thereof shall have been issued and no proceeding for that purpose shall have been initiated or threatened by the Commission and no notice of objection of the Commission to the use of the form of the Registration Statement or any post-effective amendment thereto pursuant to Rule 401(g)(2) under the 1933 Act shall have been received; no stop order suspending or preventing the use of the Prospectus or any Issuer Free Writing Prospectus shall have been initiated or threatened by the Commission; and all requests for additional information on the part of the Commission shall have been complied with to the reasonable satisfaction of the Agents.</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4"/>
          </w:cols>
          <w:pgMar w:left="436" w:top="270" w:right="479" w:bottom="1440" w:gutter="0" w:footer="0" w:header="0"/>
        </w:sectPr>
      </w:pPr>
    </w:p>
    <w:bookmarkStart w:id="23" w:name="page24"/>
    <w:bookmarkEnd w:id="23"/>
    <w:p>
      <w:pPr>
        <w:ind w:left="-40" w:right="20" w:firstLine="436"/>
        <w:spacing w:after="0" w:line="266"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every date specified in Section 3(j) hereof, Goodwin Procter LLP, counsel for the Agents, shall have furnished to the Agents such written opinion or opinions, dated as of such date, with respect to such matters as the Agents may reasonably request, and such counsel shall have received such papers and information as they may reasonably request to enable them to pass upon such matters.</w:t>
      </w:r>
    </w:p>
    <w:p>
      <w:pPr>
        <w:spacing w:after="0" w:line="175" w:lineRule="exact"/>
        <w:rPr>
          <w:rFonts w:ascii="Times New Roman" w:cs="Times New Roman" w:eastAsia="Times New Roman" w:hAnsi="Times New Roman"/>
          <w:sz w:val="18"/>
          <w:szCs w:val="18"/>
          <w:color w:val="auto"/>
        </w:rPr>
      </w:pPr>
    </w:p>
    <w:p>
      <w:pPr>
        <w:ind w:left="-40" w:right="280" w:firstLine="436"/>
        <w:spacing w:after="0" w:line="282" w:lineRule="auto"/>
        <w:tabs>
          <w:tab w:leader="none" w:pos="64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every date specified in Section 3(j) hereof, Baker &amp; Hostetler LLP, counsel for the Company, shall have furnished to the Agents written opinion or opinions, dated as of such date, in form and substance reasonably satisfactory to the Agents.</w:t>
      </w:r>
    </w:p>
    <w:p>
      <w:pPr>
        <w:spacing w:after="0" w:line="161" w:lineRule="exact"/>
        <w:rPr>
          <w:rFonts w:ascii="Times New Roman" w:cs="Times New Roman" w:eastAsia="Times New Roman" w:hAnsi="Times New Roman"/>
          <w:sz w:val="18"/>
          <w:szCs w:val="18"/>
          <w:color w:val="auto"/>
        </w:rPr>
      </w:pPr>
    </w:p>
    <w:p>
      <w:pPr>
        <w:ind w:left="-40" w:right="180" w:firstLine="436"/>
        <w:spacing w:after="0" w:line="256"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dates specified in Section 3(k) hereof, the independent accountants of the Company who have certified the financial statements of the Company and its Subsidiaries included or incorporated by reference in the Registration Statement, the General Disclosure Package and the Prospectus shall have furnished to the Agents a letter dated as of the date of delivery thereof and addressed to the Agents in form and substance reasonably satisfactory to the Agents and their counsel, containing statements and information of the type ordinarily included in accountants’ “comfort letters” to underwriters with respect to the financial statements of the Company and its Subsidiaries included or incorporated by reference in the Registration Statement, the General Disclosure Package and the Prospectus.</w:t>
      </w:r>
    </w:p>
    <w:p>
      <w:pPr>
        <w:spacing w:after="0" w:line="187" w:lineRule="exact"/>
        <w:rPr>
          <w:rFonts w:ascii="Times New Roman" w:cs="Times New Roman" w:eastAsia="Times New Roman" w:hAnsi="Times New Roman"/>
          <w:sz w:val="18"/>
          <w:szCs w:val="18"/>
          <w:color w:val="auto"/>
        </w:rPr>
      </w:pPr>
    </w:p>
    <w:p>
      <w:pPr>
        <w:ind w:left="-40" w:right="240" w:firstLine="436"/>
        <w:spacing w:after="0" w:line="282" w:lineRule="auto"/>
        <w:tabs>
          <w:tab w:leader="none" w:pos="64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commencement of the offering of Shares under this Agreement, the Agents shall have received a certificate, signed on behalf of the Company by its corporate Secretary, in form and substance reasonably satisfactory to the Agents and their counsel.</w:t>
      </w:r>
    </w:p>
    <w:p>
      <w:pPr>
        <w:spacing w:after="0" w:line="161" w:lineRule="exact"/>
        <w:rPr>
          <w:rFonts w:ascii="Times New Roman" w:cs="Times New Roman" w:eastAsia="Times New Roman" w:hAnsi="Times New Roman"/>
          <w:sz w:val="18"/>
          <w:szCs w:val="18"/>
          <w:color w:val="auto"/>
        </w:rPr>
      </w:pPr>
    </w:p>
    <w:p>
      <w:pPr>
        <w:ind w:left="-40" w:firstLine="436"/>
        <w:spacing w:after="0" w:line="253" w:lineRule="auto"/>
        <w:tabs>
          <w:tab w:leader="none" w:pos="62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commencement of the offering of Shares under this Agreement and on such other dates as reasonably requested by Agents, the Company will furnish or cause to be furnished promptly to the Agents a certificate of an officer in a form satisfactory to the Agents stating the minimum price for the sale of such Shares pursuant to this Agreement and the maximum number of Shares that may be issued and sold pursuant to this Agreement or, alternatively, maximum gross proceeds from such sales, as authorized from time to time by the Company’s board of directors or a duly authorized committee thereof or, in connection with any amendment, revision or modification of such minimum price or maximum Share number or amount, a new certificate with respect thereto and (ii) on each date specified in Section 3(i), the Agents shall have received a certificate of executive officers of the Company, one of whom shall be the Chief Financial Officer, Principal Financial Officer, Chief Accounting Officer, Treasurer, or Executive Vice President in the area of capital markets and investments, dated as of the date thereof, to the effect that (A) there has been no Material Adverse Effect since the date as of which information is given in the General Disclosure Package and the Prospectus as then amended or supplemented, (B) the representations and warranties in Section 1 hereof are true and correct as of such date and (C) the Company has complied with all of the agreements entered into in connection with the transaction contemplated herein and satisfied all conditions on its part to be performed or satisfied.</w:t>
      </w:r>
    </w:p>
    <w:p>
      <w:pPr>
        <w:spacing w:after="0" w:line="191" w:lineRule="exact"/>
        <w:rPr>
          <w:rFonts w:ascii="Times New Roman" w:cs="Times New Roman" w:eastAsia="Times New Roman" w:hAnsi="Times New Roman"/>
          <w:sz w:val="18"/>
          <w:szCs w:val="18"/>
          <w:color w:val="auto"/>
        </w:rPr>
      </w:pPr>
    </w:p>
    <w:p>
      <w:pPr>
        <w:ind w:left="-40" w:right="140" w:firstLine="436"/>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latest audited financial statements then included or incorporated by reference in the General Disclosure Package and the Prospectus, no Material Adverse Effect shall have occurred.</w:t>
      </w:r>
    </w:p>
    <w:p>
      <w:pPr>
        <w:spacing w:after="0" w:line="161" w:lineRule="exact"/>
        <w:rPr>
          <w:rFonts w:ascii="Times New Roman" w:cs="Times New Roman" w:eastAsia="Times New Roman" w:hAnsi="Times New Roman"/>
          <w:sz w:val="18"/>
          <w:szCs w:val="18"/>
          <w:color w:val="auto"/>
        </w:rPr>
      </w:pPr>
    </w:p>
    <w:p>
      <w:pPr>
        <w:ind w:left="660" w:hanging="264"/>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complied with the provisions of Section 3(c) hereof with respect to the timely furnishing of prospectuses.</w:t>
      </w:r>
    </w:p>
    <w:p>
      <w:pPr>
        <w:spacing w:after="0" w:line="225" w:lineRule="exact"/>
        <w:rPr>
          <w:rFonts w:ascii="Times New Roman" w:cs="Times New Roman" w:eastAsia="Times New Roman" w:hAnsi="Times New Roman"/>
          <w:sz w:val="18"/>
          <w:szCs w:val="18"/>
          <w:color w:val="auto"/>
        </w:rPr>
      </w:pPr>
    </w:p>
    <w:p>
      <w:pPr>
        <w:ind w:left="-40" w:right="600" w:firstLine="436"/>
        <w:spacing w:after="0" w:line="282" w:lineRule="auto"/>
        <w:tabs>
          <w:tab w:leader="none" w:pos="6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such dates as reasonably requested by the Agents, the Company shall have conducted due diligence sessions, in form and substance reasonably satisfactory to the Agents.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40"/>
          </w:cols>
          <w:pgMar w:left="480" w:top="270" w:right="479" w:bottom="1440" w:gutter="0" w:footer="0" w:header="0"/>
        </w:sectPr>
      </w:pPr>
    </w:p>
    <w:bookmarkStart w:id="24" w:name="page25"/>
    <w:bookmarkEnd w:id="24"/>
    <w:p>
      <w:pPr>
        <w:ind w:right="300" w:firstLine="436"/>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filings with the Commission required by Rule 424 under the 1933 Act to have been filed by each Applicable Time or related Settlement Date shall have been made within the applicable time period prescribed for such filing by Rule 424 (without reliance on Rule 424(b)(8)).</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shall have received approval for listing or quotation on the Nasdaq prior to the first Settlement Date.</w:t>
      </w:r>
    </w:p>
    <w:p>
      <w:pPr>
        <w:spacing w:after="0" w:line="225" w:lineRule="exact"/>
        <w:rPr>
          <w:rFonts w:ascii="Times New Roman" w:cs="Times New Roman" w:eastAsia="Times New Roman" w:hAnsi="Times New Roman"/>
          <w:sz w:val="18"/>
          <w:szCs w:val="18"/>
          <w:color w:val="auto"/>
        </w:rPr>
      </w:pPr>
    </w:p>
    <w:p>
      <w:pPr>
        <w:ind w:right="40" w:firstLine="436"/>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any Settlement Date, the Company shall have furnished to the Agents such further information, documents or certificates as the Agents may reasonably request.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69" w:lineRule="auto"/>
        <w:tabs>
          <w:tab w:leader="none" w:pos="68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will indemnify and hold harmless the Agents against any losses, claims, damages or liabilities, joint or several, to which the Agents may become subject, under the 1933 Act or otherwise, insofar as such losses, claims, damages or liabilities (or actions in respect thereof) arise out of or are based upon an untrue statement or alleged untrue statement of a material fact contained in the Registration Statement, the Basic Prospectus, the Prospectus Supplement or the Prospectus or any amendment or supplement thereto, any Issuer Free Writing Prospectus or any “issuer information” filed or required to be filed pursuant to Rule 433(d) under the 1933 Act, or arise out of or are based upon the omission or alleged omission to state therein a material fact required to be stated therein or necessary to make the statements therein not misleading, and will reimburse the Agents for any actual, reasonable and documented legal or other expenses reasonably incurred by the Agents in connection with investigating or defending any such action or claim as such expenses are incurred; provided, however, that the Company shall not be liable in any such case to the extent that any such loss, claim, damage or liability arises out of or is based upon an untrue statement or alleged untrue statement or omission or alleged omission made in the Registration Statement, the Basic Prospectus, the Prospectus Supplement or the Prospectus, or any amendment or supplement thereto, or any Issuer Free Writing Prospectus, in reliance upon and in strict conformity with written information furnished to the Company by the Agents expressly for use therein.</w:t>
      </w:r>
    </w:p>
    <w:p>
      <w:pPr>
        <w:spacing w:after="0" w:line="181" w:lineRule="exact"/>
        <w:rPr>
          <w:rFonts w:ascii="Times New Roman" w:cs="Times New Roman" w:eastAsia="Times New Roman" w:hAnsi="Times New Roman"/>
          <w:sz w:val="17"/>
          <w:szCs w:val="17"/>
          <w:color w:val="auto"/>
        </w:rPr>
      </w:pPr>
    </w:p>
    <w:p>
      <w:pPr>
        <w:ind w:firstLine="436"/>
        <w:spacing w:after="0" w:line="253" w:lineRule="auto"/>
        <w:tabs>
          <w:tab w:leader="none" w:pos="6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Agent, severally and not jointly, will indemnify and hold harmless the Company against any losses, claims, damages or liabilities to which the Company may become subject, under the 1933 Act or otherwise, insofar as such losses, claims, damages or liabilities (or actions in respect thereof) arise out of or are based upon an untrue statement or alleged untrue statement of a material fact contained in the Registration Statement, the Basic Prospectus, the Prospectus Supplement or the Prospectus, or any amendment or supplement thereto, or any Issuer Free Writing Prospectus,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the Basic Prospectus, the Prospectus Supplement or the Prospectus, or any such amendment or supplement thereto, or any Issuer Free Writing Prospectus, in reliance upon and in strict conformity with written information furnished to the Company by such Agent expressly for use therein; and will reimburse the Company for any actual, reasonable and documented legal or other expenses reasonably incurred by the Company in connection with investigating or defending any such action or claim as such expenses are incurred.</w:t>
      </w:r>
    </w:p>
    <w:p>
      <w:pPr>
        <w:spacing w:after="0" w:line="194" w:lineRule="exact"/>
        <w:rPr>
          <w:rFonts w:ascii="Times New Roman" w:cs="Times New Roman" w:eastAsia="Times New Roman" w:hAnsi="Times New Roman"/>
          <w:sz w:val="18"/>
          <w:szCs w:val="18"/>
          <w:color w:val="auto"/>
        </w:rPr>
      </w:pPr>
    </w:p>
    <w:p>
      <w:pPr>
        <w:ind w:firstLine="436"/>
        <w:spacing w:after="0" w:line="258" w:lineRule="auto"/>
        <w:tabs>
          <w:tab w:leader="none" w:pos="68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except and then only to the extent such indemnifying party is materially prejudiced thereby. In case any such action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25" w:name="page26"/>
    <w:bookmarkEnd w:id="25"/>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this Section 7 for any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92" w:lineRule="exact"/>
        <w:rPr>
          <w:sz w:val="20"/>
          <w:szCs w:val="20"/>
          <w:color w:val="auto"/>
        </w:rPr>
      </w:pPr>
    </w:p>
    <w:p>
      <w:pPr>
        <w:ind w:left="4" w:firstLine="436"/>
        <w:spacing w:after="0" w:line="266" w:lineRule="auto"/>
        <w:tabs>
          <w:tab w:leader="none" w:pos="699"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indemnification provided for in this Section 7 is unavailable to hold harmless an indemnified party under subsection (a) 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an Agent on the other from the offering of the Shares to which such loss, claim, damage or liability (or action in respect thereof) relates.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on the one hand and such Agent on the other in connection with the statements or omissions which resulted in such losses, claims, damages or liabilities (or actions in respect thereof), as well as any other relevant equitable considerations. The relative benefits received by the Company on the one hand and such Agent on the other shall be deemed to be in the same proportion as the total net proceeds from the offering (before deducting expenses) received by the Company bear to the total commissions received by such Agent. The relative fault shall be determined by reference to, among other things, whether the untrue or alleged untrue statement of a material fact or the omission or alleged omission to state a material fact relates to information supplied by the Company on the one hand or such Agent on the other and the parties’ relative intent, knowledge, access to information and opportunity to correct or prevent such statement or omission. The Company and the Agents agree that it would not be just and equitable if contribution pursuant to this subsection</w:t>
      </w:r>
    </w:p>
    <w:p>
      <w:pPr>
        <w:spacing w:after="0" w:line="9" w:lineRule="exact"/>
        <w:rPr>
          <w:rFonts w:ascii="Times New Roman" w:cs="Times New Roman" w:eastAsia="Times New Roman" w:hAnsi="Times New Roman"/>
          <w:sz w:val="17"/>
          <w:szCs w:val="17"/>
          <w:color w:val="auto"/>
        </w:rPr>
      </w:pPr>
    </w:p>
    <w:p>
      <w:pPr>
        <w:ind w:left="4" w:hanging="4"/>
        <w:spacing w:after="0" w:line="251" w:lineRule="auto"/>
        <w:tabs>
          <w:tab w:leader="none" w:pos="25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determined by pro rata allocation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an Agent shall not be required to contribute any amount in excess of the amount by which the total compensation received by such Agent with respect to sales of the Shares sold by it to the public exceeds the amount of any damages which such Agent has otherwise been required to pay by reason of such untrue or alleged untrue statement or omission or alleged omission. No person guilty of fraudulent misrepresentation (within the meaning of Section 11(f) of the 1933 Act) shall be entitled to contribution from any person who was not guilty of such fraudulent misrepresentation.</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4"/>
          </w:cols>
          <w:pgMar w:left="436" w:top="270" w:right="459" w:bottom="1440" w:gutter="0" w:footer="0" w:header="0"/>
        </w:sectPr>
      </w:pPr>
    </w:p>
    <w:bookmarkStart w:id="26" w:name="page27"/>
    <w:bookmarkEnd w:id="26"/>
    <w:p>
      <w:pPr>
        <w:ind w:firstLine="436"/>
        <w:spacing w:after="0" w:line="256" w:lineRule="auto"/>
        <w:tabs>
          <w:tab w:leader="none" w:pos="68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obligations of the Company under this Section 7 shall be in addition to any liability which the Company may otherwise have and shall extend, upon the same terms and conditions, to the respective directors, officers, employees, attorneys and agents of each Agent and to each person, if any, who controls each Agent within the meaning of the 1933 Act and each broker dealer affiliate of the Agents; and the obligations of each Agent under this Section 7 shall be in addition to any liability which such Agent may otherwise have and shall extend, upon the same terms and conditions, to each director, officer, employee, attorney and agent of the Company and to each person, if any, who controls the Company within the meaning of the 1933 Act.</w:t>
      </w:r>
    </w:p>
    <w:p>
      <w:pPr>
        <w:spacing w:after="0" w:line="187"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Representations, Warranties and Agreements to Survive Delivery</w:t>
      </w:r>
      <w:r>
        <w:rPr>
          <w:rFonts w:ascii="Times New Roman" w:cs="Times New Roman" w:eastAsia="Times New Roman" w:hAnsi="Times New Roman"/>
          <w:sz w:val="18"/>
          <w:szCs w:val="18"/>
          <w:color w:val="auto"/>
        </w:rPr>
        <w:t>. The respective indemnities, agreements, representations, warranties and other statements of the Company and the Agents, as set forth in this Agreement or made by or on behalf of them, respectively, pursuant to this Agreement, shall remain in full force and effect, regardless of any investigation (or any statement as to the results thereof) made by or on behalf of the Agents or any controlling person of an Agent, or the Company, or any officer or director or controlling person of the Company, and shall survive delivery of and payment for the Shares.</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No Advisory or Fiduciary Relationship</w:t>
      </w:r>
      <w:r>
        <w:rPr>
          <w:rFonts w:ascii="Times New Roman" w:cs="Times New Roman" w:eastAsia="Times New Roman" w:hAnsi="Times New Roman"/>
          <w:sz w:val="18"/>
          <w:szCs w:val="18"/>
          <w:color w:val="auto"/>
        </w:rPr>
        <w:t>. The Company acknowledges and agrees that (i) each Agent is acting solely in the capacity of an arm’s length contractual counterparty to the Company with respect to the offering of Shares contemplated hereby (including in connection with determining the terms of such offering) and (ii) no Agent has assumed an advisory or fiduciary responsibility in favor of the Company with respect to the offering contemplated hereby or the process leading thereto (irrespective of whether such Agent has advised or is currently advising the Company on other matters) or any other obligation to the Company except the obligations expressly set forth in this Agreement and (iii) the Company has consulted its own legal and financial advisors to the extent it deemed appropriate. The Company agrees that it will not claim that the Agents have rendered advisory services of any nature or respect, or owe a fiduciary or similar duty to the Company, in connection with such transaction or the process leading thereto.</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8" w:lineRule="auto"/>
        <w:tabs>
          <w:tab w:leader="none" w:pos="68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the right, by giving written notice as hereinafter specified, to terminate this Agreement in its sole discretion at any time. Any such termination shall be without liability of any party to any other party, except that (i) with respect to any pending sale through an Agent for the Company, the obligations of the Company, including in respect of compensation of such Agent, shall remain in full force and effect notwithstanding such termination; and (ii) the provisions of Section 1, Section 5, Section 7, Section 8, Section 14 and Section 15 of this Agreement shall remain in full force and effect notwithstanding such termination.</w:t>
      </w:r>
    </w:p>
    <w:p>
      <w:pPr>
        <w:spacing w:after="0" w:line="183" w:lineRule="exact"/>
        <w:rPr>
          <w:rFonts w:ascii="Times New Roman" w:cs="Times New Roman" w:eastAsia="Times New Roman" w:hAnsi="Times New Roman"/>
          <w:sz w:val="18"/>
          <w:szCs w:val="18"/>
          <w:color w:val="auto"/>
        </w:rPr>
      </w:pPr>
    </w:p>
    <w:p>
      <w:pPr>
        <w:ind w:right="80" w:firstLine="436"/>
        <w:spacing w:after="0" w:line="266" w:lineRule="auto"/>
        <w:tabs>
          <w:tab w:leader="none" w:pos="6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Agent shall have the right, by giving written notice as hereinafter specified, to terminate this Agreement in its sole discretion at any time with respect to itself. Any such termination shall be without liability of any party to any other party except that the provisions of Section 1, Section 5, Section 7, Section 8, Section 14 and Section 15 of this Agreement shall remain in full force and effect notwithstanding such termination.</w:t>
      </w:r>
    </w:p>
    <w:p>
      <w:pPr>
        <w:spacing w:after="0" w:line="175" w:lineRule="exact"/>
        <w:rPr>
          <w:rFonts w:ascii="Times New Roman" w:cs="Times New Roman" w:eastAsia="Times New Roman" w:hAnsi="Times New Roman"/>
          <w:sz w:val="18"/>
          <w:szCs w:val="18"/>
          <w:color w:val="auto"/>
        </w:rPr>
      </w:pPr>
    </w:p>
    <w:p>
      <w:pPr>
        <w:ind w:right="280" w:firstLine="436"/>
        <w:spacing w:after="0" w:line="289" w:lineRule="auto"/>
        <w:tabs>
          <w:tab w:leader="none" w:pos="68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earlier terminated pursuant to this Section 10, this Agreement shall automatically terminate upon the issuance and sale of all of the Shares by the Agents on the terms and subject to the conditions set forth herein except any termination pursuant to this clause (c) shall in all cases be deemed to provide that Section 1, Section 5, Section 7, Section 8, Section 14 and Section 15 of this Agreement shall remain in full force and effect.</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27" w:name="page28"/>
    <w:bookmarkEnd w:id="27"/>
    <w:p>
      <w:pPr>
        <w:ind w:right="220" w:firstLine="436"/>
        <w:spacing w:after="0" w:line="266" w:lineRule="auto"/>
        <w:tabs>
          <w:tab w:leader="none" w:pos="6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Agreement shall remain in full force and effect until and unless terminated pursuant to Section 10(a), (b) or (c) above or otherwise by mutual agreement of the parties; provided that any such termination by mutual agreement or pursuant to this clause (d) shall in all cases be deemed to provide that Section 1, Section 5, Section 7, Section 8, Section 14 and Section 15 of this Agreement shall remain in full force and effect.</w:t>
      </w:r>
    </w:p>
    <w:p>
      <w:pPr>
        <w:spacing w:after="0" w:line="175" w:lineRule="exact"/>
        <w:rPr>
          <w:rFonts w:ascii="Times New Roman" w:cs="Times New Roman" w:eastAsia="Times New Roman" w:hAnsi="Times New Roman"/>
          <w:sz w:val="18"/>
          <w:szCs w:val="18"/>
          <w:color w:val="auto"/>
        </w:rPr>
      </w:pPr>
    </w:p>
    <w:p>
      <w:pPr>
        <w:ind w:right="180" w:firstLine="436"/>
        <w:spacing w:after="0" w:line="256" w:lineRule="auto"/>
        <w:tabs>
          <w:tab w:leader="none" w:pos="68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termination of this Agreement shall be effective on the date specified in such notice of termination; provided that such termination shall not be effective until the close of business on the date of receipt of such notice by the Agents or the Company, as the case may be. If such termination shall occur prior to the Settlement Date for any sale of Shares, such sale shall settle in accordance with the provisions of Section 2(g) hereof. To the extent this Agreement is terminated by one Agent or by the Company with respect to one Agent pursuant to Sections 10(a), (b) or (c) above, this Agreement shall terminate only with respect to such Agent and shall remain in full force and effect with respect to the Company and the other Agent, unless and until terminated pursuant to Sections 10(a), (b), (c) or (d) above.</w:t>
      </w:r>
    </w:p>
    <w:p>
      <w:pPr>
        <w:spacing w:after="0" w:line="187" w:lineRule="exact"/>
        <w:rPr>
          <w:rFonts w:ascii="Times New Roman" w:cs="Times New Roman" w:eastAsia="Times New Roman" w:hAnsi="Times New Roman"/>
          <w:sz w:val="18"/>
          <w:szCs w:val="18"/>
          <w:color w:val="auto"/>
        </w:rPr>
      </w:pPr>
    </w:p>
    <w:p>
      <w:pPr>
        <w:ind w:firstLine="436"/>
        <w:spacing w:after="0" w:line="253" w:lineRule="auto"/>
        <w:tabs>
          <w:tab w:leader="none" w:pos="66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purchase by an Agent pursuant to a Terms Agreement, the such Agent may terminate this Agreement, at any time at or prior to the Settlement Date (i) if there has been, since the time of execution of this Agreement or since the respective dates as of which information is given in the General Disclosure Package or the Prospectus, any Material Adverse Effect, or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such Agent, impracticable or inadvisable to market the Shares or to enforce contracts for the sale of Shares, or (iii) if trading in any securities of the Company has been suspended or materially limited by the Commission or the Nasdaq, or if trading generally on the NYSE or Nasdaq has been suspended or materially limited, or minimum or maximum prices for trading have been fixed, or maximum ranges for prices have been required, by any of said exchanges or by such system or by order of the Commission, FINRA or any other governmental authority, or (iv) a material disruption has occurred in commercial banking or securities settlement or clearance services in the United States, or (v) if a banking moratorium has been declared by either Federal or New York authorities.</w:t>
      </w:r>
    </w:p>
    <w:p>
      <w:pPr>
        <w:spacing w:after="0" w:line="192"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statements, requests, notices and agreements hereunder shall be in writing, and if to the Agents shall be delivered or sent by mail, telex or facsimile transmission to:</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Canaccord Genuity LLC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 Post Office Square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Suite 3000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Boston, Massachusetts 02109</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and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Needham &amp; Company, LLC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250 Park Avenue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New York 10177</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and if to the Company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Pulse Biosciences,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601 Brickell Key Drive, Suite 1000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Miami, Florida 33131</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0"/>
          </w:cols>
          <w:pgMar w:left="440" w:top="270" w:right="479" w:bottom="1440" w:gutter="0" w:footer="0" w:header="0"/>
        </w:sectPr>
      </w:pPr>
    </w:p>
    <w:bookmarkStart w:id="28" w:name="page29"/>
    <w:bookmarkEnd w:id="2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such statements, requests, notices or agreements shall take effect upon receipt thereof.</w:t>
      </w:r>
    </w:p>
    <w:p>
      <w:pPr>
        <w:spacing w:after="0" w:line="225"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This Agreement shall be binding upon, and inure solely to the benefit of, the Agents and the Company and, to the extent provided in Sections 7 and Section 8 hereof, the officers, directors, employees, attorneys and agents of the Company and the Agents and each person who controls the Company or the Agents, and their respective heirs, executors, administrators, successors and assigns, and no other person shall acquire or have any right under or by virtue of this Agreement. No purchaser of Shares through the Agents shall be deemed a successor or assign by reason merely of such purchase.</w:t>
      </w:r>
    </w:p>
    <w:p>
      <w:pPr>
        <w:spacing w:after="0" w:line="183"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Time of the Essence</w:t>
      </w:r>
      <w:r>
        <w:rPr>
          <w:rFonts w:ascii="Times New Roman" w:cs="Times New Roman" w:eastAsia="Times New Roman" w:hAnsi="Times New Roman"/>
          <w:sz w:val="18"/>
          <w:szCs w:val="18"/>
          <w:color w:val="auto"/>
        </w:rPr>
        <w:t>. Time shall be of the essence of this Agreement. As used herein, the term “business day” shall mean any day when the Commission’s office in Washington, D.C. is open for business.</w:t>
      </w:r>
    </w:p>
    <w:p>
      <w:pPr>
        <w:spacing w:after="0" w:line="162"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The Company and the Agents hereby irrevocably waive, to the fullest extent permitted by applicable law, any and all right to trial by jury in any legal proceeding arising out of or relating to this Agreement or the transactions contemplated hereby.</w:t>
      </w:r>
    </w:p>
    <w:p>
      <w:pPr>
        <w:spacing w:after="0" w:line="162"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STATE OF NEW YORK WITHOUT REFERENCE TO ITS PRINCIPLES OF CONFLICTS OF LAW.</w:t>
      </w:r>
    </w:p>
    <w:p>
      <w:pPr>
        <w:spacing w:after="0" w:line="162"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and any Terms Agreement may be executed by any one or more of the parties hereto and thereto in any number of counterparts, each of which shall be deemed to be an original, but all such respective counterparts shall together constitute one and the same instrument. This Agreement and any Terms Agreement may be delivered by any party by facsimile or other electronic transmission.</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29" w:name="page30"/>
    <w:bookmarkEnd w:id="29"/>
    <w:p>
      <w:pPr>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foregoing is in accordance with your understanding of our agreement, please sign and return to the Company a counterpart hereof, whereupon this instrument, along with all counterparts, will become a binding agreement between the Agents and the Company in accordance with its terms.</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1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20"/>
          <w:szCs w:val="20"/>
          <w:b w:val="1"/>
          <w:bCs w:val="1"/>
          <w:color w:val="auto"/>
        </w:rPr>
        <w:t>PULSE BIOSCIENCES, INC.</w:t>
      </w:r>
    </w:p>
    <w:p>
      <w:pPr>
        <w:spacing w:after="0" w:line="22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Burke T. Barret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Burke T. Barret</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President &amp; CEO</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as of the date hereof:</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CANACCORD GENUITY LLC</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Jennifer Pardi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Jennifer Pardi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NEEDHAM &amp; COMPANY, LLC</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Carolyn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Carolyn Horn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i w:val="1"/>
          <w:iCs w:val="1"/>
          <w:color w:val="auto"/>
        </w:rPr>
        <w:t>[Signature Page to Equity Distribution Agreement]</w:t>
      </w:r>
    </w:p>
    <w:p>
      <w:pPr>
        <w:sectPr>
          <w:pgSz w:w="11900" w:h="16838" w:orient="portrait"/>
          <w:cols w:equalWidth="0" w:num="1">
            <w:col w:w="10820"/>
          </w:cols>
          <w:pgMar w:left="440" w:top="270" w:right="6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Agents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Canaccord Genuity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Needham &amp; Company, LLC</w:t>
      </w:r>
    </w:p>
    <w:p>
      <w:pPr>
        <w:sectPr>
          <w:pgSz w:w="11900" w:h="16838" w:orient="portrait"/>
          <w:cols w:equalWidth="0" w:num="1">
            <w:col w:w="11020"/>
          </w:cols>
          <w:pgMar w:left="440" w:top="266" w:right="4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I</w:t>
      </w:r>
    </w:p>
    <w:p>
      <w:pPr>
        <w:spacing w:after="0" w:line="22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PULSE BIOSCIENCES, INC.</w:t>
      </w:r>
    </w:p>
    <w:p>
      <w:pPr>
        <w:spacing w:after="0" w:line="12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Common Stock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($0.001 par value per share)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TERMS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[CANACCORD GENUITY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Post Office Square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3000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 02109]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[NEEDHAM &amp; COMPANY,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 Park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10177]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Pulse Biosciences,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proposes, subject to the terms and conditions stated herein and in the Equity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 Agreement, dated July 15, 2024 (the “</w:t>
      </w:r>
      <w:r>
        <w:rPr>
          <w:rFonts w:ascii="Times New Roman" w:cs="Times New Roman" w:eastAsia="Times New Roman" w:hAnsi="Times New Roman"/>
          <w:sz w:val="18"/>
          <w:szCs w:val="18"/>
          <w:u w:val="single" w:color="auto"/>
          <w:color w:val="auto"/>
        </w:rPr>
        <w:t>Sales Agreement</w:t>
      </w:r>
      <w:r>
        <w:rPr>
          <w:rFonts w:ascii="Times New Roman" w:cs="Times New Roman" w:eastAsia="Times New Roman" w:hAnsi="Times New Roman"/>
          <w:sz w:val="18"/>
          <w:szCs w:val="18"/>
          <w:color w:val="auto"/>
        </w:rPr>
        <w:t>”), between the Company and Canaccord Genuity LLC and Needham &amp;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LLC, to issue and sell to [Canaccord Genuity LLC] [Needham &amp; Company, LLC] (the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the securities specified in the Schedule hereto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Purchased Securities</w:t>
      </w:r>
      <w:r>
        <w:rPr>
          <w:rFonts w:ascii="Times New Roman" w:cs="Times New Roman" w:eastAsia="Times New Roman" w:hAnsi="Times New Roman"/>
          <w:sz w:val="18"/>
          <w:szCs w:val="18"/>
          <w:color w:val="auto"/>
        </w:rPr>
        <w:t>”) [, and solely for the purpose of covering over-allotments, to grant to such Agent the option to purchase the additional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specified in the Schedule hereto (the “</w:t>
      </w:r>
      <w:r>
        <w:rPr>
          <w:rFonts w:ascii="Times New Roman" w:cs="Times New Roman" w:eastAsia="Times New Roman" w:hAnsi="Times New Roman"/>
          <w:sz w:val="18"/>
          <w:szCs w:val="18"/>
          <w:u w:val="single" w:color="auto"/>
          <w:color w:val="auto"/>
        </w:rPr>
        <w:t>Additional Securities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[The Agent shall have the right to purchase from the Company all or a portion of the Additional Securities as may be necessary to cover over-allotments made in connection with the offering of the Purchased Securities, at the same purchase price per share to be paid by the Agent to the Company for the Purchased Securities. This option may be exercised by the Agent at any time (but not more than once) on or before the thirtieth day following the date hereof, by written notice to the Company. Such notice shall set forth the aggregate number of shares of Additional Securities as to which the option is being exercised, and the date and time when the Additional Securities are to be delivered (such date and time being herein referred to as the “</w:t>
      </w:r>
      <w:r>
        <w:rPr>
          <w:rFonts w:ascii="Times New Roman" w:cs="Times New Roman" w:eastAsia="Times New Roman" w:hAnsi="Times New Roman"/>
          <w:sz w:val="18"/>
          <w:szCs w:val="18"/>
          <w:u w:val="single" w:color="auto"/>
          <w:color w:val="auto"/>
        </w:rPr>
        <w:t>Option Closing Date</w:t>
      </w:r>
      <w:r>
        <w:rPr>
          <w:rFonts w:ascii="Times New Roman" w:cs="Times New Roman" w:eastAsia="Times New Roman" w:hAnsi="Times New Roman"/>
          <w:sz w:val="18"/>
          <w:szCs w:val="18"/>
          <w:color w:val="auto"/>
        </w:rPr>
        <w:t>”); provided, however, that the Option Closing Date shall not be earlier than the Time of Delivery (as set forth in the Schedule hereto) nor earlier than the first business day after the date on which the option shall have been exercised nor later than the fifth business day after the date on which the option shall have been exercised. Payment of the purchase price for the Additional Securities shall be made at the Option Closing Date in the same manner and at the same office as the payment for the Purchased Securities.]*</w:t>
      </w:r>
    </w:p>
    <w:p>
      <w:pPr>
        <w:spacing w:after="0" w:line="188"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Each of the provisions of the Sales Agreement not specifically related to the solicitation by the Agent, as agent of the Company, of offers to purchase securities is incorporated herein by reference in its entirety, and shall be deemed to be part of this Terms Agreement to the same extent as if such provisions had been set forth in full herein. Each of the representations and warranties set forth therein shall be deemed to have been made at and as of the date of this Terms Agreement [and] [,] the Applicable Time [and any Option Closing Date]*, except that each representation and warranty in Section 1 of the Sales Agreement which makes reference to the Prospectus (as therein defined) shall be deemed to be a</w:t>
      </w:r>
    </w:p>
    <w:p>
      <w:pPr>
        <w:sectPr>
          <w:pgSz w:w="11900" w:h="16838" w:orient="portrait"/>
          <w:cols w:equalWidth="0" w:num="1">
            <w:col w:w="11020"/>
          </w:cols>
          <w:pgMar w:left="440" w:top="266" w:right="439" w:bottom="1440" w:gutter="0" w:footer="0" w:header="0"/>
        </w:sectPr>
      </w:pPr>
    </w:p>
    <w:bookmarkStart w:id="32" w:name="page33"/>
    <w:bookmarkEnd w:id="32"/>
    <w:p>
      <w:pPr>
        <w:ind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representation and warranty as of the date of the Sales Agreement in relation to the Prospectus, and also a representation and warranty as of the date of this Terms Agreement (unless such representation or warranty specifies otherwise) [and] [,] the Settlement Date [and any Option Closing Date]* in relation to the Prospectus as amended and supplemented to relate to the Purchased Securities.</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An amendment to the Registration Statement (as defined in the Sales Agreement), or a supplement to the Prospectus, as the case may be, relating to the Purchased Securities [and the Additional Securities]*, in the form heretofore delivered to the Agent is now proposed to be filed with the Securities and Exchange Commission.</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set forth herein and in the Sales Agreement which are incorporated herein by reference, the Company agrees to issue and sell to the Agent and the latter agrees to purchase from the Company the number of shares of the Purchased Securities at the time and place and at the purchase price set forth in the Schedule hereto.</w:t>
      </w:r>
    </w:p>
    <w:p>
      <w:pPr>
        <w:spacing w:after="0" w:line="176"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If the foregoing is in accordance with your understanding of our agreement, please sign and return to the Company a counterpart hereof, whereupon this instrument, along with all counterparts, will become a binding agreement between the Agent and the Company in accordance with its terms.</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PULSE BIOSCIENCES,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17145</wp:posOffset>
            </wp:positionV>
            <wp:extent cx="24599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as of the date hereof: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[CANACCORD GENUITY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[NEEDHAM &amp; COMPANY, LLC]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17145</wp:posOffset>
            </wp:positionV>
            <wp:extent cx="24345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Include only if the Agent has an over-allotment option.</w:t>
      </w:r>
    </w:p>
    <w:p>
      <w:pPr>
        <w:sectPr>
          <w:pgSz w:w="11900" w:h="16838" w:orient="portrait"/>
          <w:cols w:equalWidth="0" w:num="1">
            <w:col w:w="11000"/>
          </w:cols>
          <w:pgMar w:left="440" w:top="270" w:right="45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817370" cy="3086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1737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8"/>
          <w:szCs w:val="18"/>
          <w:b w:val="1"/>
          <w:bCs w:val="1"/>
          <w:color w:val="auto"/>
        </w:rPr>
        <w:t>Baker &amp; Hostetler LLP</w:t>
      </w:r>
    </w:p>
    <w:p>
      <w:pPr>
        <w:spacing w:after="0" w:line="31"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8"/>
          <w:szCs w:val="18"/>
          <w:color w:val="auto"/>
        </w:rPr>
        <w:t>45 Rockefeller Plaza</w:t>
      </w:r>
    </w:p>
    <w:p>
      <w:pPr>
        <w:spacing w:after="0" w:line="9"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8"/>
          <w:szCs w:val="18"/>
          <w:color w:val="auto"/>
        </w:rPr>
        <w:t>New York, NY 10111</w:t>
      </w:r>
    </w:p>
    <w:p>
      <w:pPr>
        <w:spacing w:after="0" w:line="23"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8"/>
          <w:szCs w:val="18"/>
          <w:color w:val="auto"/>
        </w:rPr>
        <w:t>T 212.589.4200</w:t>
      </w:r>
    </w:p>
    <w:p>
      <w:pPr>
        <w:spacing w:after="0" w:line="9"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8"/>
          <w:szCs w:val="18"/>
          <w:color w:val="auto"/>
        </w:rPr>
        <w:t>F 212.589.4201</w:t>
      </w:r>
    </w:p>
    <w:p>
      <w:pPr>
        <w:spacing w:after="0" w:line="9"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8"/>
          <w:szCs w:val="18"/>
          <w:color w:val="auto"/>
        </w:rPr>
        <w:t>www.bakerlaw.com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15,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Pulse Biosciences,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601 Brickell Key Drive, Suite 1000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Miami, FL 33131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We have acted as counsel to Pulse Biosciences,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filing of the Company’s Registration Statement on Form S-3 (Registration No. 333-278322)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which was declared effective on April 8 2024, and the related Registration Statement on Form S-3 (Registration No. 333-[•]) filed with the Commission pursuant to Rule 462(b) of the Securities Act of 1933, as amended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on July 15, 2024 (collectively,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and the Prospectus Supplement, dated July 15, 2024 (the “</w:t>
      </w:r>
      <w:r>
        <w:rPr>
          <w:rFonts w:ascii="Times New Roman" w:cs="Times New Roman" w:eastAsia="Times New Roman" w:hAnsi="Times New Roman"/>
          <w:sz w:val="18"/>
          <w:szCs w:val="18"/>
          <w:b w:val="1"/>
          <w:bCs w:val="1"/>
          <w:i w:val="1"/>
          <w:iCs w:val="1"/>
          <w:color w:val="auto"/>
        </w:rPr>
        <w:t>Prospectus Supplement</w:t>
      </w:r>
      <w:r>
        <w:rPr>
          <w:rFonts w:ascii="Times New Roman" w:cs="Times New Roman" w:eastAsia="Times New Roman" w:hAnsi="Times New Roman"/>
          <w:sz w:val="18"/>
          <w:szCs w:val="18"/>
          <w:color w:val="auto"/>
        </w:rPr>
        <w:t>”). The Prospectus Supplement relates to the offer and sale from time to time of shares of the Company’s common stock, par value $0.001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up to a maximum aggregate amount of $60.0 million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pursuant to an Equity Distribution Agreement, dated July 15, 2024, among the Company, Canaccord Genuity LLC and Needham &amp; Company, LLC (the “</w:t>
      </w:r>
      <w:r>
        <w:rPr>
          <w:rFonts w:ascii="Times New Roman" w:cs="Times New Roman" w:eastAsia="Times New Roman" w:hAnsi="Times New Roman"/>
          <w:sz w:val="18"/>
          <w:szCs w:val="18"/>
          <w:b w:val="1"/>
          <w:bCs w:val="1"/>
          <w:i w:val="1"/>
          <w:iCs w:val="1"/>
          <w:color w:val="auto"/>
        </w:rPr>
        <w:t>Distribution Agreement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440" w:firstLine="440"/>
        <w:spacing w:after="0" w:line="261" w:lineRule="auto"/>
        <w:rPr>
          <w:sz w:val="20"/>
          <w:szCs w:val="20"/>
          <w:color w:val="auto"/>
        </w:rPr>
      </w:pPr>
      <w:r>
        <w:rPr>
          <w:rFonts w:ascii="Times New Roman" w:cs="Times New Roman" w:eastAsia="Times New Roman" w:hAnsi="Times New Roman"/>
          <w:sz w:val="18"/>
          <w:szCs w:val="18"/>
          <w:color w:val="auto"/>
        </w:rPr>
        <w:t>We have examined such documents and such matters of fact and law as we deem necessary to render the opinions contained herein. In our examination, we have assumed, but have not independently verified, the genuineness of all signatures, the conformity to original documents of all documents submitted to us as certified, facsimile or other copies, and the authenticity of all such documents. As to questions of fact material to this opinion, we have relied on certificates or comparable documents of public officials and of officers and representatives of the Company.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purposes of this opinion, we have assumed that:</w:t>
      </w:r>
    </w:p>
    <w:p>
      <w:pPr>
        <w:spacing w:after="0" w:line="131" w:lineRule="exact"/>
        <w:rPr>
          <w:sz w:val="20"/>
          <w:szCs w:val="20"/>
          <w:color w:val="auto"/>
        </w:rPr>
      </w:pPr>
    </w:p>
    <w:p>
      <w:pPr>
        <w:ind w:left="960" w:hanging="532"/>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will remain effective at the time of issuance and sale of the Shares;</w:t>
      </w:r>
    </w:p>
    <w:p>
      <w:pPr>
        <w:spacing w:after="0" w:line="130" w:lineRule="exact"/>
        <w:rPr>
          <w:rFonts w:ascii="Times New Roman" w:cs="Times New Roman" w:eastAsia="Times New Roman" w:hAnsi="Times New Roman"/>
          <w:sz w:val="18"/>
          <w:szCs w:val="18"/>
          <w:color w:val="auto"/>
        </w:rPr>
      </w:pPr>
    </w:p>
    <w:p>
      <w:pPr>
        <w:ind w:left="960" w:right="300" w:hanging="532"/>
        <w:spacing w:after="0" w:line="282" w:lineRule="auto"/>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will be sold at prices and other terms authorized by the Company’s Board of Directors or another duly authorized committee thereof; and</w:t>
      </w:r>
    </w:p>
    <w:p>
      <w:pPr>
        <w:spacing w:after="0" w:line="67"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the issuance and sale of the Shares, a sufficient number of shares of Common Stock will remain authorized and available for issuance pursuant to the Company’s Amended and Restated Certificate of Incorporation, as it then may be amended.</w:t>
      </w:r>
    </w:p>
    <w:p>
      <w:pPr>
        <w:spacing w:after="0" w:line="162"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Based on the foregoing, and subject to the qualifications stated herein, we are of the opinion that the Shares offered pursuant to the Registration Statement will be validly issued, fully paid and non-assessable.</w:t>
      </w:r>
    </w:p>
    <w:p>
      <w:pPr>
        <w:spacing w:after="0" w:line="162"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The opinions expressed herein are limited to the General Corporation Law of the State of Delaware and we express no opinion as to the effect on the matters covered by this letter of the laws of any other jurisdiction.</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letter as Exhibit 5.1 to a Current Report on Form 8-K that will be filed by the Company and incorporated by reference into the Registration Statement and to the reference to our firm in the Prospectus Supplement under the heading “Legal Matters.” In giving such consent, we do not hereby admit that we are in the category of persons whose consent is required under Section 7 of the Securities Act of 1933, as amended, or the rules and regulations of the Commission.</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Baker &amp; Hostetler LLP</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BAKER &amp; HOSTETLER LLP</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Atlanta   Chicago   Cincinnati   Cleveland   Columbus   Costa Mesa   Dallas   Denver   Houston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Los Angeles   New York   Orlando Philadelphia   San Francisco   Seattle   Washington, DC   Wilmington</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1)"/>
      <w:numFmt w:val="decimal"/>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1)"/>
      <w:numFmt w:val="lowerLetter"/>
      <w:start w:val="1"/>
    </w:lvl>
  </w:abstractNum>
  <w:abstractNum w:abstractNumId="4">
    <w:nsid w:val="721DA317"/>
    <w:multiLevelType w:val="hybridMultilevel"/>
    <w:lvl w:ilvl="0">
      <w:lvlJc w:val="left"/>
      <w:lvlText w:val="(%1)"/>
      <w:numFmt w:val="lowerLetter"/>
      <w:start w:val="2"/>
    </w:lvl>
  </w:abstractNum>
  <w:abstractNum w:abstractNumId="5">
    <w:nsid w:val="2443A858"/>
    <w:multiLevelType w:val="hybridMultilevel"/>
    <w:lvl w:ilvl="0">
      <w:lvlJc w:val="left"/>
      <w:lvlText w:val="(%1)"/>
      <w:numFmt w:val="lowerLetter"/>
      <w:start w:val="3"/>
    </w:lvl>
  </w:abstractNum>
  <w:abstractNum w:abstractNumId="6">
    <w:nsid w:val="2D1D5AE9"/>
    <w:multiLevelType w:val="hybridMultilevel"/>
    <w:lvl w:ilvl="0">
      <w:lvlJc w:val="left"/>
      <w:lvlText w:val="(%1)"/>
      <w:numFmt w:val="lowerLetter"/>
      <w:start w:val="9"/>
    </w:lvl>
  </w:abstractNum>
  <w:abstractNum w:abstractNumId="7">
    <w:nsid w:val="6763845E"/>
    <w:multiLevelType w:val="hybridMultilevel"/>
    <w:lvl w:ilvl="0">
      <w:lvlJc w:val="left"/>
      <w:lvlText w:val="(%1)"/>
      <w:numFmt w:val="lowerLetter"/>
      <w:start w:val="61"/>
    </w:lvl>
    <w:lvl w:ilvl="1">
      <w:lvlJc w:val="left"/>
      <w:lvlText w:val="(%2)"/>
      <w:numFmt w:val="lowerLetter"/>
      <w:start w:val="11"/>
    </w:lvl>
  </w:abstractNum>
  <w:abstractNum w:abstractNumId="8">
    <w:nsid w:val="75A2A8D4"/>
    <w:multiLevelType w:val="hybridMultilevel"/>
    <w:lvl w:ilvl="0">
      <w:lvlJc w:val="left"/>
      <w:lvlText w:val="%1"/>
      <w:numFmt w:val="lowerLetter"/>
      <w:start w:val="1"/>
    </w:lvl>
    <w:lvl w:ilvl="1">
      <w:lvlJc w:val="left"/>
      <w:lvlText w:val="(%2)"/>
      <w:numFmt w:val="lowerLetter"/>
      <w:start w:val="16"/>
    </w:lvl>
  </w:abstractNum>
  <w:abstractNum w:abstractNumId="9">
    <w:nsid w:val="8EDBDAB"/>
    <w:multiLevelType w:val="hybridMultilevel"/>
    <w:lvl w:ilvl="0">
      <w:lvlJc w:val="left"/>
      <w:lvlText w:val="(%1)"/>
      <w:numFmt w:val="lowerLetter"/>
      <w:start w:val="3"/>
    </w:lvl>
    <w:lvl w:ilvl="1">
      <w:lvlJc w:val="left"/>
      <w:lvlText w:val="(%2)"/>
      <w:numFmt w:val="lowerLetter"/>
      <w:start w:val="19"/>
    </w:lvl>
  </w:abstractNum>
  <w:abstractNum w:abstractNumId="10">
    <w:nsid w:val="79838CB2"/>
    <w:multiLevelType w:val="hybridMultilevel"/>
    <w:lvl w:ilvl="0">
      <w:lvlJc w:val="left"/>
      <w:lvlText w:val="%1"/>
      <w:numFmt w:val="upperLetter"/>
      <w:start w:val="1"/>
    </w:lvl>
    <w:lvl w:ilvl="1">
      <w:lvlJc w:val="left"/>
      <w:lvlText w:val="(%2)"/>
      <w:numFmt w:val="lowerLetter"/>
      <w:start w:val="21"/>
    </w:lvl>
  </w:abstractNum>
  <w:abstractNum w:abstractNumId="11">
    <w:nsid w:val="4353D0CD"/>
    <w:multiLevelType w:val="hybridMultilevel"/>
    <w:lvl w:ilvl="0">
      <w:lvlJc w:val="left"/>
      <w:lvlText w:val="(%1)"/>
      <w:numFmt w:val="upperLetter"/>
      <w:start w:val="2"/>
    </w:lvl>
    <w:lvl w:ilvl="1">
      <w:lvlJc w:val="left"/>
      <w:lvlText w:val="(%2)"/>
      <w:numFmt w:val="lowerLetter"/>
      <w:start w:val="23"/>
    </w:lvl>
  </w:abstractNum>
  <w:abstractNum w:abstractNumId="12">
    <w:nsid w:val="B03E0C6"/>
    <w:multiLevelType w:val="hybridMultilevel"/>
    <w:lvl w:ilvl="0">
      <w:lvlJc w:val="left"/>
      <w:lvlText w:val="(%1)"/>
      <w:numFmt w:val="lowerLetter"/>
      <w:start w:val="27"/>
    </w:lvl>
  </w:abstractNum>
  <w:abstractNum w:abstractNumId="13">
    <w:nsid w:val="189A769B"/>
    <w:multiLevelType w:val="hybridMultilevel"/>
    <w:lvl w:ilvl="0">
      <w:lvlJc w:val="left"/>
      <w:lvlText w:val="(%1)"/>
      <w:numFmt w:val="lowerLetter"/>
      <w:start w:val="33"/>
    </w:lvl>
  </w:abstractNum>
  <w:abstractNum w:abstractNumId="14">
    <w:nsid w:val="54E49EB4"/>
    <w:multiLevelType w:val="hybridMultilevel"/>
    <w:lvl w:ilvl="0">
      <w:lvlJc w:val="left"/>
      <w:lvlText w:val="%1"/>
      <w:numFmt w:val="lowerLetter"/>
      <w:start w:val="1"/>
    </w:lvl>
    <w:lvl w:ilvl="1">
      <w:lvlJc w:val="left"/>
      <w:lvlText w:val="(%2)"/>
      <w:numFmt w:val="lowerLetter"/>
      <w:start w:val="36"/>
    </w:lvl>
  </w:abstractNum>
  <w:abstractNum w:abstractNumId="15">
    <w:nsid w:val="71F32454"/>
    <w:multiLevelType w:val="hybridMultilevel"/>
    <w:lvl w:ilvl="0">
      <w:lvlJc w:val="left"/>
      <w:lvlText w:val="(%1)"/>
      <w:numFmt w:val="lowerLetter"/>
      <w:start w:val="25"/>
    </w:lvl>
    <w:lvl w:ilvl="1">
      <w:lvlJc w:val="left"/>
      <w:lvlText w:val="%2"/>
      <w:numFmt w:val="lowerLetter"/>
      <w:start w:val="1"/>
    </w:lvl>
  </w:abstractNum>
  <w:abstractNum w:abstractNumId="16">
    <w:nsid w:val="2CA88611"/>
    <w:multiLevelType w:val="hybridMultilevel"/>
    <w:lvl w:ilvl="0">
      <w:lvlJc w:val="left"/>
      <w:lvlText w:val="(%1)"/>
      <w:numFmt w:val="lowerLetter"/>
      <w:start w:val="1"/>
    </w:lvl>
  </w:abstractNum>
  <w:abstractNum w:abstractNumId="17">
    <w:nsid w:val="836C40E"/>
    <w:multiLevelType w:val="hybridMultilevel"/>
    <w:lvl w:ilvl="0">
      <w:lvlJc w:val="left"/>
      <w:lvlText w:val="(%1)"/>
      <w:numFmt w:val="lowerLetter"/>
      <w:start w:val="3"/>
    </w:lvl>
  </w:abstractNum>
  <w:abstractNum w:abstractNumId="18">
    <w:nsid w:val="2901D82"/>
    <w:multiLevelType w:val="hybridMultilevel"/>
    <w:lvl w:ilvl="0">
      <w:lvlJc w:val="left"/>
      <w:lvlText w:val="(%1)"/>
      <w:numFmt w:val="lowerLetter"/>
      <w:start w:val="6"/>
    </w:lvl>
  </w:abstractNum>
  <w:abstractNum w:abstractNumId="19">
    <w:nsid w:val="3A95F874"/>
    <w:multiLevelType w:val="hybridMultilevel"/>
    <w:lvl w:ilvl="0">
      <w:lvlJc w:val="left"/>
      <w:lvlText w:val="(%1)"/>
      <w:numFmt w:val="lowerLetter"/>
      <w:start w:val="1"/>
    </w:lvl>
  </w:abstractNum>
  <w:abstractNum w:abstractNumId="20">
    <w:nsid w:val="8138641"/>
    <w:multiLevelType w:val="hybridMultilevel"/>
    <w:lvl w:ilvl="0">
      <w:lvlJc w:val="left"/>
      <w:lvlText w:val="(%1)"/>
      <w:numFmt w:val="lowerLetter"/>
      <w:start w:val="2"/>
    </w:lvl>
  </w:abstractNum>
  <w:abstractNum w:abstractNumId="21">
    <w:nsid w:val="1E7FF521"/>
    <w:multiLevelType w:val="hybridMultilevel"/>
    <w:lvl w:ilvl="0">
      <w:lvlJc w:val="left"/>
      <w:lvlText w:val="(%1)"/>
      <w:numFmt w:val="lowerLetter"/>
      <w:start w:val="5"/>
    </w:lvl>
  </w:abstractNum>
  <w:abstractNum w:abstractNumId="22">
    <w:nsid w:val="7C3DBD3D"/>
    <w:multiLevelType w:val="hybridMultilevel"/>
    <w:lvl w:ilvl="0">
      <w:lvlJc w:val="left"/>
      <w:lvlText w:val="%1"/>
      <w:numFmt w:val="lowerLetter"/>
      <w:start w:val="1"/>
    </w:lvl>
    <w:lvl w:ilvl="1">
      <w:lvlJc w:val="left"/>
      <w:lvlText w:val="(%2)"/>
      <w:numFmt w:val="lowerLetter"/>
      <w:start w:val="10"/>
    </w:lvl>
  </w:abstractNum>
  <w:abstractNum w:abstractNumId="23">
    <w:nsid w:val="737B8DDC"/>
    <w:multiLevelType w:val="hybridMultilevel"/>
    <w:lvl w:ilvl="0">
      <w:lvlJc w:val="left"/>
      <w:lvlText w:val="(%1)"/>
      <w:numFmt w:val="lowerLetter"/>
      <w:start w:val="35"/>
    </w:lvl>
    <w:lvl w:ilvl="1">
      <w:lvlJc w:val="left"/>
      <w:lvlText w:val="(%2)"/>
      <w:numFmt w:val="lowerLetter"/>
      <w:start w:val="11"/>
    </w:lvl>
  </w:abstractNum>
  <w:abstractNum w:abstractNumId="24">
    <w:nsid w:val="6CEAF087"/>
    <w:multiLevelType w:val="hybridMultilevel"/>
    <w:lvl w:ilvl="0">
      <w:lvlJc w:val="left"/>
      <w:lvlText w:val="(%1)"/>
      <w:numFmt w:val="lowerLetter"/>
      <w:start w:val="35"/>
    </w:lvl>
    <w:lvl w:ilvl="1">
      <w:lvlJc w:val="left"/>
      <w:lvlText w:val="(%2)"/>
      <w:numFmt w:val="lowerLetter"/>
      <w:start w:val="12"/>
    </w:lvl>
  </w:abstractNum>
  <w:abstractNum w:abstractNumId="25">
    <w:nsid w:val="22221A70"/>
    <w:multiLevelType w:val="hybridMultilevel"/>
    <w:lvl w:ilvl="0">
      <w:lvlJc w:val="left"/>
      <w:lvlText w:val="(%1)"/>
      <w:numFmt w:val="lowerLetter"/>
      <w:start w:val="14"/>
    </w:lvl>
  </w:abstractNum>
  <w:abstractNum w:abstractNumId="26">
    <w:nsid w:val="4516DDE9"/>
    <w:multiLevelType w:val="hybridMultilevel"/>
    <w:lvl w:ilvl="0">
      <w:lvlJc w:val="left"/>
      <w:lvlText w:val="(%1)"/>
      <w:numFmt w:val="lowerLetter"/>
      <w:start w:val="1"/>
    </w:lvl>
    <w:lvl w:ilvl="1">
      <w:lvlJc w:val="left"/>
      <w:lvlText w:val="(%2)"/>
      <w:numFmt w:val="lowerLetter"/>
      <w:start w:val="35"/>
    </w:lvl>
  </w:abstractNum>
  <w:abstractNum w:abstractNumId="27">
    <w:nsid w:val="3006C83E"/>
    <w:multiLevelType w:val="hybridMultilevel"/>
    <w:lvl w:ilvl="0">
      <w:lvlJc w:val="left"/>
      <w:lvlText w:val="(%1)"/>
      <w:numFmt w:val="lowerLetter"/>
      <w:start w:val="2"/>
    </w:lvl>
  </w:abstractNum>
  <w:abstractNum w:abstractNumId="28">
    <w:nsid w:val="614FD4A1"/>
    <w:multiLevelType w:val="hybridMultilevel"/>
    <w:lvl w:ilvl="0">
      <w:lvlJc w:val="left"/>
      <w:lvlText w:val="(%1)"/>
      <w:numFmt w:val="lowerRoman"/>
      <w:start w:val="8"/>
    </w:lvl>
  </w:abstractNum>
  <w:abstractNum w:abstractNumId="29">
    <w:nsid w:val="419AC241"/>
    <w:multiLevelType w:val="hybridMultilevel"/>
    <w:lvl w:ilvl="0">
      <w:lvlJc w:val="left"/>
      <w:lvlText w:val="(%1)"/>
      <w:numFmt w:val="lowerLetter"/>
      <w:start w:val="1"/>
    </w:lvl>
  </w:abstractNum>
  <w:abstractNum w:abstractNumId="30">
    <w:nsid w:val="5577F8E1"/>
    <w:multiLevelType w:val="hybridMultilevel"/>
    <w:lvl w:ilvl="0">
      <w:lvlJc w:val="left"/>
      <w:lvlText w:val="(%1)"/>
      <w:numFmt w:val="lowerLetter"/>
      <w:start w:val="2"/>
    </w:lvl>
  </w:abstractNum>
  <w:abstractNum w:abstractNumId="31">
    <w:nsid w:val="440BADFC"/>
    <w:multiLevelType w:val="hybridMultilevel"/>
    <w:lvl w:ilvl="0">
      <w:lvlJc w:val="left"/>
      <w:lvlText w:val="(%1)"/>
      <w:numFmt w:val="lowerLetter"/>
      <w:start w:val="10"/>
    </w:lvl>
  </w:abstractNum>
  <w:abstractNum w:abstractNumId="32">
    <w:nsid w:val="5072367"/>
    <w:multiLevelType w:val="hybridMultilevel"/>
    <w:lvl w:ilvl="0">
      <w:lvlJc w:val="left"/>
      <w:lvlText w:val="(%1)"/>
      <w:numFmt w:val="lowerLetter"/>
      <w:start w:val="1"/>
    </w:lvl>
  </w:abstractNum>
  <w:abstractNum w:abstractNumId="33">
    <w:nsid w:val="3804823E"/>
    <w:multiLevelType w:val="hybridMultilevel"/>
    <w:lvl w:ilvl="0">
      <w:lvlJc w:val="left"/>
      <w:lvlText w:val="%1"/>
      <w:numFmt w:val="lowerLetter"/>
      <w:start w:val="1"/>
    </w:lvl>
    <w:lvl w:ilvl="1">
      <w:lvlJc w:val="left"/>
      <w:lvlText w:val="(%2)"/>
      <w:numFmt w:val="lowerLetter"/>
      <w:start w:val="4"/>
    </w:lvl>
  </w:abstractNum>
  <w:abstractNum w:abstractNumId="34">
    <w:nsid w:val="77465F01"/>
    <w:multiLevelType w:val="hybridMultilevel"/>
    <w:lvl w:ilvl="0">
      <w:lvlJc w:val="left"/>
      <w:lvlText w:val="(%1)"/>
      <w:numFmt w:val="lowerLetter"/>
      <w:start w:val="4"/>
    </w:lvl>
    <w:lvl w:ilvl="1">
      <w:lvlJc w:val="left"/>
      <w:lvlText w:val="%2"/>
      <w:numFmt w:val="lowerLetter"/>
      <w:start w:val="1"/>
    </w:lvl>
  </w:abstractNum>
  <w:abstractNum w:abstractNumId="35">
    <w:nsid w:val="7724C67E"/>
    <w:multiLevelType w:val="hybridMultilevel"/>
    <w:lvl w:ilvl="0">
      <w:lvlJc w:val="left"/>
      <w:lvlText w:val="(%1)"/>
      <w:numFmt w:val="lowerLetter"/>
      <w:start w:val="5"/>
    </w:lvl>
  </w:abstractNum>
  <w:abstractNum w:abstractNumId="36">
    <w:nsid w:val="5C482A97"/>
    <w:multiLevelType w:val="hybridMultilevel"/>
    <w:lvl w:ilvl="0">
      <w:lvlJc w:val="left"/>
      <w:lvlText w:val="(%1)"/>
      <w:numFmt w:val="lowerLetter"/>
      <w:start w:val="1"/>
    </w:lvl>
  </w:abstractNum>
  <w:abstractNum w:abstractNumId="37">
    <w:nsid w:val="2463B9EA"/>
    <w:multiLevelType w:val="hybridMultilevel"/>
    <w:lvl w:ilvl="0">
      <w:lvlJc w:val="left"/>
      <w:lvlText w:val="(%1)"/>
      <w:numFmt w:val="lowerLetter"/>
      <w:start w:val="4"/>
    </w:lvl>
  </w:abstractNum>
  <w:abstractNum w:abstractNumId="38">
    <w:nsid w:val="5E884AD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2024-07-15T06:16:23Z</dcterms:created>
  <dcterms:modified xsi:type="dcterms:W3CDTF">2024-07-15T06:16:23Z</dcterms:modified>
</cp:coreProperties>
</file>