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820" w:right="1280" w:hanging="3812"/>
        <w:spacing w:after="0" w:line="500" w:lineRule="auto"/>
        <w:tabs>
          <w:tab w:leader="none" w:pos="82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688" w:right="339" w:bottom="353" w:gutter="0" w:footer="0" w:header="0"/>
        </w:sectPr>
      </w:pPr>
    </w:p>
    <w:p>
      <w:pPr>
        <w:spacing w:after="0" w:line="23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0" w:lineRule="exact"/>
        <w:rPr>
          <w:sz w:val="24"/>
          <w:szCs w:val="24"/>
          <w:color w:val="auto"/>
        </w:rPr>
      </w:pPr>
    </w:p>
    <w:p>
      <w:pPr>
        <w:sectPr>
          <w:pgSz w:w="11900" w:h="16838" w:orient="portrait"/>
          <w:cols w:equalWidth="0" w:num="2">
            <w:col w:w="6420" w:space="580"/>
            <w:col w:w="4240"/>
          </w:cols>
          <w:pgMar w:left="320" w:top="688" w:right="339" w:bottom="353"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88" w:right="339" w:bottom="353" w:gutter="0" w:footer="0" w:header="0"/>
          <w:type w:val="continuous"/>
        </w:sect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Pulse Biosciences,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20" w:type="dxa"/>
        <w:tblCellMar>
          <w:top w:w="0" w:type="dxa"/>
          <w:left w:w="0" w:type="dxa"/>
          <w:bottom w:w="0" w:type="dxa"/>
          <w:right w:w="0" w:type="dxa"/>
        </w:tblCellMar>
      </w:tblPr>
      <w:tr>
        <w:trPr>
          <w:trHeight w:val="216"/>
        </w:trPr>
        <w:tc>
          <w:tcPr>
            <w:tcW w:w="41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80" w:type="dxa"/>
            <w:vAlign w:val="bottom"/>
          </w:tcPr>
          <w:p>
            <w:pPr>
              <w:spacing w:after="0"/>
              <w:rPr>
                <w:sz w:val="18"/>
                <w:szCs w:val="18"/>
                <w:color w:val="auto"/>
              </w:rPr>
            </w:pPr>
          </w:p>
        </w:tc>
        <w:tc>
          <w:tcPr>
            <w:tcW w:w="360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46-5696597</w:t>
            </w:r>
          </w:p>
        </w:tc>
      </w:tr>
      <w:tr>
        <w:trPr>
          <w:trHeight w:val="216"/>
        </w:trPr>
        <w:tc>
          <w:tcPr>
            <w:tcW w:w="41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480" w:type="dxa"/>
            <w:vAlign w:val="bottom"/>
          </w:tcPr>
          <w:p>
            <w:pPr>
              <w:spacing w:after="0"/>
              <w:rPr>
                <w:sz w:val="18"/>
                <w:szCs w:val="18"/>
                <w:color w:val="auto"/>
              </w:rPr>
            </w:pPr>
          </w:p>
        </w:tc>
        <w:tc>
          <w:tcPr>
            <w:tcW w:w="36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480" w:type="dxa"/>
            <w:vAlign w:val="bottom"/>
          </w:tcPr>
          <w:p>
            <w:pPr>
              <w:spacing w:after="0"/>
              <w:rPr>
                <w:sz w:val="20"/>
                <w:szCs w:val="20"/>
                <w:color w:val="auto"/>
              </w:rPr>
            </w:pPr>
          </w:p>
        </w:tc>
        <w:tc>
          <w:tcPr>
            <w:tcW w:w="36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41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3957 Point Eden Way</w:t>
            </w:r>
          </w:p>
        </w:tc>
        <w:tc>
          <w:tcPr>
            <w:tcW w:w="24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1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Hayward, CA</w:t>
            </w:r>
          </w:p>
        </w:tc>
        <w:tc>
          <w:tcPr>
            <w:tcW w:w="2480" w:type="dxa"/>
            <w:vAlign w:val="bottom"/>
          </w:tcPr>
          <w:p>
            <w:pPr>
              <w:spacing w:after="0"/>
              <w:rPr>
                <w:sz w:val="18"/>
                <w:szCs w:val="18"/>
                <w:color w:val="auto"/>
              </w:rPr>
            </w:pPr>
          </w:p>
        </w:tc>
        <w:tc>
          <w:tcPr>
            <w:tcW w:w="3600" w:type="dxa"/>
            <w:vAlign w:val="bottom"/>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rPr>
              <w:t>94545</w:t>
            </w:r>
          </w:p>
        </w:tc>
      </w:tr>
      <w:tr>
        <w:trPr>
          <w:trHeight w:val="238"/>
        </w:trPr>
        <w:tc>
          <w:tcPr>
            <w:tcW w:w="41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480" w:type="dxa"/>
            <w:vAlign w:val="bottom"/>
          </w:tcPr>
          <w:p>
            <w:pPr>
              <w:spacing w:after="0"/>
              <w:rPr>
                <w:sz w:val="20"/>
                <w:szCs w:val="20"/>
                <w:color w:val="auto"/>
              </w:rPr>
            </w:pPr>
          </w:p>
        </w:tc>
        <w:tc>
          <w:tcPr>
            <w:tcW w:w="36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10"/>
        </w:trPr>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(510) 906-4600</w:t>
            </w:r>
          </w:p>
        </w:tc>
        <w:tc>
          <w:tcPr>
            <w:tcW w:w="3600" w:type="dxa"/>
            <w:vAlign w:val="bottom"/>
          </w:tcPr>
          <w:p>
            <w:pPr>
              <w:spacing w:after="0"/>
              <w:rPr>
                <w:sz w:val="24"/>
                <w:szCs w:val="24"/>
                <w:color w:val="auto"/>
              </w:rPr>
            </w:pPr>
          </w:p>
        </w:tc>
      </w:tr>
      <w:tr>
        <w:trPr>
          <w:trHeight w:val="238"/>
        </w:trPr>
        <w:tc>
          <w:tcPr>
            <w:tcW w:w="102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w:t>
            </w:r>
          </w:p>
        </w:tc>
      </w:tr>
      <w:tr>
        <w:trPr>
          <w:trHeight w:val="270"/>
        </w:trPr>
        <w:tc>
          <w:tcPr>
            <w:tcW w:w="3800" w:type="dxa"/>
            <w:vAlign w:val="bottom"/>
          </w:tcPr>
          <w:p>
            <w:pPr>
              <w:spacing w:after="0"/>
              <w:rPr>
                <w:sz w:val="23"/>
                <w:szCs w:val="23"/>
                <w:color w:val="auto"/>
              </w:rPr>
            </w:pPr>
          </w:p>
        </w:tc>
        <w:tc>
          <w:tcPr>
            <w:tcW w:w="2800" w:type="dxa"/>
            <w:vAlign w:val="bottom"/>
            <w:tcBorders>
              <w:bottom w:val="single" w:sz="8" w:color="auto"/>
            </w:tcBorders>
            <w:gridSpan w:val="2"/>
          </w:tcPr>
          <w:p>
            <w:pPr>
              <w:spacing w:after="0"/>
              <w:rPr>
                <w:sz w:val="23"/>
                <w:szCs w:val="23"/>
                <w:color w:val="auto"/>
              </w:rPr>
            </w:pPr>
          </w:p>
        </w:tc>
        <w:tc>
          <w:tcPr>
            <w:tcW w:w="3600" w:type="dxa"/>
            <w:vAlign w:val="bottom"/>
          </w:tcPr>
          <w:p>
            <w:pPr>
              <w:spacing w:after="0"/>
              <w:rPr>
                <w:sz w:val="23"/>
                <w:szCs w:val="23"/>
                <w:color w:val="auto"/>
              </w:rPr>
            </w:pPr>
          </w:p>
        </w:tc>
      </w:tr>
      <w:tr>
        <w:trPr>
          <w:trHeight w:val="264"/>
        </w:trPr>
        <w:tc>
          <w:tcPr>
            <w:tcW w:w="102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626"/>
        </w:trPr>
        <w:tc>
          <w:tcPr>
            <w:tcW w:w="412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8"/>
        </w:trPr>
        <w:tc>
          <w:tcPr>
            <w:tcW w:w="412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48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7"/>
              </w:rPr>
              <w:t>PLSE</w:t>
            </w:r>
          </w:p>
        </w:tc>
        <w:tc>
          <w:tcPr>
            <w:tcW w:w="36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98"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500"/>
        <w:spacing w:after="0" w:line="207" w:lineRule="exact"/>
        <w:tabs>
          <w:tab w:leader="none" w:pos="88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May 2, 2024: 55,225,333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35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40" w:type="dxa"/>
            <w:vAlign w:val="bottom"/>
            <w:gridSpan w:val="10"/>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6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320" w:type="dxa"/>
            <w:vAlign w:val="bottom"/>
            <w:gridSpan w:val="4"/>
            <w:vMerge w:val="restart"/>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81"/>
        </w:trPr>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60" w:type="dxa"/>
            <w:vAlign w:val="bottom"/>
            <w:tcBorders>
              <w:bottom w:val="single" w:sz="8" w:color="0000EE"/>
            </w:tcBorders>
            <w:gridSpan w:val="8"/>
            <w:vMerge w:val="continue"/>
          </w:tcPr>
          <w:p>
            <w:pPr>
              <w:spacing w:after="0"/>
              <w:rPr>
                <w:sz w:val="15"/>
                <w:szCs w:val="15"/>
                <w:color w:val="auto"/>
              </w:rPr>
            </w:pPr>
          </w:p>
        </w:tc>
        <w:tc>
          <w:tcPr>
            <w:tcW w:w="3320" w:type="dxa"/>
            <w:vAlign w:val="bottom"/>
            <w:gridSpan w:val="4"/>
            <w:vMerge w:val="continue"/>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 Financial Statements (unaudited):</w:t>
            </w:r>
          </w:p>
        </w:tc>
        <w:tc>
          <w:tcPr>
            <w:tcW w:w="7480" w:type="dxa"/>
            <w:vAlign w:val="bottom"/>
            <w:gridSpan w:val="13"/>
          </w:tcPr>
          <w:p>
            <w:pPr>
              <w:spacing w:after="0"/>
              <w:rPr>
                <w:sz w:val="17"/>
                <w:szCs w:val="17"/>
                <w:color w:val="auto"/>
              </w:rPr>
            </w:pPr>
          </w:p>
        </w:tc>
        <w:tc>
          <w:tcPr>
            <w:tcW w:w="7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2024 and December 31, 2023</w:t>
            </w:r>
          </w:p>
        </w:tc>
        <w:tc>
          <w:tcPr>
            <w:tcW w:w="7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Three-Month Periods Ended March 31, 2024 and 2023</w:t>
            </w:r>
          </w:p>
        </w:tc>
        <w:tc>
          <w:tcPr>
            <w:tcW w:w="7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Three-Month Periods Ended March 31, 2024 and 2023</w:t>
            </w:r>
          </w:p>
        </w:tc>
        <w:tc>
          <w:tcPr>
            <w:tcW w:w="18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9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Three-Month Periods Ended March 31, 2024 and 2023</w:t>
            </w:r>
          </w:p>
        </w:tc>
        <w:tc>
          <w:tcPr>
            <w:tcW w:w="1400" w:type="dxa"/>
            <w:vAlign w:val="bottom"/>
            <w:gridSpan w:val="2"/>
          </w:tcPr>
          <w:p>
            <w:pPr>
              <w:spacing w:after="0"/>
              <w:rPr>
                <w:sz w:val="17"/>
                <w:szCs w:val="17"/>
                <w:color w:val="auto"/>
              </w:rPr>
            </w:pPr>
          </w:p>
        </w:tc>
        <w:tc>
          <w:tcPr>
            <w:tcW w:w="7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9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400" w:type="dxa"/>
            <w:vAlign w:val="bottom"/>
            <w:gridSpan w:val="2"/>
          </w:tcPr>
          <w:p>
            <w:pPr>
              <w:spacing w:after="0"/>
              <w:rPr>
                <w:sz w:val="17"/>
                <w:szCs w:val="17"/>
                <w:color w:val="auto"/>
              </w:rPr>
            </w:pPr>
          </w:p>
        </w:tc>
        <w:tc>
          <w:tcPr>
            <w:tcW w:w="7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346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18</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5560" w:type="dxa"/>
            <w:vAlign w:val="bottom"/>
            <w:gridSpan w:val="8"/>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24</w:t>
            </w:r>
          </w:p>
        </w:tc>
        <w:tc>
          <w:tcPr>
            <w:tcW w:w="0" w:type="dxa"/>
            <w:vAlign w:val="bottom"/>
          </w:tcPr>
          <w:p>
            <w:pPr>
              <w:spacing w:after="0"/>
              <w:rPr>
                <w:sz w:val="1"/>
                <w:szCs w:val="1"/>
                <w:color w:val="auto"/>
              </w:rPr>
            </w:pPr>
          </w:p>
        </w:tc>
      </w:tr>
      <w:tr>
        <w:trPr>
          <w:trHeight w:val="196"/>
        </w:trPr>
        <w:tc>
          <w:tcPr>
            <w:tcW w:w="104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7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24</w:t>
            </w: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40" w:type="dxa"/>
            <w:vAlign w:val="bottom"/>
            <w:gridSpan w:val="10"/>
          </w:tcPr>
          <w:p>
            <w:pPr>
              <w:jc w:val="center"/>
              <w:ind w:right="348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 Legal Proceedings</w:t>
            </w:r>
          </w:p>
        </w:tc>
        <w:tc>
          <w:tcPr>
            <w:tcW w:w="2340" w:type="dxa"/>
            <w:vAlign w:val="bottom"/>
            <w:gridSpan w:val="6"/>
          </w:tcPr>
          <w:p>
            <w:pPr>
              <w:spacing w:after="0"/>
              <w:rPr>
                <w:sz w:val="17"/>
                <w:szCs w:val="17"/>
                <w:color w:val="auto"/>
              </w:rPr>
            </w:pPr>
          </w:p>
        </w:tc>
        <w:tc>
          <w:tcPr>
            <w:tcW w:w="2760" w:type="dxa"/>
            <w:vAlign w:val="bottom"/>
            <w:tcBorders>
              <w:top w:val="single" w:sz="8" w:color="0000EE"/>
            </w:tcBorders>
            <w:gridSpan w:val="4"/>
          </w:tcPr>
          <w:p>
            <w:pPr>
              <w:spacing w:after="0"/>
              <w:rPr>
                <w:sz w:val="17"/>
                <w:szCs w:val="17"/>
                <w:color w:val="auto"/>
              </w:rPr>
            </w:pPr>
          </w:p>
        </w:tc>
        <w:tc>
          <w:tcPr>
            <w:tcW w:w="348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25</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 Risk Factors</w:t>
            </w:r>
          </w:p>
        </w:tc>
        <w:tc>
          <w:tcPr>
            <w:tcW w:w="8880" w:type="dxa"/>
            <w:vAlign w:val="bottom"/>
            <w:gridSpan w:val="18"/>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25</w:t>
            </w:r>
          </w:p>
        </w:tc>
        <w:tc>
          <w:tcPr>
            <w:tcW w:w="0" w:type="dxa"/>
            <w:vAlign w:val="bottom"/>
          </w:tcPr>
          <w:p>
            <w:pPr>
              <w:spacing w:after="0"/>
              <w:rPr>
                <w:sz w:val="1"/>
                <w:szCs w:val="1"/>
                <w:color w:val="auto"/>
              </w:rPr>
            </w:pPr>
          </w:p>
        </w:tc>
      </w:tr>
      <w:tr>
        <w:trPr>
          <w:trHeight w:val="196"/>
        </w:trPr>
        <w:tc>
          <w:tcPr>
            <w:tcW w:w="104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7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47</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Default Upon Senior Securities</w:t>
            </w:r>
          </w:p>
        </w:tc>
        <w:tc>
          <w:tcPr>
            <w:tcW w:w="2080" w:type="dxa"/>
            <w:vAlign w:val="bottom"/>
            <w:tcBorders>
              <w:top w:val="single" w:sz="8" w:color="0000EE"/>
            </w:tcBorders>
            <w:gridSpan w:val="5"/>
          </w:tcPr>
          <w:p>
            <w:pPr>
              <w:spacing w:after="0"/>
              <w:rPr>
                <w:sz w:val="17"/>
                <w:szCs w:val="17"/>
                <w:color w:val="auto"/>
              </w:rPr>
            </w:pPr>
          </w:p>
        </w:tc>
        <w:tc>
          <w:tcPr>
            <w:tcW w:w="5580" w:type="dxa"/>
            <w:vAlign w:val="bottom"/>
            <w:gridSpan w:val="9"/>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47</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8140" w:type="dxa"/>
            <w:vAlign w:val="bottom"/>
            <w:gridSpan w:val="15"/>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47</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5. Other Information</w:t>
            </w:r>
          </w:p>
        </w:tc>
        <w:tc>
          <w:tcPr>
            <w:tcW w:w="8600" w:type="dxa"/>
            <w:vAlign w:val="bottom"/>
            <w:gridSpan w:val="17"/>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47</w:t>
            </w:r>
          </w:p>
        </w:tc>
        <w:tc>
          <w:tcPr>
            <w:tcW w:w="0" w:type="dxa"/>
            <w:vAlign w:val="bottom"/>
          </w:tcPr>
          <w:p>
            <w:pPr>
              <w:spacing w:after="0"/>
              <w:rPr>
                <w:sz w:val="1"/>
                <w:szCs w:val="1"/>
                <w:color w:val="auto"/>
              </w:rPr>
            </w:pPr>
          </w:p>
        </w:tc>
      </w:tr>
      <w:tr>
        <w:trPr>
          <w:trHeight w:val="196"/>
        </w:trPr>
        <w:tc>
          <w:tcPr>
            <w:tcW w:w="104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6. Exhibits</w:t>
            </w:r>
          </w:p>
        </w:tc>
        <w:tc>
          <w:tcPr>
            <w:tcW w:w="7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47</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9320" w:type="dxa"/>
            <w:vAlign w:val="bottom"/>
            <w:gridSpan w:val="20"/>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“Pulse Biosciences,” the Pulse logos and other trademarks or service marks that we use in connection with the operation of our business appearing in this annual report on Form 10-K (this "Annual Report"), including CellFX, CellFX CloudConnect, CellFX Marketplace, Nano-pulse Stimulation, nsPFA, CellFX nsPFA, and NPS, are the property of Pulse Biosciences, Inc. Solely for your convenience, some of our trademarks and trade names referred to in this Annual Report are listed without the ® and TM symbols, but we will assert, to the fullest extent under applicable law, our rights to our trademarks and trade names. Also, this Annual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“Pulse,” “Company,” “we,” “us,” and “our,” in this document refer to Pulse Biosciences, Inc., a Delaware corporation, and, where appropriate, its wholly owned subsidiaries.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44,365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45,328</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7,256</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49,164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59,154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liability, current</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6,708</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14,794</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authorized – 50,000 shares; no shares issued and outstanding</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 500,000 shares; issued and outstanding – 55,225 shares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55,144 shares at March 31, 2024 and December 31, 2023 respectively</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383,284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381,220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(347,052)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(336,915)</w:t>
            </w:r>
          </w:p>
        </w:tc>
      </w:tr>
      <w:tr>
        <w:trPr>
          <w:trHeight w:val="210"/>
        </w:trPr>
        <w:tc>
          <w:tcPr>
            <w:tcW w:w="800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44,360</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27305</wp:posOffset>
            </wp:positionV>
            <wp:extent cx="19888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3" w:lineRule="exact"/>
        <w:rPr>
          <w:sz w:val="20"/>
          <w:szCs w:val="20"/>
          <w:color w:val="auto"/>
        </w:rPr>
      </w:pPr>
    </w:p>
    <w:p>
      <w:pPr>
        <w:ind w:left="856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19888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Product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and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 and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Interest income (expense), net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407"/>
        </w:trPr>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5,829</w:t>
            </w:r>
          </w:p>
        </w:tc>
      </w:tr>
      <w:tr>
        <w:trPr>
          <w:trHeight w:val="234"/>
        </w:trPr>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3,733</w:t>
            </w:r>
          </w:p>
        </w:tc>
      </w:tr>
      <w:tr>
        <w:trPr>
          <w:trHeight w:val="210"/>
        </w:trPr>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w:t>
            </w: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60" w:type="dxa"/>
            <w:vAlign w:val="bottom"/>
          </w:tcPr>
          <w:p>
            <w:pPr>
              <w:spacing w:after="0"/>
              <w:rPr>
                <w:sz w:val="18"/>
                <w:szCs w:val="18"/>
                <w:color w:val="auto"/>
              </w:rPr>
            </w:pPr>
          </w:p>
        </w:tc>
      </w:tr>
      <w:tr>
        <w:trPr>
          <w:trHeight w:val="228"/>
        </w:trPr>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(10,615)</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60" w:type="dxa"/>
            <w:vAlign w:val="bottom"/>
          </w:tcPr>
          <w:p>
            <w:pPr>
              <w:spacing w:after="0"/>
              <w:rPr>
                <w:sz w:val="19"/>
                <w:szCs w:val="19"/>
                <w:color w:val="auto"/>
              </w:rPr>
            </w:pPr>
          </w:p>
        </w:tc>
      </w:tr>
      <w:tr>
        <w:trPr>
          <w:trHeight w:val="414"/>
        </w:trPr>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-1405255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-1122045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-839470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-556895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-273685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80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other income (expense)</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(239)</w:t>
            </w:r>
          </w:p>
        </w:tc>
      </w:tr>
      <w:tr>
        <w:trPr>
          <w:trHeight w:val="20"/>
        </w:trPr>
        <w:tc>
          <w:tcPr>
            <w:tcW w:w="80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(10,137)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(9,801)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(10,137)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(9,801)</w:t>
            </w: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(10,137)</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(9,801)</w:t>
            </w: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used to compute net loss per common share — basic and diluted</w:t>
            </w:r>
          </w:p>
        </w:tc>
        <w:tc>
          <w:tcPr>
            <w:tcW w:w="5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55,172</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37,390</w:t>
            </w:r>
          </w:p>
        </w:tc>
        <w:tc>
          <w:tcPr>
            <w:tcW w:w="100" w:type="dxa"/>
            <w:vAlign w:val="bottom"/>
            <w:tcBorders>
              <w:top w:val="single" w:sz="8" w:color="CCEEFF"/>
            </w:tcBorders>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(10,137)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(9,801)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receivables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Right-of-use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Lease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interest on related party note payable</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(6,570)</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exercises of warrants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Payments made on related party note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(7,041)</w:t>
            </w: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34,885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54,098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40" w:type="dxa"/>
            <w:vAlign w:val="bottom"/>
            <w:gridSpan w:val="7"/>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20" w:type="dxa"/>
            <w:vAlign w:val="bottom"/>
            <w:gridSpan w:val="10"/>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 (Deficit)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60" w:type="dxa"/>
            <w:vAlign w:val="bottom"/>
            <w:gridSpan w:val="5"/>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55,144</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381,220</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(336,915)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44,360</w:t>
            </w:r>
          </w:p>
        </w:tc>
        <w:tc>
          <w:tcPr>
            <w:tcW w:w="0" w:type="dxa"/>
            <w:vAlign w:val="bottom"/>
          </w:tcPr>
          <w:p>
            <w:pPr>
              <w:spacing w:after="0"/>
              <w:rPr>
                <w:sz w:val="1"/>
                <w:szCs w:val="1"/>
                <w:color w:val="auto"/>
              </w:rPr>
            </w:pPr>
          </w:p>
        </w:tc>
      </w:tr>
      <w:tr>
        <w:trPr>
          <w:trHeight w:val="191"/>
        </w:trPr>
        <w:tc>
          <w:tcPr>
            <w:tcW w:w="3320" w:type="dxa"/>
            <w:vAlign w:val="bottom"/>
            <w:tcBorders>
              <w:top w:val="single" w:sz="8" w:color="CCEEFF"/>
            </w:tcBorders>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1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198"/>
        </w:trPr>
        <w:tc>
          <w:tcPr>
            <w:tcW w:w="3320" w:type="dxa"/>
            <w:vAlign w:val="bottom"/>
            <w:tcBorders>
              <w:right w:val="single" w:sz="8" w:color="CCEEFF"/>
            </w:tcBorders>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stock options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1,759</w:t>
            </w:r>
          </w:p>
        </w:tc>
        <w:tc>
          <w:tcPr>
            <w:tcW w:w="100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16"/>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(10,137)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4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383,284</w:t>
            </w:r>
          </w:p>
        </w:tc>
        <w:tc>
          <w:tcPr>
            <w:tcW w:w="1000" w:type="dxa"/>
            <w:vAlign w:val="bottom"/>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(347,052)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36,287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60" w:type="dxa"/>
            <w:vAlign w:val="bottom"/>
            <w:gridSpan w:val="5"/>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37,235</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292,420</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(294,705)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191"/>
        </w:trPr>
        <w:tc>
          <w:tcPr>
            <w:tcW w:w="3320" w:type="dxa"/>
            <w:vAlign w:val="bottom"/>
            <w:tcBorders>
              <w:top w:val="single" w:sz="8" w:color="CCEEFF"/>
            </w:tcBorders>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Issuance of shares under employee stock</w:t>
            </w:r>
          </w:p>
        </w:tc>
        <w:tc>
          <w:tcPr>
            <w:tcW w:w="11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198"/>
        </w:trPr>
        <w:tc>
          <w:tcPr>
            <w:tcW w:w="3320" w:type="dxa"/>
            <w:vAlign w:val="bottom"/>
            <w:tcBorders>
              <w:right w:val="single" w:sz="8" w:color="CCEEFF"/>
            </w:tcBorders>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upon exercise of</w:t>
            </w:r>
          </w:p>
        </w:tc>
        <w:tc>
          <w:tcPr>
            <w:tcW w:w="1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10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896</w:t>
            </w:r>
          </w:p>
        </w:tc>
        <w:tc>
          <w:tcPr>
            <w:tcW w:w="100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16"/>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(9,801)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(9,801)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4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37,593</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293,801</w:t>
            </w:r>
          </w:p>
        </w:tc>
        <w:tc>
          <w:tcPr>
            <w:tcW w:w="1000" w:type="dxa"/>
            <w:vAlign w:val="bottom"/>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(304,506)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(10,668)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Pulse Biosciences, Inc. is a novel bioelectric medicine company committed to health innovation using its patented Nano-pulse Stimulation ("NPS") technology, a revolutionary energy modality that delivers nanosecond-duration pulses of electrical energy, each less than a millionth of a second long, to non-thermally clear targeted cells while sparing adjacent noncellular tissue. NPS technology, also referred to as Nanosecond Pulsed-Field Ablation ("nsPFA") technology when used to ablate cellular tissue, can be used to treat a variety of medical conditions for which an optimal solution remains unfulfilled. The Company developed its proprietary CellFX System, a novel nsPFA delivery platform, and commercialized the initial application of its nsPFA technology to treat benign lesions of the skin. In parallel, the Company has designed a variety of applicators, or end-effectors,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the Company decided in 2022 to focus its primary efforts on the use of nsPFA energy and the CellFX platform in the treatment of atrial fibrillation ("AF") and in a select few other markets where it could have a profound positive impact on healthcare for both patients and providers.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was incorporated in Nevada on May 19, 2014. On June 18, 2018, the Company reincorporated from the State of Nevada to the State of Delaware. The Company is located in Hayward, California. The Company maintains a website at www.pulsebiosciences.com where general information about the Company is available.</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activities are subject to significant risks and uncertainties, including the need for additional capital. The Company does not currently have any material cash flows from operations. It has had minimal revenue and currently generates no revenue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As of March 31, 2024, the Company had an accumulated deficit of $347.1 million, cash outflows from operations of $9.8 million for the three months then ended, cash and cash equivalents of $34.9 million and a net loss of $10.1 million. The Company anticipates net losses for the next several years or until it can generate substantial product revenue and achieve profitability. Based on the Company’s current operating plan, the Company has determined that, with its current financial resources, the Company would be able to operate into the first quarter of 2025. As the Company’s operating plan does not allow the Company to operate for a period of twelve months from the date the condensed consolidated financial statements are issued without additional financing, based on the Accounting Standards Codification (“ASC”) 205-40,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 is required to disclose that substantial doubt regarding the Company’s ability to continue as a going concern exists. This evaluation initially cannot take into consideration the potential mitigating effects of plans that have not been fully implemented as of the date the financial statements are issued. To continue to fund the operations of the Company beyond this time period, management has developed a plan, which primarily consists of raising additional capital through a rights offering expected to close in the second quarter of 2024. Additionally, the Company may utilize some combination of public or private equity offerings, debt financings, or potential new collaborations in the future. There is no assurance, however, that any additional financing or any revenue-generating collaboration will be available when needed or that management of the Company will be able to obtain financing or enter into a collaboration on terms acceptable to the Company. 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basis consistent with the Company’s December 31, 2023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(the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2023 was derived from the audited consolidated financial statements as of that date but does not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10-K for the year ended December 31, 2023. The results of operations for the three-month period ended March 31, 2024, are not necessarily indicative of the results to be expected for the entire year or any future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financial statements of Pulse Biosciences, Inc. and its wholly-owned subsidiaries. Intercompany balances and transactions, if any, have been eliminated in consolidation.</w:t>
      </w:r>
    </w:p>
    <w:p>
      <w:pPr>
        <w:sectPr>
          <w:pgSz w:w="11900" w:h="16838" w:orient="portrait"/>
          <w:cols w:equalWidth="0" w:num="1">
            <w:col w:w="11240"/>
          </w:cols>
          <w:pgMar w:left="320" w:top="121" w:right="339" w:bottom="101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1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U.S. GAAP requires the Company to make estimates that affect the amounts reported in the financial statements and accompanying notes to the financial statements. Estimates include, but are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limited to, the valuation and recognition of stock-based compensation, inventory valuation, warranty obligations, income taxes,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Company’s Annual Report on Form 10-K for the year ended December 31, 2023. The Company continually evaluates the accounting policies and estimates used in preparing the consolidated financial statements. During both the year ended December 31, 2023, and the three-month period ended March 31, 2024, the Company issued stock options to certain employees which contain market conditions related to overall market capitalization. Additionally, the Company has issued stock options to certain employees which contain performance conditions related to certain financial measures and achievements of strategic/operational milestones.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stock-based compensation programs include stock options and an employee stock purchase program.</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periodically issues stock options to officers, directors, employees, and consultants for services rendered.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vesting period. The Company has granted stock options with both time-based as well as performance-based vesting conditions. For stock awards with performance-based vesting conditions, the Company does not recognize compensation expense until it is probable that the performance-based vesting condition will be achieved. The analysis to determine such probability involves estimates and judgements from management and the estimate of expense may be revised periodically.</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also issued certain stock options with market-based vesting conditions. These vesting conditions relate to the achievement of certain market capitalization targets of the Company. The grant date fair value for these stock options was determined using a Monte Carlo simulation. The expense is recognized over the requisite service period for each tranche of the awards.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The Monte Carlo simulation requires the Company to make assumptions and judgements about the variables used in the calculation including the expected term, volatility of the Company's common stock, an assumed risk-free interest rate, and cost of equity. The assumptions used in the option-pricing model represent management’s best estimates. If factors change and different assumptions are used, the Company's stock-based compensation expense could be materially different in the future.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6 for a detailed discussion of the Company’s stock plans and stock-based compensation expense.</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provides a standard warranty on eligible products which provides the customer assurances that the products comply with the agreed-upon specifications. The standard warranty does not provide any services in addition to those assurances. The Company accrued a warranty reserve for products sold based upon the best estimate of the nature, frequency, and costs of future claims. These estimates are inherently uncertain given the short history of sales, and changes to the historical or projected warranty experience may cause material changes to the warranty reserve in the future. In June 2023, the Company reduced the accrued warranty liability to zero. Based upon the Company's shift in focus, there are a limited number of consoles currently covered under the standard warranty. All inventory has been fully written off, therefore the only incremental costs to fulfill a warranty claim in 2024 would be shipping costs or the costs to replace the CellFX nsPFA electrode, which would be immaterial in nature.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6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9"/>
              </w:rPr>
              <w:t>Warranty accrual activity consisted of the following for the three-month periods ended</w:t>
            </w:r>
          </w:p>
        </w:tc>
        <w:tc>
          <w:tcPr>
            <w:tcW w:w="32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March 31, 2024 and 2023 (in thousands):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12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 Accruals for warranties issued during the period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Adjustment for inventory at cost and excessive and obsolete inventory</w:t>
            </w:r>
          </w:p>
        </w:tc>
        <w:tc>
          <w:tcPr>
            <w:tcW w:w="1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1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Basic and diluted net loss per common share is the same for all periods presented because all warrants, stock options and restricted stock units outstanding are anti-dilutive.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outstanding stock options, and warrants were excluded from the computation of diluted net loss per share for the periods presented because including them would have had an anti-dilutive effect: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22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7,208,193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10,096,411</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5,608,210</w:t>
            </w:r>
          </w:p>
        </w:tc>
        <w:tc>
          <w:tcPr>
            <w:tcW w:w="100" w:type="dxa"/>
            <w:vAlign w:val="bottom"/>
          </w:tcPr>
          <w:p>
            <w:pPr>
              <w:spacing w:after="0"/>
              <w:rPr>
                <w:sz w:val="18"/>
                <w:szCs w:val="18"/>
                <w:color w:val="auto"/>
              </w:rPr>
            </w:pPr>
          </w:p>
        </w:tc>
      </w:tr>
      <w:tr>
        <w:trPr>
          <w:trHeight w:val="249"/>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10,096,411</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12,816,403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9"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2024, there were no material changes to the information provided regarding recent accounting pronouncements in Note 2, “Summary of Significant Accounting Policies” in the Company’s Form 10-K for the fiscal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prices included within Level 1, which are directly observable for the asset or liability or indirectly observable through corroboration with observable market data. The Company did not classify any of its investments within Level 2 of the fair value hierarchy.</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measured on a recurring basis as of March 31, 2024 and December 31, 2023, respectively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32,702</w:t>
            </w:r>
          </w:p>
        </w:tc>
      </w:tr>
      <w:tr>
        <w:trPr>
          <w:trHeight w:val="20"/>
        </w:trPr>
        <w:tc>
          <w:tcPr>
            <w:tcW w:w="314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32,702</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32,702</w:t>
            </w:r>
          </w:p>
        </w:tc>
      </w:tr>
      <w:tr>
        <w:trPr>
          <w:trHeight w:val="20"/>
        </w:trPr>
        <w:tc>
          <w:tcPr>
            <w:tcW w:w="3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41,184</w:t>
            </w:r>
          </w:p>
        </w:tc>
      </w:tr>
      <w:tr>
        <w:trPr>
          <w:trHeight w:val="20"/>
        </w:trPr>
        <w:tc>
          <w:tcPr>
            <w:tcW w:w="314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41,184</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41,184</w:t>
            </w:r>
          </w:p>
        </w:tc>
      </w:tr>
      <w:tr>
        <w:trPr>
          <w:trHeight w:val="20"/>
        </w:trPr>
        <w:tc>
          <w:tcPr>
            <w:tcW w:w="3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did not have any financial liabilities measured on a recurring basis as of March 31, 2024 or December 31, 2023.</w:t>
      </w:r>
    </w:p>
    <w:p>
      <w:pPr>
        <w:spacing w:after="0" w:line="248" w:lineRule="exact"/>
        <w:rPr>
          <w:sz w:val="20"/>
          <w:szCs w:val="20"/>
          <w:color w:val="auto"/>
        </w:rPr>
      </w:pPr>
    </w:p>
    <w:p>
      <w:pPr>
        <w:ind w:left="500" w:right="8460" w:hanging="492"/>
        <w:spacing w:after="0" w:line="532" w:lineRule="auto"/>
        <w:tabs>
          <w:tab w:leader="none" w:pos="19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Balance Sheet Components Property and Equipment, Net</w:t>
      </w:r>
    </w:p>
    <w:p>
      <w:pPr>
        <w:spacing w:after="0" w:line="1" w:lineRule="exact"/>
        <w:rPr>
          <w:rFonts w:ascii="Times New Roman" w:cs="Times New Roman" w:eastAsia="Times New Roman" w:hAnsi="Times New Roman"/>
          <w:sz w:val="17"/>
          <w:szCs w:val="17"/>
          <w:b w:val="1"/>
          <w:bCs w:val="1"/>
          <w:color w:val="auto"/>
        </w:rPr>
      </w:pP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(3,476)</w:t>
            </w:r>
          </w:p>
        </w:tc>
      </w:tr>
      <w:tr>
        <w:trPr>
          <w:trHeight w:val="228"/>
        </w:trPr>
        <w:tc>
          <w:tcPr>
            <w:tcW w:w="80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top w:val="single" w:sz="8" w:color="CCEEFF"/>
            </w:tcBorders>
          </w:tcPr>
          <w:p>
            <w:pPr>
              <w:spacing w:after="0"/>
              <w:rPr>
                <w:sz w:val="19"/>
                <w:szCs w:val="19"/>
                <w:color w:val="auto"/>
              </w:rPr>
            </w:pPr>
          </w:p>
        </w:tc>
      </w:tr>
    </w:tbl>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was $0.1 million for each of the three-month periods ended March 31, 2024 and 2023.</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patents and licenses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(6,099)</w:t>
            </w: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schedule of the amortization of intangible assets for the remainder of 2024 and the succeeding two fiscal years is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9 months)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8"/>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1,719</w:t>
            </w:r>
          </w:p>
        </w:tc>
      </w:tr>
      <w:tr>
        <w:trPr>
          <w:trHeight w:val="414"/>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fees and costs</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 2014, the Company acquired three companies (the “Acquisitions”) for aggregate consideration of $5.5 million.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recorded goodwill of $2.8 million in connection with the Acquisitions as the consideration paid exceeded the fair value of the net tangible assets and the intangible assets acquired.</w:t>
      </w:r>
    </w:p>
    <w:p>
      <w:pPr>
        <w:spacing w:after="0" w:line="17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 amended by Accounting Standards Update 2017-04), the Company reviews goodwill for impairment at least annually or whenever any events or circumstances indicate that it is more likely than not that the fair value of a reporting unit is less than its carrying amount. The Company performed an updated goodwill impairment analysis as of March 31, 2024, and it was determined that no impairment of goodwill existed.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6.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Securities Purchase Agreement</w:t>
      </w:r>
    </w:p>
    <w:p>
      <w:pPr>
        <w:spacing w:after="0" w:line="229"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On April 30, 2023, the Company entered into a Securities Purchase Agreement with Robert W. Duggan, the Company’s majority stockholder and Executive Chairman, pursuant to which the Company agreed to issue and sell to Mr. Duggan 10,022,937 shares of the Company’s common stock, par value $0.001 per share, in a Private Placement, at a price per share of $6.51. The parties completed the Private Placement on May 9, 2023, after satisfying all pre-closing conditions, and the Company issued the full number of shares to Mr. Duggan. The shares were paid for through the cancellation of the principal sum of $65.0 million borrowed by the Company pursuant to the 2022 Loan Agreement (See Note 8), together with all accrued and unpaid interest outstanding owed at the time of closing.</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Rights Offerings</w:t>
      </w:r>
    </w:p>
    <w:p>
      <w:pPr>
        <w:spacing w:after="0" w:line="229" w:lineRule="exact"/>
        <w:rPr>
          <w:sz w:val="20"/>
          <w:szCs w:val="20"/>
          <w:color w:val="auto"/>
        </w:rPr>
      </w:pPr>
    </w:p>
    <w:p>
      <w:pPr>
        <w:jc w:val="both"/>
        <w:ind w:left="20" w:firstLine="486"/>
        <w:spacing w:after="0" w:line="254" w:lineRule="auto"/>
        <w:rPr>
          <w:sz w:val="20"/>
          <w:szCs w:val="20"/>
          <w:color w:val="auto"/>
        </w:rPr>
      </w:pPr>
      <w:r>
        <w:rPr>
          <w:rFonts w:ascii="Times New Roman" w:cs="Times New Roman" w:eastAsia="Times New Roman" w:hAnsi="Times New Roman"/>
          <w:sz w:val="18"/>
          <w:szCs w:val="18"/>
          <w:color w:val="auto"/>
        </w:rPr>
        <w:t>On June 9, 2022, the Company completed a rights offering (the “2022 Rights Offering") resulting in the sale of 7,317,072 units (the “Units”), at a price of $2.05 per Unit, with each Unit consisting of one share of the Company’s common stock, par value $0.001 per share, and one warrant (the “2022 Rights Offering Warrants”) to purchase one share of common stock at a price of $2.05 per share. The common stock and warrants comprising the Units separated upon the closing of the 2022 Rights Offering and were issued individually. 7,317,072 shares of common stock and warrants to acquire up to an additional 7,317,072 shares of common stock were issued in the 2022 Rights Offering. The Company received aggregate gross proceeds from the 2022 Rights Offering of $15 million. In May 2023, the Company delivered an irrevocable notice of redemption to warrant holders and, on June 16, 2023, it redeemed the last of the outstanding 2022 Rights Offering Warrants at a price of $0.01 per warrant share. See the Common Stock Warrants section below for further details. Robert W. Duggan, the Company’s majority stockholder and Executive Chairman, purchased approximately 56% of the shares offered through the 2022 Rights Offering.</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jc w:val="both"/>
        <w:ind w:left="20"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2022 Rights Offering, the Company issued 2022 Rights Offering Warrants to purchase a total of 7,317,072 shares of its common stock at an exercise price of $2.05. The 2022 Rights Offering Warrants were subject to redemption by the Company for $0.01 per underlying share of common stock, on not less than 30 days written notice, if the volume weighted average price of the Company’s common stock equals or exceeds 200% of the exercise price for the warrants, subject to adjustment, per share, for 20 consecutive trading days, provided that the Company may not redeem the warrants prior to the date that is three months after the issuance date. On May 10, 2023, the Company issued a press release announcing that on May 9, 2023 the terms for warrant redemption had been met. Pursuant to the redemption, the Company redeemed 66,175 warrants on the redemption date, June 16, 2023. Prior to the redemption date, warrants to purchase 7,250,897 shares were exercised, generating approximately $14.9 million of total gross proceeds to the Company. As of September 30, 2023, there were no 2022 Rights Offering Warrants outstanding.</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 and 2017 Inducement Equity Incentive Plan</w:t>
      </w:r>
    </w:p>
    <w:p>
      <w:pPr>
        <w:spacing w:after="0" w:line="229" w:lineRule="exact"/>
        <w:rPr>
          <w:sz w:val="20"/>
          <w:szCs w:val="20"/>
          <w:color w:val="auto"/>
        </w:rPr>
      </w:pPr>
    </w:p>
    <w:p>
      <w:pPr>
        <w:jc w:val="both"/>
        <w:ind w:left="20" w:firstLine="486"/>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(the “Board”) previously adopted, and the Company’s stockholders approved, the Company’s 2017 Equity Incentive Plan (the “2017 Plan”).</w:t>
      </w:r>
    </w:p>
    <w:p>
      <w:pPr>
        <w:spacing w:after="0" w:line="162" w:lineRule="exact"/>
        <w:rPr>
          <w:sz w:val="20"/>
          <w:szCs w:val="20"/>
          <w:color w:val="auto"/>
        </w:rPr>
      </w:pPr>
    </w:p>
    <w:p>
      <w:pPr>
        <w:jc w:val="both"/>
        <w:ind w:left="20" w:firstLine="486"/>
        <w:spacing w:after="0" w:line="252" w:lineRule="auto"/>
        <w:rPr>
          <w:sz w:val="20"/>
          <w:szCs w:val="20"/>
          <w:color w:val="auto"/>
        </w:rPr>
      </w:pPr>
      <w:r>
        <w:rPr>
          <w:rFonts w:ascii="Times New Roman" w:cs="Times New Roman" w:eastAsia="Times New Roman" w:hAnsi="Times New Roman"/>
          <w:sz w:val="18"/>
          <w:szCs w:val="18"/>
          <w:color w:val="auto"/>
        </w:rPr>
        <w:t>The 2017 Plan has a 10-year term, and provides for the grant of stock options, stock appreciation rights, restricted stock, RSUs,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at both January 1, 2024 and 2023, the number of shares of common stock available under the 2017 Plan increased by 1,200,000, respectively, pursuant to the evergreen provision of the 2017 Plan. Under the evergreen provision of the 2017 Plan, the share increase is determined based on the least of (i) 1,200,000 shares,</w:t>
      </w:r>
    </w:p>
    <w:p>
      <w:pPr>
        <w:spacing w:after="0" w:line="6" w:lineRule="exact"/>
        <w:rPr>
          <w:sz w:val="20"/>
          <w:szCs w:val="20"/>
          <w:color w:val="auto"/>
        </w:rPr>
      </w:pPr>
    </w:p>
    <w:p>
      <w:pPr>
        <w:jc w:val="both"/>
        <w:ind w:left="20" w:firstLine="8"/>
        <w:spacing w:after="0" w:line="253" w:lineRule="auto"/>
        <w:tabs>
          <w:tab w:leader="none" w:pos="2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the Company’s common stock outstanding at December 31 of the immediately preceding year, or (iii) such number of shares as determined by the Board. Additionally, in December 2023, the number of shares of common stock available under the 2017 Plan increased by 1,375,000 shares as a result of a stockholder vote held at a special meeting of stockholders. As of March 31, 2024, 810,758 shares of common stock remained available for issuance under the 2017 Plan.</w:t>
      </w:r>
    </w:p>
    <w:p>
      <w:pPr>
        <w:spacing w:after="0" w:line="189"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During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176" w:lineRule="exact"/>
        <w:rPr>
          <w:sz w:val="20"/>
          <w:szCs w:val="20"/>
          <w:color w:val="auto"/>
        </w:rPr>
      </w:pPr>
    </w:p>
    <w:p>
      <w:pPr>
        <w:jc w:val="both"/>
        <w:ind w:left="20" w:firstLine="486"/>
        <w:spacing w:after="0" w:line="254" w:lineRule="auto"/>
        <w:rPr>
          <w:sz w:val="20"/>
          <w:szCs w:val="20"/>
          <w:color w:val="auto"/>
        </w:rPr>
      </w:pPr>
      <w:r>
        <w:rPr>
          <w:rFonts w:ascii="Times New Roman" w:cs="Times New Roman" w:eastAsia="Times New Roman" w:hAnsi="Times New Roman"/>
          <w:sz w:val="18"/>
          <w:szCs w:val="18"/>
          <w:color w:val="auto"/>
        </w:rPr>
        <w:t>The Inducement Plan has a 10-year term and provides for the grant of equity-based awards, including non-statutory stock options, RSUs,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per year starting upon the first anniversary of the grant. Equity-based awards issued under the Inducement Plan are only issuable to individuals not previously engaged as employees or non-employee directors of the Company prior to the Inducement Plan’s adoption date. In May 2021, the Board approved an amendment to the Inducement Plan to reserve an additional 1,000,000 shares of the Company’s common stock for issuance pursuant to the Inducement Plan. And, in March 2024, the Board approved a second amendment to the Inducement Plan to reserve an additional 2,000,000 shares of the Company’s common stock for issuance pursuant to the Inducement Plan. As of March 31, 2024, 3,249,126 shares of common stock remained available for issuance under the Inducement Plan.</w:t>
      </w:r>
    </w:p>
    <w:p>
      <w:pPr>
        <w:spacing w:after="0" w:line="188" w:lineRule="exact"/>
        <w:rPr>
          <w:sz w:val="20"/>
          <w:szCs w:val="20"/>
          <w:color w:val="auto"/>
        </w:rPr>
      </w:pPr>
    </w:p>
    <w:p>
      <w:pPr>
        <w:jc w:val="both"/>
        <w:ind w:left="20" w:firstLine="486"/>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under the 2015 Plan, 2017 Plan and Inducement Plan for the three-months ended March 31, 2024 is presented below:</w:t>
      </w:r>
    </w:p>
    <w:p>
      <w:pPr>
        <w:spacing w:after="0" w:line="158"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19685</wp:posOffset>
            </wp:positionV>
            <wp:extent cx="30600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ectPr>
          <w:pgSz w:w="11900" w:h="16838" w:orient="portrait"/>
          <w:cols w:equalWidth="0" w:num="1">
            <w:col w:w="11260"/>
          </w:cols>
          <w:pgMar w:left="300" w:top="121" w:right="3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39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39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2023</w:t>
            </w:r>
          </w:p>
        </w:tc>
        <w:tc>
          <w:tcPr>
            <w:tcW w:w="4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9,466,036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4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639,000</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9.00</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4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4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(4,125)</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6.65</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2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17.01</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Balances — March 31, 2024</w:t>
            </w:r>
          </w:p>
        </w:tc>
        <w:tc>
          <w:tcPr>
            <w:tcW w:w="238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10,096,411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r>
      <w:tr>
        <w:trPr>
          <w:trHeight w:val="20"/>
        </w:trPr>
        <w:tc>
          <w:tcPr>
            <w:tcW w:w="3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 March 31, 2024</w:t>
            </w:r>
          </w:p>
        </w:tc>
        <w:tc>
          <w:tcPr>
            <w:tcW w:w="4080" w:type="dxa"/>
            <w:vAlign w:val="bottom"/>
            <w:gridSpan w:val="3"/>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4,021,494</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13.58</w:t>
            </w:r>
          </w:p>
        </w:tc>
        <w:tc>
          <w:tcPr>
            <w:tcW w:w="15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5.41</w:t>
            </w:r>
          </w:p>
        </w:tc>
      </w:tr>
      <w:tr>
        <w:trPr>
          <w:trHeight w:val="413"/>
        </w:trPr>
        <w:tc>
          <w:tcPr>
            <w:tcW w:w="3940" w:type="dxa"/>
            <w:vAlign w:val="bottom"/>
            <w:tcBorders>
              <w:top w:val="single" w:sz="8" w:color="CCEEFF"/>
            </w:tcBorders>
          </w:tcPr>
          <w:p>
            <w:pPr>
              <w:spacing w:after="0"/>
              <w:rPr>
                <w:sz w:val="24"/>
                <w:szCs w:val="24"/>
                <w:color w:val="auto"/>
              </w:rPr>
            </w:pPr>
          </w:p>
        </w:tc>
        <w:tc>
          <w:tcPr>
            <w:tcW w:w="2380" w:type="dxa"/>
            <w:vAlign w:val="bottom"/>
            <w:tcBorders>
              <w:top w:val="single" w:sz="8" w:color="CCEEFF"/>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w:t>
            </w:r>
          </w:p>
        </w:tc>
        <w:tc>
          <w:tcPr>
            <w:tcW w:w="14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94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Time-based Options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awards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summary of the time-based stock option activity under the 2015 Plan, 2017 Plan and Inducement Plan for the three-months ended March 31, 2024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4920" w:type="dxa"/>
            <w:vAlign w:val="bottom"/>
            <w:gridSpan w:val="7"/>
          </w:tcPr>
          <w:p>
            <w:pPr>
              <w:ind w:left="136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r>
      <w:tr>
        <w:trPr>
          <w:trHeight w:val="187"/>
        </w:trPr>
        <w:tc>
          <w:tcPr>
            <w:tcW w:w="63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2023</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6,141,906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8.98</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(1,125)</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16.60</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17.01</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Balances — March 31, 2024</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6,639,281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r>
      <w:tr>
        <w:trPr>
          <w:trHeight w:val="20"/>
        </w:trPr>
        <w:tc>
          <w:tcPr>
            <w:tcW w:w="6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 March 31, 2024</w:t>
            </w:r>
          </w:p>
        </w:tc>
        <w:tc>
          <w:tcPr>
            <w:tcW w:w="170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3,580,866</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14.31</w:t>
            </w:r>
          </w:p>
        </w:tc>
        <w:tc>
          <w:tcPr>
            <w:tcW w:w="15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5.15</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the time-based options granted during the three-month period ended March 31, 2024 was $3.5 million.</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Performance-based Options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Certain stock options awarded by the Company contain performance conditions related to certain financial measures and achievements of strategic and operational milestones. Once a specific performance condition is fulfilled, the associated options will fully vest and become exercisable.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summary of the performance-based option activity under the 2017 Plan and Inducement Plan for the three-months ended March 31, 2024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4920" w:type="dxa"/>
            <w:vAlign w:val="bottom"/>
            <w:gridSpan w:val="7"/>
          </w:tcPr>
          <w:p>
            <w:pPr>
              <w:ind w:left="136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r>
      <w:tr>
        <w:trPr>
          <w:trHeight w:val="187"/>
        </w:trPr>
        <w:tc>
          <w:tcPr>
            <w:tcW w:w="63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2023</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1,224,130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39,000</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8.44</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Balances — March 31, 2024</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1,257,130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w:t>
            </w:r>
          </w:p>
        </w:tc>
      </w:tr>
      <w:tr>
        <w:trPr>
          <w:trHeight w:val="20"/>
        </w:trPr>
        <w:tc>
          <w:tcPr>
            <w:tcW w:w="6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 March 31, 2024</w:t>
            </w:r>
          </w:p>
        </w:tc>
        <w:tc>
          <w:tcPr>
            <w:tcW w:w="170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440,628</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7.60</w:t>
            </w:r>
          </w:p>
        </w:tc>
        <w:tc>
          <w:tcPr>
            <w:tcW w:w="15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the performance-based options granted during the three-month period ended March 31, 2024 was $0.3 million.</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Market-based Options</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Certain stock options awarded by the Company contain market conditions related to achievement of certain market capitalization targets. The options will vest and become exercisable once the specific market capitalization targets are fulfilled.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market-based option activity under the 2017 Plan for the three-months ended March 31,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4920" w:type="dxa"/>
            <w:vAlign w:val="bottom"/>
            <w:gridSpan w:val="7"/>
          </w:tcPr>
          <w:p>
            <w:pPr>
              <w:ind w:left="136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r>
      <w:tr>
        <w:trPr>
          <w:trHeight w:val="187"/>
        </w:trPr>
        <w:tc>
          <w:tcPr>
            <w:tcW w:w="63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2023</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9.32</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Balances — March 31, 2024</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r>
      <w:tr>
        <w:trPr>
          <w:trHeight w:val="20"/>
        </w:trPr>
        <w:tc>
          <w:tcPr>
            <w:tcW w:w="6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 March 31, 2024</w:t>
            </w:r>
          </w:p>
        </w:tc>
        <w:tc>
          <w:tcPr>
            <w:tcW w:w="170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the market-based options granted during the three-month period ended March 31, 2024 was $0.7 million.</w:t>
      </w:r>
    </w:p>
    <w:p>
      <w:pPr>
        <w:sectPr>
          <w:pgSz w:w="11900" w:h="16838" w:orient="portrait"/>
          <w:cols w:equalWidth="0" w:num="1">
            <w:col w:w="11240"/>
          </w:cols>
          <w:pgMar w:left="320" w:top="121" w:right="339" w:bottom="866"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66"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time-based and performance-based stock options on the grant date using the Black-Scholes option pricing model. The estimated fair value of these employee stock options is amortized on a straight-line basis over the requisite service period of the awards. The Company reviews, and when deemed appropriate, updates the assumptions used on a periodic basis. The fair value of time-based and performance-based stock options was estimated using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- 6.3</w:t>
            </w:r>
          </w:p>
        </w:tc>
        <w:tc>
          <w:tcPr>
            <w:tcW w:w="166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- 95%</w:t>
            </w:r>
          </w:p>
        </w:tc>
        <w:tc>
          <w:tcPr>
            <w:tcW w:w="16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6"/>
              </w:rPr>
              <w:t>94%</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w:t>
            </w:r>
          </w:p>
        </w:tc>
        <w:tc>
          <w:tcPr>
            <w:tcW w:w="16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market-based stock options on the grant date using a Monte Carlo simulation model. The estimated fair value of these employee stock options is amortized over the requisite service period for each tranche of the awards.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The fair value of market-based stock options was estimated using the following weighted-average assumptions: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31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140" w:type="dxa"/>
            <w:vAlign w:val="bottom"/>
          </w:tcPr>
          <w:p>
            <w:pPr>
              <w:spacing w:after="0"/>
              <w:rPr>
                <w:sz w:val="18"/>
                <w:szCs w:val="18"/>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4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5.5 - 5.8</w:t>
            </w:r>
          </w:p>
        </w:tc>
        <w:tc>
          <w:tcPr>
            <w:tcW w:w="1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1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2017 Employee Stock Purchase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Board previously adopted, and the Company's stockholders approved, the Company’s 2017 Employee Stock Purchase Plan (the “2017 ESPP”).</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In 2024, the Company reserved an additional 450,000 shares under the 2017 ESPP pursuant to the evergreen provision. In 2023, the Board waived the evergreen provision and no additional shares were reserved under the 2017 ESPP. During the three months ended March 31, 2024, the Company issued 77,959 shares of common stock under the 2017 ESPP. As of March 31, 2024, 485,359 shares of common stock remained available for issuance under the 2017 ESPP.</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ESPP grants on their grant date using the Black-Scholes option pricing model. The estimated fair value of ESPP grants is amortized on a straight-line basis over the requisite service period of the grants. The Company reviews, and when deemed appropriate, updates the assumptions used on a periodic basis. The Company utilizes its estimated volatility in the Black-Scholes option pricing model to determine the fair value of ESPP grants. The fair value of ESPP grants was estimated using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4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36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880" w:type="dxa"/>
            <w:vAlign w:val="bottom"/>
            <w:gridSpan w:val="2"/>
            <w:shd w:val="clear" w:color="auto" w:fill="CCEEFF"/>
          </w:tcPr>
          <w:p>
            <w:pPr>
              <w:jc w:val="center"/>
              <w:ind w:left="4430"/>
              <w:spacing w:after="0"/>
              <w:rPr>
                <w:sz w:val="20"/>
                <w:szCs w:val="20"/>
                <w:color w:val="auto"/>
              </w:rPr>
            </w:pPr>
            <w:r>
              <w:rPr>
                <w:rFonts w:ascii="Times New Roman" w:cs="Times New Roman" w:eastAsia="Times New Roman" w:hAnsi="Times New Roman"/>
                <w:sz w:val="18"/>
                <w:szCs w:val="18"/>
                <w:color w:val="auto"/>
                <w:w w:val="99"/>
              </w:rPr>
              <w:t>0.5 - 1.0</w:t>
            </w:r>
          </w:p>
        </w:tc>
        <w:tc>
          <w:tcPr>
            <w:tcW w:w="166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0.5 - 1.0</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880" w:type="dxa"/>
            <w:vAlign w:val="bottom"/>
            <w:gridSpan w:val="2"/>
          </w:tcPr>
          <w:p>
            <w:pPr>
              <w:jc w:val="center"/>
              <w:ind w:left="4430"/>
              <w:spacing w:after="0"/>
              <w:rPr>
                <w:sz w:val="20"/>
                <w:szCs w:val="20"/>
                <w:color w:val="auto"/>
              </w:rPr>
            </w:pPr>
            <w:r>
              <w:rPr>
                <w:rFonts w:ascii="Times New Roman" w:cs="Times New Roman" w:eastAsia="Times New Roman" w:hAnsi="Times New Roman"/>
                <w:sz w:val="18"/>
                <w:szCs w:val="18"/>
                <w:color w:val="auto"/>
                <w:w w:val="96"/>
              </w:rPr>
              <w:t>98%</w:t>
            </w:r>
          </w:p>
        </w:tc>
        <w:tc>
          <w:tcPr>
            <w:tcW w:w="16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6"/>
              </w:rPr>
              <w:t>83%</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880" w:type="dxa"/>
            <w:vAlign w:val="bottom"/>
            <w:gridSpan w:val="2"/>
            <w:shd w:val="clear" w:color="auto" w:fill="CCEEFF"/>
          </w:tcPr>
          <w:p>
            <w:pPr>
              <w:jc w:val="center"/>
              <w:ind w:left="4410"/>
              <w:spacing w:after="0"/>
              <w:rPr>
                <w:sz w:val="20"/>
                <w:szCs w:val="20"/>
                <w:color w:val="auto"/>
              </w:rPr>
            </w:pPr>
            <w:r>
              <w:rPr>
                <w:rFonts w:ascii="Times New Roman" w:cs="Times New Roman" w:eastAsia="Times New Roman" w:hAnsi="Times New Roman"/>
                <w:sz w:val="18"/>
                <w:szCs w:val="18"/>
                <w:color w:val="auto"/>
                <w:w w:val="99"/>
              </w:rPr>
              <w:t>4.9% - 5.3%</w:t>
            </w:r>
          </w:p>
        </w:tc>
        <w:tc>
          <w:tcPr>
            <w:tcW w:w="16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5.1% - 5.2%</w:t>
            </w:r>
          </w:p>
        </w:tc>
        <w:tc>
          <w:tcPr>
            <w:tcW w:w="100" w:type="dxa"/>
            <w:vAlign w:val="bottom"/>
            <w:shd w:val="clear" w:color="auto" w:fill="CCEEFF"/>
          </w:tcPr>
          <w:p>
            <w:pPr>
              <w:spacing w:after="0"/>
              <w:rPr>
                <w:sz w:val="18"/>
                <w:szCs w:val="18"/>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40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414"/>
        </w:trPr>
        <w:tc>
          <w:tcPr>
            <w:tcW w:w="3600" w:type="dxa"/>
            <w:vAlign w:val="bottom"/>
          </w:tcPr>
          <w:p>
            <w:pPr>
              <w:spacing w:after="0"/>
              <w:rPr>
                <w:sz w:val="24"/>
                <w:szCs w:val="24"/>
                <w:color w:val="auto"/>
              </w:rPr>
            </w:pPr>
          </w:p>
        </w:tc>
        <w:tc>
          <w:tcPr>
            <w:tcW w:w="440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14</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60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stock-based compensation expense consisted of the following (in thousands):</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8"/>
                <w:szCs w:val="18"/>
                <w:color w:val="auto"/>
              </w:rPr>
            </w:pPr>
          </w:p>
        </w:tc>
      </w:tr>
      <w:tr>
        <w:trPr>
          <w:trHeight w:val="250"/>
        </w:trPr>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2024, not all of the performance conditions of the performance options are probable to be achieved. Compensation expense has only been recognized for those conditions that are assumed to be probable.</w:t>
      </w:r>
    </w:p>
    <w:p>
      <w:pPr>
        <w:sectPr>
          <w:pgSz w:w="11900" w:h="16838" w:orient="portrait"/>
          <w:cols w:equalWidth="0" w:num="1">
            <w:col w:w="11240"/>
          </w:cols>
          <w:pgMar w:left="320" w:top="108" w:right="339" w:bottom="1440" w:gutter="0" w:footer="0" w:header="0"/>
        </w:sectPr>
      </w:pP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Total stock-based compensation expense by award type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Time-based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Market-based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Research Grants and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Sponsored Research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1,163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678</w:t>
            </w:r>
          </w:p>
        </w:tc>
        <w:tc>
          <w:tcPr>
            <w:tcW w:w="2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209"/>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1,759</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59" w:lineRule="exact"/>
        <w:rPr>
          <w:sz w:val="20"/>
          <w:szCs w:val="20"/>
          <w:color w:val="auto"/>
        </w:rPr>
      </w:pPr>
    </w:p>
    <w:p>
      <w:pPr>
        <w:sectPr>
          <w:pgSz w:w="11900" w:h="16838" w:orient="portrait"/>
          <w:cols w:equalWidth="0" w:num="2">
            <w:col w:w="7280" w:space="720"/>
            <w:col w:w="3240"/>
          </w:cols>
          <w:pgMar w:left="320" w:top="108" w:right="339" w:bottom="1440" w:gutter="0" w:footer="0" w:header="0"/>
          <w:type w:val="continuous"/>
        </w:sectPr>
      </w:pPr>
    </w:p>
    <w:p>
      <w:pPr>
        <w:spacing w:after="0" w:line="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may sponsor research activities (“SRAs”) performed by ODURF. ODURF is compensated by the Company for its conduct of each study in accordance with the budget and payment terms set forth in the applicable task order. Task orders are typically performed over a 12-month period and funded through monthly payments to ODURF. Payments will be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During the three-month periods ended March 31, 2024 and 2023, the Company did not incur any costs relating to any SRAs. As of March 31, 2024, the Company does not have any active SRAs with ODURF.</w:t>
      </w:r>
    </w:p>
    <w:p>
      <w:pPr>
        <w:spacing w:after="0" w:line="212" w:lineRule="exact"/>
        <w:rPr>
          <w:sz w:val="20"/>
          <w:szCs w:val="20"/>
          <w:color w:val="auto"/>
        </w:rPr>
      </w:pPr>
    </w:p>
    <w:p>
      <w:pPr>
        <w:ind w:left="500" w:right="8500" w:hanging="492"/>
        <w:spacing w:after="0" w:line="532" w:lineRule="auto"/>
        <w:tabs>
          <w:tab w:leader="none" w:pos="19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2022 Loan Agreement</w:t>
      </w:r>
    </w:p>
    <w:p>
      <w:pPr>
        <w:spacing w:after="0" w:line="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September 20, 2022, the Company and Robert W. Duggan, the Company's majority stockholder and Executive Chairman, entered into a Loan Agreement (“2022 Loan Agreement”) in connection with Mr. Duggan lending the principal sum of $65.0 million to the Company. The 2022 Loan Agreement bore interest at a rate per annum equal to 5.0%, payable quarterly commencing on January 1, 2023, with the principal sum payable on March 20, 2024. On March 17, 2023, the Company and Mr. Duggan amended certain terms of the 2022 Loan Agreement. There were no changes to the interest rate, but the principal sum repayment date was changed to September 30, 2024. During the year ended December 31, 2023, the Company made cash payments of $1.7 million for accrued interest on the loan, and recorded an additional $1.1 million of interest expense in relation to the 2022 Loan Agreement. On April 30, 2023, the Company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amounts then owed by the Company under the 2022 Loan Agreement, the principal sum of $65.0 million and all accrued and unpaid interest outstanding, which totaled approximately $0.2 million as of April 30, 2023. The parties completed the Private Placement on May 9, 2023 and, upon closing and satisfaction of the outstanding debt, the 2022 Loan Agreement terminated, without early termination fees or penalties being owed by the Company. No additional amounts are owed to Mr. Duggan under the 2022 Loan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January 2017, the Company entered into a five-year lease (the “Existing Lease”) for approximately 15,700 square feet for its corporate headquarters located in Hayward, California. The lease commenced in July 2017.</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May 2019, the Company entered into Lease Amendment 1 (the “Lease Amendment”) in relation to the Existing Lease and added the lease of new premises of approximately 13,300 square feet and 21,300 square feet, (“Expansion Premises 1” and “Expansion Premises 2”, respectively). Additionally, the term of the Existing Lease was extended to October 2029 to be coterminous with Expansion Premises 1 and Expansion Premises 2.</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evaluated the lease amendment under the provisions of ASC 842. It concluded that the Lease Amendment would be accounted for as a single contract with the Existing Lease because the additional lease payments due to the Lease Amendment was not commensurate with the right-of-use asset granted to the Company. Though the Lease Amendment was accounted for as a single contract, the Existing Premises, Expansion Premises 1 (occupied in November 2019) and Expansion Premises 2 (occupied in May 2020) are accounted for as separate lease components. Accordingly, the Company measured and allocated consideration to each lease component as of the modification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7,256</w:t>
            </w: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9,144</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cash paid for operating lease liabilities (in thousands):</w:t>
            </w: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432"/>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9 months)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Weighted-average remaining lease term and discount rate, as of March 31, 2024, were as follows:</w:t>
            </w: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Rent expense, including common area maintenance charges, was approximately $0.6 million and $0.5 million for the three-month periods ended March 31, 2024 and 2023,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including the matter described below. The outcome of any legal proceedings is unpredictable but, regardless of outcome, they can have an adverse impact on us because of defense and settlement costs, diversion of management resources, negative publicity, reputational harm, and other factors. We maintain insurance that may provide coverage for such matters, including customary employment practices liability insurance.</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November 2022, the employment of our former Chief Financial Officer, Sandra Gardiner, terminated. Ms. Gardiner’s departure was not the result of any disagreement with the Company on any matter relating to its operations, accounting policies or practices, although the Company determined that she was not eligible to receive any severance benefits under the terms and conditions of her then existing employment agreement. In March 2023, Ms. Gardiner filed an arbitration demand with JAMS seeking severance benefits and other remedies, alleging breach of contract and unlawful termination in violation of public policy, among other things. We believe that Ms. Gardiner’s claims are without merit and we intend to vigorously defend ourselves against them. Because of the difficulty in predicting the outcome of any legal proceeding, particularly one that is in its early stages, the Company is not able to conclude that a liability is probable and cannot predict what the final outcome of Ms. Gardiner’s arbitration proceeding will likely be or provide a reasonable estimate for the range of ultimate possible loss, if any. However, at this time, we believe that the final resolution of this matter will not adversely affect our consolidated position, results of operations, or cash flows and that a liability is not probable at this time.</w:t>
      </w:r>
    </w:p>
    <w:p>
      <w:pPr>
        <w:sectPr>
          <w:pgSz w:w="11900" w:h="16838" w:orient="portrait"/>
          <w:cols w:equalWidth="0" w:num="1">
            <w:col w:w="11240"/>
          </w:cols>
          <w:pgMar w:left="320" w:top="121" w:right="33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the business as one reportable and operating segment. The Company’s Chief Executive Officer acts as the chief operating decision maker (“CODM”) of the Company. The CODM reviews the results of the Company on a consolidated basis. All of the Company’s long-lived assets are based in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May 2022, the Company determined not to renew its annual director and officer liability insurance policy due to disproportionately high premiums quoted by insurance companies. Instead, on May 31, 2022, the Company and Robert W. Duggan, majority stockholder and Executive Chairman, entered into a letter agreement (the “Letter Agreement”) pursuant to which Mr. Duggan agreed with the Company to personally provide indemnity coverage for a one-year period, and he agreed to deposit cash and/or marketable securities into a third-party escrow, as security for these obligations, if requested by the Company. On May 31, 2023, the last day of the one-year period, the Company paid Mr. Duggan a fee of $1.0 million in consideration of the obligations set forth in the Letter Agreement. As of March 31, 2024, there were no additional amounts owed to Mr. Duggan under the Letter Agreement.</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September 20, 2022, the Company and Robert W. Duggan, the Company's majority stockholder and Executive Chairman, entered into the 2022 Loan Agreement in connection with Mr. Duggan lending the principal sum of $65.0 million to the Company. On April 30, 2023, the Company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amounts then owed by the Company under the 2022 Loan Agreement, the principal sum of $65.0 million and all accrued and unpaid interest outstanding, which totaled approximately $0.2 million as of April 30, 2023. Upon closing of the Private Placement and satisfaction of the outstanding debt, the 2022 Loan Agreement terminated, without early termination fees or penalties being owed by the Company. No additional amounts are owed to Mr. Duggan under the 2022 Loan Agreement. See Note 8 for further details.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Restructuring Charges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February 2023, the Company eliminated seven positions and incurred a discrete restructuring related charge of $0.1 million which was fully recorded in February 2023 and the related expenses are included within total cost and expenses on the condensed consolidated statement of operations for the three months ended March 31, 2023. This charge represents the total amount incurred in connection with the activity.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approved by the Company’s Board, a rights offering of up to $60 million worth of units (“Units”) will likely be available to all holders of record of the Company’s common stock, par value $0.01 (the “Common Stock”), as of the close of the market on a record date expected to be set by the Board in mid- June 2024 (the “Proposed Rights Offering”). Each Unit will likely consist of one share of Common Stock and two warrants, each to purchase one-half of one share of Common Stock, with each warrant having different redemption provisions. The subscription price per Unit is expected to equal to the lesser of (i) $10.00 per Unit and (ii) the volume weighted average price of the Company’s Common Stock for the ten trading day period through and including the expiration date of the offering, which has not yet been set by the Board. The subscription price would determine the final number of Units issuable, and subsequently the pro rata number of Units to which stockholders can subscribe. Each warrant will likely have a per share exercise price equal to 110% of the subscription price for the Units. The Company intends to distribute to all holders of Common Stock as of the record date non-transferable subscription rights to purchase Units at the price provided above.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included in this Quarterly Report and those in our Annual Report on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Special Note Regarding 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herein. We do not assume any obligation to update any forward-looking statements.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Quarterly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other projections. While we believe these assumptions and projections are reasonable and sound, as of the date of this Quarterly Report, actual results may differ from the projections.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Pulse Biosciences, Inc. is a novel bioelectric medicine company committed to health innovation using its patented Nano-pulse Stimulation ("NPS") technology, a revolutionary energy modality that delivers nanosecond-duration pulses of electrical energy, each less than a millionth of a second long, to non-thermally clear targeted cells while sparing adjacent noncellular tissue. NPS technology, also referred to as Nanosecond Pulsed-Field Ablation ("nsPFA") technology when used to ablate cellular tissue, can be used to treat a variety of medical conditions for which an optimal solution remains unfulfilled. The Company developed its proprietary CellFX System, a novel nsPFA delivery platform, and commercialized the initial application of its nsPFA technology to treat benign lesions of the skin. In parallel, the Company has designed a variety of applicators, or end-effectors,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the Company decided in 2022 to focus its primary efforts on the use of nsPFA energy and the CellFX platform in the treatment of atrial fibrillation ("AF") and in a select few other markets where it could have a profound positive impact on healthcare for both patients and providers.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Our Cardiac Program</w:t>
      </w:r>
    </w:p>
    <w:p>
      <w:pPr>
        <w:spacing w:after="0" w:line="22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AF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nsPFA technology is uniquely suited to perform an integral role for this application and that it will prove to be highly differentiated from standard thermal energy modalities in use today. The Company has developed a cardiac ablation clamp for use in cardiac surgery and a cardiac ablation catheter for use in electrophysiology. In December 2023, we initiated a clinical study in Prague, Czech Republic, to test our CellFX nsPFA 360° Cardiac Catheter in patients with AF and early acute data and remapping data from this study have been promising. We have also taken steps to initiate a clinical study of our CellFX nsPFA Cardiac Clamp in the Netherlands and, in January 2024, we filed a premarket notification 510(k) with the U.S. Food and Drug Administration (the “FDA”) for clearance to commercialize our novel CellFX nsPFA Cardiac Clamp in the United States with a broad indication for ablation of cardiac tissue. In response to recent feedback from the FDA, we are presently evaluating the type of additional data that may be required for approval or otherwise commercially beneficial, but our present understanding is that U.S. human clinical data will be required. However, discussions with the FDA are ongoing to determine the best path for marketing approval for the CellFX nsPFA Cardiac Clamp given its unique energy modality. The results of preclinical testing of both cardiac products have exceeded our expectations and much of the data have been published or presented at physician or industry conferences. While these devices serve different physicians, the application of the energy to safely and effectively ablate cardiac tissue and the treatment of AF are the same, and we believe there will be important synergies realized through their contemporaneous development. The Company’s cardiac ablation clamp and cardiac ablation catheter both use the CellFX System to generate our proprietary pulses of electrical energy.</w:t>
      </w:r>
    </w:p>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CellFX nsPFA Cardiac Clamp</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 ablation lines block the conduction of electrical impulses and can cure the patient of their AF.</w:t>
      </w:r>
    </w:p>
    <w:p>
      <w:pPr>
        <w:sectPr>
          <w:pgSz w:w="11900" w:h="16838" w:orient="portrait"/>
          <w:cols w:equalWidth="0" w:num="1">
            <w:col w:w="11240"/>
          </w:cols>
          <w:pgMar w:left="320" w:top="121" w:right="339" w:bottom="78" w:gutter="0" w:footer="0" w:header="0"/>
        </w:sectPr>
      </w:pPr>
    </w:p>
    <w:bookmarkStart w:id="19" w:name="page20"/>
    <w:bookmarkEnd w:id="19"/>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believe our CellFX nsPFA technology can provide important advantages over today’s thermal modalities in creating these ablation lines. For example, surgeons using the CellFX System should be able to deliver faster ablations through thicker tissue than thermal modalities because of the nonthermal mechanism of action that nsPFA employs, which is not affected by heatsinks such as the blood in the heart. In preclinical studies, our CellFX nsPFA Cardiac Clamp has consistently achieved transmural ablations in 1.25 seconds, independent of tissue type or thickness. Moreover, thermal modalities are also known to have problems with char formation on electrode surfaces which can cause gaps in the ablation lines leading to treatment failure and require the char to be scraped off by the surgeon during the procedure. Again, this should not be an issue with CellFX nsPFA ablation given its nonthermal nature. Also, because nsPFA ablation does not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We believe these advantages will be important to cardiac surgeons, so we are working with leaders in the field to develop this technology quickly. In May 2023, we appointed Dr. Gan Dunnington as our Chief Medical Officer, Cardiac Surgery. Dr. Dunnington is a cardiothoracic surgeon and the Director of Cardiothoracic Surgery at St. Helena Hospital (Napa Valley). He specializes in minimally invasive complex cardiothoracic procedures for the treatment of AF. And, in October 2023, we appointed Dr. Niv Ad as our Chief Science Officer, Cardiac Surgery. Dr. Ad specializes in the surgical treatment of AF, minimally invasive heart surgery and other advanced heart surgery techniques and transcatheter therapies.</w:t>
      </w:r>
    </w:p>
    <w:p>
      <w:pPr>
        <w:spacing w:after="0" w:line="19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Over the last several years, we have been developing the cardiac ablation clamp from proof-of-concept to prototype, and we now have what we believe is our initial commercial design. The device was designed with the input of key physicians in cardiac surgery, and we believe it will offer a highly differentiated option relative to the standard of care thermal modalities. Since 2023, we have been meeting with the FDA to discuss the regulatory requirements for a potential 510(k) clearance or other approval to market our cardiac clamp in the United States. In 2023, with guidance from the FDA, we completed a preclinical study, known as a Good Laboratory Practices or “GLP” study and, in January 2024, we filed a premarket notification 510(k) with the FDA for our novel CellFX nsPFA Cardiac Clamp. In response to recent feedback from the FDA, we are presently evaluating the type of additional data that may be required for approval or otherwise commercially beneficial, but our present understanding is that U.S. human clinical data will be required. However, discussions with the FDA are ongoing to determine the best path for marketing approval for the CellFX nsPFA Cardiac Clamp given its unique energy modality. Until we know more about what data will be required by the FDA, we are not providing a timeline estimate. In parallel, we have submitted an ethics committee application and protocol to treat up to 30 patients in several centers in the Netherlands. This study would provide information on first-in-human effectiveness and safety with our device and could support our plans for possible CE mark.</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CellFX nsPFA 360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Cardiac Catheter</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our cardiac catheter ablation device will have many of the same advantages that the cardiac ablation clamp appears to have with respect to both performance and safety compared to standard thermal modalities. Our catheter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recent years, Pulsed Field Ablation ("PFA") has gained attention in electrophysiology for the treatment of AF because of its safety profile and potential to improve efficacy. PFA differs from CellFX nsPFA technology in that the pulse widths are longer, typically in the 10’s to 100’s of microseconds. We believe CellFX nsPFA can offer similar safety advantages as PFA and may provide improved efficacy advantages based on the circumferential design of our catheter and because it appears CellFX nsPFA technology can create deeper ablations. Another potential advantage of nsPFA ablation is a much shorter pulse duration which appears to stimulate less muscle contraction than does millisecond or microsecond PFA.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Similar to the cardiac ablation clamp, our proprietary catheter has been in development for several years and we have been working with leaders in the electrophysiology field to test the catheter in preclinical studies. After seeing encouraging preclinical results, in December 2023, we initiated a clinical study in Prague, Czech Republic, to test our CellFX nsPFA 360° Cardiac Catheter in patients with AF and early acute data and remapping data from this study have been promising. In the United States, we believe the catheter will need to go through the FDA’s Pre-Market Approval ("PMA") process for FDA approval to market and sell our cardiac catheter in the United States.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CellFX nsPFA Percutaneous Electrode System</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Since early 2023, we have made tremendous progress in our percutaneous electrode program. After years of pre-clinical development and testing, as a supplemental point of validation of the Company’s engineering capabilities, and to demonstrate our technology’s unique mechanism of action on internal organs, in June 2023 we initiated a first-in-human study using our novel and proprietary nsPFA-enabled surgical end-effector, our percutaneous electrode. This study is being conducted by Professor Stefano Spiezia at the Ospedale del Mare in Naples, Italy, to help us better understand and confirm the mechanism of action and tissue response of nsPFA energy in internal organs as we advance into human cardiac tissue. Initially, ten subjects were treated and evaluated in the study. All of the initial patients in the study tolerated the procedure well with no reported pain or serious side effects. Ultrasound imaging 90 days post procedure showed that the treated portions of the nodules had been completely resorbed with no sign of scarring or fibrosis, which can be a side effect of other ablation modalities. Based on these positive initial results, in November 2023, we amended the thyroid study protocol to expand enrollment to focus on optimizing treatment parameters. We expect to complete this study in 2025, including all patient follow-up visits.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parallel, in November 2023, we filed a premarket notification 510(k) with the FDA for clearance to commercialize our novel CellFX nsPFA Percutaneous Electrode System in the United States. In March 2024, the Company received FDA 510(k) clearance for its CellFX nsPFA Percutaneous Electrode System for use in the ablation of soft tissue in percutaneous and intraoperative surgical procedures.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Having secured 510(k) clearance to market and sell the CellFX nsPFA Percutaneous Electrode System in the United States, we have engaged with experts in the field of soft tissue ablation and we are in the process, with multiple hospitals and clinics in the United States, of securing approvals to install our CellFX System and initiate patient treatments.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The CellFX Console</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CellFX Console is a tunable, software-enabled, console-based platform, designed to accommodate the clinical workflow preferred by physicians. The CellFX System is configured to accept a variety of end-effectors or electrodes across a range of clinical applications. In February 2021, the Company received 510(k) clearance from the FDA for the CellFX System for dermatologic procedures requiring ablation and resurfacing of the skin. In January 2021, the Company received Conformité Européene (“CE”) marking approval for the CellFX System, which allows for marketing of the system in the European Union (“EU”). Shortly after these regulatory clearances, the Company began commercializing the CellFX System in dermatology for the treatment of benign skin lesions. However, in September 2022, the Company announced a shift in its focus from dermatology to cardiology and the treatment of AF. The Company has ceased all commercial sales and marketing operations in dermatology. At the present time, we continue to support our remaining commercial users and remain open to a potential commercial partnership. The CellFX System is being used for our current efforts in the treatment of AF and as part of the CellFX nsPFA Percutaneous Electrode System.</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continue to believe nsPFA ablation, as well as NPS technology more broadly, has the potential to provide superior outcomes across a variety of medical disciplines and we may seek partnership opportunities to develop additional applications.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Financing Our Business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Over the past few years, Robert Duggan, our majority stockholder and Executive Director, has made significant investments in our Company to fund its operations. In June 2022, we completed a common stock rights offering to our existing stockholders of record, which raised $15 million in aggregate. Mr. Duggan purchased approximately 56% of the shares offered through this offering. Then, in September 2022, we entered into the 2022 Loan Agreement with Mr. Duggan pursuant to which he lent the Company $65 million to fund its product development operations. In April 2023, the 2022 Loan Agreement was terminated upon Mr. Duggan and the Company entering into a Securities Purchase Agreement whereby the shares were paid for through the cancellation of both the principal sum of $65.0 million and all accrued and unpaid interest owed at the time under the 2022 Loan Agreement, which totaled approximately $0.2 million. Mr. Duggan may or may not elect to participate in any number of our future fundraisings, as described above, and he may choose to invest more than his current pro rata share in any of these fundraisings, or alternatively he may offer to provide additional debt financing as may be needed in order to maintain the Company as a going concern.</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source, timing and availability of any future financing will depend largely upon market conditions and perceived progress in the Company’s on-going product development initiatives, as well as future clinical and regulatory developments concerning the CellFX System and our other NPS-based technologies. Funding may not be available when needed, at all or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economic instability caused by the armed conflicts in Ukraine and Israel and high interest rates, together with other market factors, could have an adverse impact on potential sources of future financing.</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incurred substantial operating losses and have used cash in our operating activities since inception. Based on our current operating plan, we believe we do not have sufficient cash and cash equivalents on hand to support current operations for at least twelve months from the date that our unaudited consolidated financial statements included elsewhere in this Quarterly Report were issued. We have concluded that there is a substantial doubt about our ability to continue as a going concern and we will need to raise additional capital. To finance our operations beyond that point, we have developed a plan which primarily consists of raising additional capital through a rights offering expected to close in the second quarter of 2024. Additionally, we may utilize some combination of public or private equity offerings, debt financings, or potential new collaborations in the future. There is no assurance, however, that any additional financing or any revenue-generating collaboration will be available when needed or that we will be able to obtain financing or enter into a collaboration on terms acceptable to us.</w:t>
      </w:r>
    </w:p>
    <w:p>
      <w:pPr>
        <w:sectPr>
          <w:pgSz w:w="11900" w:h="16838" w:orient="portrait"/>
          <w:cols w:equalWidth="0" w:num="1">
            <w:col w:w="11240"/>
          </w:cols>
          <w:pgMar w:left="320" w:top="121" w:right="339" w:bottom="177"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7"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unaudited condensed consolidated financial statements, which have been prepared in accordance with the rules and regulations of the U.S. Securities and Exchange Commission. The preparation of these condensed consolidated financial statements requires us to make estimates and judgments that affect the reported amounts of assets, liabilities, revenues, and expenses.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On an ongoing basis, we evaluate our critical accounting policies and estimates. Our critical accounting policies and estimates are described in our Annual Report on Form 10-K for the year ended December 31, 2023.</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stock-based compensation programs include stock options and an employee stock purchase program. We periodically issue stock options to officers, directors, employees, and consultants for their services to the Company.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requisite service period. We have granted stock options with time-based, performance-based, and market-based vesting conditions.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stock options with performance-based vesting conditions, we do not recognize compensation expense until it is probable that the performance-based vesting condition will be achieved. The analysis to determine such probability involves estimates and judgements from management. The estimate of expense may be revised periodically based on the probability of achieving the required performance targets.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vesting conditions for stock options with market-based vesting conditions relate to the achievement of certain market capitalization targets of the Company. The grant date fair value for these stock options was determined using a Monte Carlo simulation. The expense is recognized over the requisite service period for each tranche of the awards. The requisite service period is the service period derived from the Monte Carlo simulation model. If the market capitalization targets are met sooner than the derived service period, we will accelerate the recognition of stock-based compensation expense to reflect the cumulative expense associated with the vested shares. The Monte Carlo simulation requires the Company to make assumptions and judgements about the variables used in the calculation including the expected term, volatility of the Company's common stock, an assumed risk-free interest rate, and cost of equity. The assumptions used represent management’s best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“Recent Accounting Pronouncements” in Note 2 of Notes to Condensed Consolidated Financial Statements of this Quarterly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Geographical Information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operate and manage our business as one reportable and operating segment. Our CODM reviews financial information on an aggregate basis for purposes of allocating resources and evaluating financial performance. All of our long-lived assets are based in the United States.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three-month periods ended March 31, 2024 and 2023</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Our condensed consolidated statements of operations as discussed herein are presented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Product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and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 and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Interest income (expense), net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3280" w:type="dxa"/>
            <w:vAlign w:val="bottom"/>
            <w:gridSpan w:val="7"/>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5,829</w:t>
            </w:r>
          </w:p>
        </w:tc>
        <w:tc>
          <w:tcPr>
            <w:tcW w:w="24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3,733</w:t>
            </w:r>
          </w:p>
        </w:tc>
        <w:tc>
          <w:tcPr>
            <w:tcW w:w="2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(10,615)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-1396365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-1113790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-839470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-556895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-273685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600" w:space="720"/>
            <w:col w:w="49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6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other income (expense)</w:t>
            </w:r>
          </w:p>
        </w:tc>
        <w:tc>
          <w:tcPr>
            <w:tcW w:w="5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478</w:t>
            </w:r>
          </w:p>
        </w:tc>
        <w:tc>
          <w:tcPr>
            <w:tcW w:w="5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717</w:t>
            </w:r>
          </w:p>
        </w:tc>
      </w:tr>
      <w:tr>
        <w:trPr>
          <w:trHeight w:val="20"/>
        </w:trPr>
        <w:tc>
          <w:tcPr>
            <w:tcW w:w="6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5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(10,137)</w:t>
            </w:r>
          </w:p>
        </w:tc>
        <w:tc>
          <w:tcPr>
            <w:tcW w:w="5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(9,801)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(10,137)</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(9,801)</w:t>
            </w:r>
          </w:p>
        </w:tc>
        <w:tc>
          <w:tcPr>
            <w:tcW w:w="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r>
      <w:tr>
        <w:trPr>
          <w:trHeight w:val="20"/>
        </w:trPr>
        <w:tc>
          <w:tcPr>
            <w:tcW w:w="6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revenues for the three-month periods ended March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compensation and other employee related expenses for research and development personnel, clinical trials and consulting costs related to the design, development and enhancement of our potential future products, prototype material and devices. Research and development expenses increased by $0.9 million to $6.7 million for the three-month period ended March 31, 2024, compared to $5.8 million during the same period in 2023 primarily due to increases of $0.7 million in stock-based compensation, $0.2 million in compensation and other employee-related expenses, and $0.2 million in paid services. These increases were partially offset by a decrease of $0.2 million in supplies.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increased by $0.1 million to $3.9 million for the three-month period ended March 31, 2024, compared to $3.7 million during the same period in 2023 primarily due to an increase of $0.2 million in stock-based compensation partially offset by a decrease of $0.1 million in compensation and other employee related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Interest income decreased by $0.1 million to $0.5 million for the three-month period ended March 31, 2024, compared to $0.6 million during the same period in 2023 driven by decreased returns on lower cash balances. Additionally, interest expense decreased by $0.8 million to zero for the three-month period ended March 31, 2024, compared to $0.8 million during the same period in 2023 driven by the extinguishment of the 2022 Loan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 date, we have not generated significant revenues from product sales. Since inception, we have funded our business primarily through the issuance of equity securities and debt. Over the next few years, we intend to invest in research and development to develop additional commercially viable products and to assess the feasibility of potential future products.</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9, 2022, we completed the 2022 Rights Offering resulting in the sale of 7,317,072 Units, at a price of $2.05 per Unit, with each Unit consisting of one share of the Company’s common stock, par value $0.001 per share, and one warrant to purchase one share of common stock at $2.05 per share. 7,317,072 shares of common stock and warrants to acquire up to an additional 7,317,072 shares of common stock were issued in the 2022 Rights Offering. The Company received aggregate gross proceeds from the 2022 Rights Offering of $15 million. In May 2023, the Company delivered an irrevocable notice of redemption to warrant holders and, on June 16, 2023, it redeemed the last of the outstanding 2022 Rights Offering Warrants at a price of $0.01 per warrant share. Prior to the redemption date, warrants to purchase 7,250,897 shares were exercised, generating approximately $14.9 million of total gross proceeds to the Company. As of September 30, 2023, there were no 2022 Rights Offering Warrants outstanding. Robert W. Duggan, the Company’s majority stockholder and Executive Chairman, purchased approximately 56% of the shares offered through the 2022 Rights Offering.</w:t>
      </w:r>
    </w:p>
    <w:p>
      <w:pPr>
        <w:spacing w:after="0" w:line="192" w:lineRule="exact"/>
        <w:rPr>
          <w:sz w:val="20"/>
          <w:szCs w:val="20"/>
          <w:color w:val="auto"/>
        </w:rPr>
      </w:pPr>
    </w:p>
    <w:p>
      <w:pPr>
        <w:jc w:val="both"/>
        <w:ind w:firstLine="486"/>
        <w:spacing w:after="0" w:line="269" w:lineRule="auto"/>
        <w:rPr>
          <w:sz w:val="20"/>
          <w:szCs w:val="20"/>
          <w:color w:val="auto"/>
        </w:rPr>
      </w:pPr>
      <w:r>
        <w:rPr>
          <w:rFonts w:ascii="Times New Roman" w:cs="Times New Roman" w:eastAsia="Times New Roman" w:hAnsi="Times New Roman"/>
          <w:sz w:val="17"/>
          <w:szCs w:val="17"/>
          <w:color w:val="auto"/>
        </w:rPr>
        <w:t>In September 2022, we entered into the 2022 Loan Agreement with Robert W. Duggan, our majority stockholder and Executive Chairman, in connection with Mr. Duggan lending the principal sum of $65.0 million to the Company. The 2022 Loan Agreement had a maturity date of March 20, 2024. Under the 2022 Loan Agreement, Mr. Duggan provided us, subject to certain conditions, an unsecured term loan facility in an original aggregate principal amount of $65.0 million. The 2022 Loan Agreement bore interest at a rate per annum equal to 5.0%, payable quarterly, commencing on January 1, 2023. On March 17, 2023, the Company and Mr. Duggan amended certain terms of the Loan Agreement. There were no changes to the interest rate, the principal sum repayment date was changed to September 30, 2024. However, on April 30, 2023, we entered into a Securities Purchase Agreement with Mr. Duggan, pursuant to which we agreed to issue and sell to Mr. Duggan 10,022,937 shares of our common stock, par value $0.001 per share, in a Private Placement, at a price per share of $6.51. These shares were paid for through the cancellation of the amounts then owed by the Company under the 2022 Loan Agreement, the principal sum of $65.0 million and all accrued and unpaid interest outstanding, which totaled approximately $0.2 million as of April 30, 2023. The parties completed the Private Placement on May 9, 2023 and, upon closing and satisfaction of the outstanding debt, the 2022 Loan Agreement terminated, without early termination fees or penalties being owed by the Company. No additional amounts are owed to Mr. Duggan under the 2022 Loan Agreement.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Our condensed consolidated statements of cash flows as discussed herein are presented below:</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183"/>
        </w:trPr>
        <w:tc>
          <w:tcPr>
            <w:tcW w:w="80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(9,780)</w:t>
            </w:r>
          </w:p>
        </w:tc>
        <w:tc>
          <w:tcPr>
            <w:tcW w:w="4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(6,570)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r>
      <w:tr>
        <w:trPr>
          <w:trHeight w:val="20"/>
        </w:trPr>
        <w:tc>
          <w:tcPr>
            <w:tcW w:w="1100" w:type="dxa"/>
            <w:vAlign w:val="bottom"/>
            <w:shd w:val="clear" w:color="auto" w:fill="CCEEFF"/>
          </w:tcPr>
          <w:p>
            <w:pPr>
              <w:spacing w:after="0" w:line="20" w:lineRule="exact"/>
              <w:rPr>
                <w:sz w:val="1"/>
                <w:szCs w:val="1"/>
                <w:color w:val="auto"/>
              </w:rPr>
            </w:pPr>
          </w:p>
        </w:tc>
        <w:tc>
          <w:tcPr>
            <w:tcW w:w="6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(9,480)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(7,041)</w:t>
            </w:r>
          </w:p>
        </w:tc>
      </w:tr>
      <w:tr>
        <w:trPr>
          <w:trHeight w:val="20"/>
        </w:trPr>
        <w:tc>
          <w:tcPr>
            <w:tcW w:w="11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To date, we have generated limited revenue and used cash in our operating activities. As a result, we have incurred significant operating losses in each year since our inception and we may continue to incur additional losses for the next several years. As of March 31, 2024, the Company had an accumulated deficit of $347.1 million, cash outflows from operations of $9.8 million for the three months then ended, cash and cash equivalents of $34.9 million and a net loss of $10.1 million. These factors, combined with the Company’s forecast of cash required to fund operations for a period of at least twelve months from the date of issuance of the accompanying consolidated financial statements, raise substantial doubt under ASC 205-40, </w:t>
      </w:r>
      <w:r>
        <w:rPr>
          <w:rFonts w:ascii="Times New Roman" w:cs="Times New Roman" w:eastAsia="Times New Roman" w:hAnsi="Times New Roman"/>
          <w:sz w:val="18"/>
          <w:szCs w:val="18"/>
          <w:i w:val="1"/>
          <w:iCs w:val="1"/>
          <w:color w:val="auto"/>
        </w:rPr>
        <w:t xml:space="preserve">Presentation of Financial Statements – Going Concern </w:t>
      </w:r>
      <w:r>
        <w:rPr>
          <w:rFonts w:ascii="Times New Roman" w:cs="Times New Roman" w:eastAsia="Times New Roman" w:hAnsi="Times New Roman"/>
          <w:sz w:val="18"/>
          <w:szCs w:val="18"/>
          <w:color w:val="auto"/>
        </w:rPr>
        <w:t>about the Company’s ability to continue as a going concern within one year after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consolidated financial statements. We plan to raise additional capital in the future to fund our operations. On March 28, 2024, management announced plans to initiate a rights offering to its existing stockholders. Refer to Note [13] for details of this rights offering. Mr. Duggan, our majority stockholder, may elect to participate in any number of our future financings, or alternatively he may offer to provide debt financing as may be needed in order to maintain the Company as a going concern. We can give no assurance, at this time, that additional financing or a collaboration will be available when needed on terms acceptable to us, however.</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and/or potential new collaborations. Such additional funds may not be available on terms acceptable to us or at all. If we raise funds by issuing equity or equity-linked securities, the ownership of some or all of our stockholders may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results of operations and cash flows. For example, lack of necessary funds may require us to, among other things, reduce headcount, trim research and product development programs, discontinue clinical trials, defer capital expenditures, deregister from being a publicly traded company and delist from Nasdaq, or license our potential products or technologies to third parties, possibly on terms that cannot sustain our current business. In addition, instability in economic activity caused by the armed conflicts in Ukraine and Israel and high interest rates, together with other market factors, could have an adverse impact on potential sources of future financing.</w:t>
      </w:r>
    </w:p>
    <w:p>
      <w:pPr>
        <w:sectPr>
          <w:pgSz w:w="11900" w:h="16838" w:orient="portrait"/>
          <w:cols w:equalWidth="0" w:num="1">
            <w:col w:w="11240"/>
          </w:cols>
          <w:pgMar w:left="320" w:top="121" w:right="339" w:bottom="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used cash in the amount of $9.8 million in operating activities. The difference between cash used in operating activities and net loss consisted primarily of stock-based compensation, depreciation and amortization, as well as decreases in accrued expenses.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we used cash in the amount of $6.6 million in operating activities. The difference between cash used in operating activities and net loss consisted primarily of stock-based compensation, depreciation and amortization, as well as increases in accounts payable, accrued expenses, and accrued interest on related party note payable.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investing activities consist primarily of investment purchases, sales and maturities and capital expenditures.</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 immaterial amount of cash was used in investing activities which was driven by the purchase of property and equipment.</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$0.04 million of cash used in investing activities was driven by the purchase of property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cash provided from financing activities was $0.3 million, primarily due to $0.3 million of proceeds from issuance of common stock under employee stock purchase plan.</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cash used in financing activities was $0.4 million, primarily due to $0.9 million in payments made in relation to the 2022 Loan Agreement, offset by $0.3 million of proceeds from issuance of common stock under employee stock purchase plan and $0.2 million of proceeds from the exercise of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our business to the contractual obligations disclosed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March 31, 2024, we did not have any transactions, obligations or relationships that constitute off-balance sheet arrangements.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March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Events and Uncertainties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research and development of our technology, including, but not limited to, additional financing through follow-on stock offerings, debt financings, or co-development agreements and /or other alternatives.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our technology cannot be used to successfully treat AF or tumors and nodules or if our cash resources are insufficient to satisfy our ongoing cash needs, we would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license our potential products or technologies to third parties, possibly on terms that cannot sustain our current business, or curtail, suspend or discontinue our operations entirely.</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ectPr>
          <w:pgSz w:w="11900" w:h="16838" w:orient="portrait"/>
          <w:cols w:equalWidth="0" w:num="1">
            <w:col w:w="11240"/>
          </w:cols>
          <w:pgMar w:left="320" w:top="121" w:right="339" w:bottom="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our Annual Report on Form 10-K for the year ended December 31, 2023.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who is our principal executive officer and principal financial officer,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has concluded that, as of March 31, 2024,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Rule 13a-15(d) and 15d-15(d) of the Exchange Act, as amended, that occurred during the quarter ended March 31, 2024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U.S.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including the matter described below. The outcome of any legal proceedings is unpredictable but, regardless of outcome, they can have an adverse impact on us because of defense and settlement costs, diversion of management resources, negative publicity, reputational harm, and other factors. We maintain insurance that may provide coverage for such matters, including customary employment practices liability insurance.</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November 2022, the employment of our former Chief Financial Officer, Sandra Gardiner, terminated. Ms. Gardiner’s departure was not the result of any disagreement with the Company on any matter relating to its operations, accounting policies or practices, although the Company determined that she was not eligible to receive any severance benefits under the terms and conditions of her then existing employment agreement. In March 2023, Ms. Gardiner filed an arbitration demand with JAMS seeking severance benefits and other remedies, alleging breach of contract and unlawful termination in violation of public policy, among other things. We believe that Ms. Gardiner’s claims are without merit and we intend to vigorously defend ourselves against them. Because of the difficulty in predicting the outcome of any legal proceeding, particularly one that is in its early stages, the Company is not able to conclude that a liability is probable and cannot predict what the final outcome of Ms. Gardiner’s arbitration proceeding will likely be or provide a reasonable estimate for the range of ultimate possible loss, if any. However, at this time, we believe that the final resolution of this matter will not adversely affect our consolidated position, results of operation, or cash flows and that a liability is not probable at this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Pulse Biosciences, Inc. speculative or risky. The following summary does not contain all of the information that may be important to you, and you should read the below summary in conjunction with the more detailed discussion of risks set forth following the summary.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229" w:lineRule="exact"/>
        <w:rPr>
          <w:sz w:val="20"/>
          <w:szCs w:val="20"/>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obtain additional funding to finance our operations and complete the development and any commercialization of our products. If we do not receive substantial capital when needed, we may be forced to restrict our operations or delay, reduce or eliminate our product development programs.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NPS to non-thermally clear targeted cells while sparing adjacent noncellular tissue. If we are unable to successfully develop and commercialize this patented technology, or experience significant delays in doing so, we may extend the period in which we will incur significant financial losses as an organization.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almost entirely a development-stage company with very limited experience commercializing products. We have incurred significant losses since our inception. We anticipate that we will continue to incur losses for at least the next several years and may never generate profits from operations or maintain profitability.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which may result in further dilution to our investors, or incur additional indebtedness. The servicing of future debt may impair our liquidity position.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substantial doubt about our ability to continue as a going concern.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Development and Commercialization of our Medical Products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provide no assurance that our clinical product candidates, including our product candidates for the treatment of atrial fibrillation ("AF"), our CellFX nsPFA Cardiac Clamp and our CellFX nsPFA 360° Cardiac Catheter, will obtain regulatory approval or that the results of clinical studies will be favorable.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development and commercialization is a complex, time-consuming and expensive process. Our industry is fraught with risk and a high rate of failure.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limited sales and marketing experience and no experience commercializing our CellFX nsPFA Percutaneous Electrode System. We can give no assurances that our devices will be adopted by surgeons or other physicians to treat any medical condition.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and timelines may affect the scope and timeline of our trials and the potential market for our product candidates, including the possibility of significant delays to any product launch.</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device industry is characterized by intense competition, rapid technological changes, new product introductions and enhancements, and evolving industry standards. If we do not develop and obtain regulatory clearances or approvals for new products or product enhancements in time to meet market demand, or if there is insufficient demand for our products or enhancements, our results of operations will suffer.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any number of possible unforeseen events in connection with our clinical trials, potential marketing approval or commercialization of our product candidates could be delayed or prevented.</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of our product candidates fail to demonstrate safety and efficacy to the satisfaction of applicable regulatory bodies, such as the U.S. Food and Drug Administration or the European Medicines Agency, we may incur additional costs or experience delays in completing, or ultimately be unable to complete, the development and commercialization of our medical devices.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and timelines may affect the scope and timeline of our trials and the potential market for our product candidates.</w:t>
      </w:r>
    </w:p>
    <w:p>
      <w:pPr>
        <w:sectPr>
          <w:pgSz w:w="11900" w:h="16838" w:orient="portrait"/>
          <w:cols w:equalWidth="0" w:num="1">
            <w:col w:w="11240"/>
          </w:cols>
          <w:pgMar w:left="320" w:top="121" w:right="339" w:bottom="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Industry and Market</w:t>
      </w:r>
    </w:p>
    <w:p>
      <w:pPr>
        <w:spacing w:after="0" w:line="22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developing or commercializing products before or more successfully than we do.</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against well-established incumbent technologies offering products in cardiology, oncology, and dermatology, as well as in minimally invasive procedures. All of these companies currently have greater financial, technical, research, and/or other resources than we do and have larger and more established manufacturing capabilities and marketing, sales, and support functions.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business development opportunities to expand or enhance our pipeline of potential products, including through potential acquisitions of and/or collaborations with other entities or the acquisition of products unrelated to NPS technology, which may not achieve intended results or could increase the number of our outstanding shares or amount of outstanding debt or result in a change of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Tax, Regulatory and Compliance Risks</w:t>
      </w:r>
    </w:p>
    <w:p>
      <w:pPr>
        <w:spacing w:after="0" w:line="229"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any of our product candidates is subject to substantial regulatory and legislative uncertainty, including as to pricing, reimbursement practices or other healthcare initiatives which could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costly legal claims, in particular related to product liability and intellectual property infringement.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U.S. and foreign anti-corruption, anti-money laundering, export control, sanctions, and other trade laws and regulations. We can face serious consequences for violations.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 Cybersecurity and Data Privacy</w:t>
      </w:r>
    </w:p>
    <w:p>
      <w:pPr>
        <w:spacing w:after="0" w:line="229"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upon patents to protect our technology. We may be unable to protect our intellectual property rights and we may be liable for infringing the intellectual property rights of others.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comply with stringent and changing obligations related to data privacy and security could lead to regulatory investigations and actions, litigation, fines and penalties, disruptions to our business operations, reputational harm, loss of revenue and profits, and other adverse business impacts.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related to cybersecurity and data privacy threats and incidents and we are subject to restrictions and changes in laws and regulations governing our data privacy and data protection, any of which could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Corporate Governance and Employee Relations</w:t>
      </w:r>
    </w:p>
    <w:p>
      <w:pPr>
        <w:spacing w:after="0" w:line="229" w:lineRule="exact"/>
        <w:rPr>
          <w:sz w:val="20"/>
          <w:szCs w:val="20"/>
          <w:color w:val="auto"/>
        </w:rPr>
      </w:pPr>
    </w:p>
    <w:p>
      <w:pPr>
        <w:ind w:left="660" w:right="3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Chief Executive Officer, our Chief Technology Officer, our Chief Strategy Officer, and other key executives and to attract, retain and motivate qualified personnel.</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Chairman owns more than a majority of the voting power of the outstanding shares of our common stock and, as a result, investors may have limited ability to affect either the corporate governance of the Company or the taking of certain major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Owning Our Common Stock</w:t>
      </w:r>
    </w:p>
    <w:p>
      <w:pPr>
        <w:spacing w:after="0" w:line="229" w:lineRule="exact"/>
        <w:rPr>
          <w:sz w:val="20"/>
          <w:szCs w:val="20"/>
          <w:color w:val="auto"/>
        </w:rPr>
      </w:pPr>
    </w:p>
    <w:p>
      <w:pPr>
        <w:ind w:left="660" w:right="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our shares of common stock in the public market, or the perception that these sales could occur, could cause the price of the shares to decline significantly, even if our business is doing well.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shares of common stock may be volatile and fluctuate substantially, which could result in substantial losses for our stockholders.</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of our outstanding shares are owned by our executive Chairman, Robert Duggan, and his affiliates, which can reduce liquidity of our stock. Historically, our trading volume on Nasdaq has been 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Relating to Our Business, Industry and Financial Condition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Because we have a limited operating history and no significant revenue stream, it is difficult to evaluate the future of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We are a bioelectric medicine technology company with no significant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229" w:lineRule="exact"/>
        <w:rPr>
          <w:sz w:val="20"/>
          <w:szCs w:val="20"/>
          <w:color w:val="auto"/>
        </w:rPr>
      </w:pPr>
    </w:p>
    <w:p>
      <w:pPr>
        <w:jc w:val="both"/>
        <w:ind w:left="20" w:firstLine="486"/>
        <w:spacing w:after="0" w:line="253" w:lineRule="auto"/>
        <w:rPr>
          <w:sz w:val="20"/>
          <w:szCs w:val="20"/>
          <w:color w:val="auto"/>
        </w:rPr>
      </w:pPr>
      <w:r>
        <w:rPr>
          <w:rFonts w:ascii="Times New Roman" w:cs="Times New Roman" w:eastAsia="Times New Roman" w:hAnsi="Times New Roman"/>
          <w:sz w:val="18"/>
          <w:szCs w:val="18"/>
          <w:color w:val="auto"/>
        </w:rPr>
        <w:t>To date, we have generated limited revenue from product sales and have incurred significant operating losses in each year since our inception and we anticipate that losses may continue for the next several years or until such time as we can generate substantial product revenue and achieve profitability. In connection with the preparation of this Quarterly Report for the three months ended March 31, 2024, our management has concluded that there is substantial doubt as to whether we can continue as a going concern for the twelve months following the issuance of this Quarterly Report. Our ability to continue as a going concern is dependent upon raising capital to maintain current operations and continue research and development efforts. We plan to raise additional capital to fund our operations. There is no assurance that additional financing will be available when needed or that our management will be able to obtain financing on terms acceptable to us. Accordingly, our management cannot conclude that such plans will be effectively implemented within the twelve months from the date that our unaudited condensed consolidated financial statements included elsewhere in this Quarterly Report were issued. These factors, combined with our forecast of cash required to fund operations for a period of at least twelve months from the date that our unaudited condensed consolidated financial statements included elsewhere in this Quarterly Report were issued, raise substantial doubt about our ability to continue as a going concern.</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There will be many risks associated with our announced rights offering.</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There will be many risks associated with the Company’s recently announced rights offering (the "Proposed Rights Offering"). For example, the subscription rights and Units to be issued in the Proposed Rights Offering will be non-transferable, so there will be no market for them. There will be no public market for the warrants included in the Units either, and we do not expect a market to develop. We do not intend to list the respective warrants included in the Units on any securities exchange or other trading market. Without an active market, we cannot assure investors in the Proposed Rights Offering that they will be able to sell or otherwise transfer the warrants, as the liquidity of the warrants will be limited, and the market price of our common stock may never exceed the exercise price of the warrants, and in certain circumstances, the Company may call the warrants for redemption at a price of $0.01 per underlying share. Investors in the Proposed Rights Offering may never benefit from owning the warrants expected to be issued.</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Also, once set, the subscription price for Units in the Proposed Rights Offering will not necessarily relate to our book value, net worth or any other established criteria of value and may or may not be considered the fair value of the Units to be offered in the Proposed Rights Offering. The market price of our common stock may decline during or after the Proposed Rights Offering, including below the subscription price for the Units. There is no guarantee that by the time the shares and warrants are delivered to investors, the market price of our common stock will be above the subscription price for the Units or exercise price for the warrants. Further, because the exercise of rights by any investor is not revocable and because the rights are not transferrable, investors will not be able to revoke their subscriptions if the market price decreases prior to the delivery of the shares and warrants or transfer of the shares and warrants until after they are delivered. Likewise, we cannot assure investors that they will ever be able to sell shares of common stock received in the Proposed Rights Offering or that result from the exercise of warrants received in the Proposed Rights Offering at a price equal to or greater than the subscription price or exercise price.</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If a stockholder decides not to exercise its subscription rights in full, its percentage ownership and voting rights in Pulse Biosciences will experience dilution. Also, the tax treatment of the Proposed Rights Offering may be treated as a taxable event to stockholders on the record date. Also, because no minimum subscription is required and because we do not have formal commitments from our stockholders for the entire amount we seek to raise pursuant to the Proposed Rights Offering, we cannot assure stockholders of the amount of proceeds that we will receive from the Proposed Rights Offering. Although Robert W. Duggan, chairman of our board of directors and the beneficial owner of approximately 69% of our outstanding common stock, has indicated that he intends to participate in the Proposed Rights Offering, he has not indicated at what level nor has he made any formal binding commitment to do so. Additionally, we do not have formal commitments from our other stockholders for the amount we seek to raise pursuant to the Proposed Rights Offering.</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filed a registration statement (including a prospectus) on Form S-3 with the SEC on April 3, 2024, as amended on each of April 15, 2024, April 23, 2024, April 25, 2024, and April 30, 2024. The registration statement covers, among other things, the Proposed Rights Offering. Before making any investment decision, stockholders should read the final prospectus in the registration statement (including the prospectus forming a part thereof), together with any prospectus supplement, that the Company will file prior to commencing the Proposed Rights Offering, and the documents incorporated by reference in the registration statement (including the prospectus forming a part thereof and any prospectus supplement), as well as the other documents the Company has filed with the SEC for more complete information about the Company and the Proposed Rights Offering. Stockholders may get these documents for free by visiting EDGAR on the SEC’s website at www.sec.gov.</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have not generated significant revenue and we may never become profitable.</w:t>
      </w:r>
    </w:p>
    <w:p>
      <w:pPr>
        <w:spacing w:after="0" w:line="229"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To date, we have not generated significant revenue and we have historically relied on financing from the sale of equity securities and loans to fund our operations. We expect that our future financial results will depend primarily on our success in launching, selling, and supporting our therapies and procedures using our NPS technology. We expect to expend significant resources on hiring of personnel, continued scientific and product research and</w:t>
      </w:r>
    </w:p>
    <w:p>
      <w:pPr>
        <w:sectPr>
          <w:pgSz w:w="11900" w:h="16838" w:orient="portrait"/>
          <w:cols w:equalWidth="0" w:num="1">
            <w:col w:w="11260"/>
          </w:cols>
          <w:pgMar w:left="300" w:top="121" w:right="339" w:bottom="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t>development, potential product testing and preclinical and clinical investigation, intellectual property development and prosecution,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Investment in medical technology is highly speculative because it entails substantial upfront capital expenditures and significant risk that any potential product will fail to demonstrate adequate efficacy or clinical utility. Our past successes in dermatology may not translate into similar results in cardiology or elsewhere. Investors should evaluate an investment in us in light of the uncertainties typically encountered by developing medical technology companies in a competitive environment. There can be no assurance that our efforts will be successful, either in cardiology or otherwise,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can give no assurance that our internal and external sources of liquidity will be sufficient for our cash requirements.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must have sufficient sources of liquidity to fund our working capital requirements and execute on our strategic initiatives. Future new product launches or investments in other growth initiatives may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and financial position.</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experienced operating losses and we expect to continue to incur operating losses for the next several years as we implement our business plan. Currently, we have no significant revenue from operations and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will need to raise additional capital in order to continue to execute our business plan. If we are unable to raise sufficient additional funds, we may need to scale back our future operations. Also, the ongoing armed conflicts in Ukraine, Israel and elsewhere, which have negatively impacted the global macroeconomic environment and capital markets, may make it more difficult for us to raise additional funds.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when we require it, we may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 If any of these things were to occur, our ability to grow and support our business and to respond to market challenges could be significantly limited or we may be unable to continue operations, in which case you could lose your entire investment.</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a consequence of our corporate realignment, we experienced employee turnover in 2022 higher than industry norms, and in February 2023 we continued to reduce headcount by eliminating another seven positions at the Company. If we decide to further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Also, any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engineering, and other personnel who are critical to our business. Any failure to attract or retain qualified personnel could prevent us from successfully developing and commercializing our new product candidates in the future.</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and future profitability are entirely dependent upon one family of products, the CellFX System, and one platform technology, Nano-pulse Stimulation.</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to date has been generated entirely from the CellFX System, which consists of a console, connectors and end-effectors, and these products and all our potential products under development are based upon the same patented platform technology, Nano-pulse Stimulation (“NPS”). Our future revenue is therefore dependent on the success of these products under development and platform technology. Reliance on a single family of products and single platform technology could negatively affect our results of operations and financial condition. Our ability to become profitable will depend upon the commercial success of these future products and platform technology.</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2021 to 2022, aesthetic and medical dermatologists were slow to adopt our products and even today they have used our products in only a small percentage of their eligible patients. Even if we are able to develop a safe and effective treatment for AF using our proprietary NPS technology, we can give no assurance that cardiologists would adopt NPS technology into their medical practices faster than dermatologists have.</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market the CellFX nsPFA Percutaneous Electrode System primarily to Otolaryngologists, Endocrine Surgeons, and Interventional Radiologists (“surgeons”) who may be slow or fail to adopt our products or who may use our products in only a small percentage of their eligible patients for a variety of reasons, including but not limited to:</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reimbursement or cost to the patient;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conviction regarding evidence supporting cost benefits or cost effectiveness of our products over existing alternatives;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clinical data showing longer-term patient benefits;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introduction of new technologies competitive to our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risks generally associated with the use of new products and procedures.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Moreover, our products, including our platform NPS technology, could be rendered obsolete or economically impractical by numerous factors, many of which are beyond our control, including but not limited to:</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of new competitors into our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 of alternative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relationships with suppliers, group purchasing organizations, or end-user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or supply interruptions;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product market acceptance;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existing regulatory approvals or the imposition of new requirements to maintain such approvals or to receive new approvals;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safety alerts.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could cause our stock price to decline.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from time to time, provide financial guidance about its business and future operating results. In developing this guidance, the Company’s management must make certain assumptions and judgments about its future operating performance, including but not limited to projected hiring of sales professionals, growth of revenue in the relevant device markets, increase or decrease of its market share, costs of production of its recently introduced products, and stability of the macro-economic environment in the Company’s key markets. Furthermore, analysts and investors may develop and publish their own projections of the Company’s business, which may form a consensus about the Company’s future performance. The Company’s business results may vary significantly from such guidance or that consensus due to a number of factors, many of which are outside of the Company’s control, and which could adversely affect its operations and operating results. Furthermore, if the Company makes downward revisions of its own previously announced guidance, or if the Company’s publicly announced guidance of future operating results fails to meet expectations of securities analysts, investors or other interested parties, the price of the Company’s common stock could decline.</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162" w:lineRule="exact"/>
        <w:rPr>
          <w:sz w:val="20"/>
          <w:szCs w:val="20"/>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commercialization activities relating to our product and product candidates, which may change from time to time;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approvals or clearances for our product candidates from regulatory authorities internationally or in the United States, such as the U.S. FDA;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our clinical trials;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 and product candidates, including the degree to which procedures using our products are covered and receive adequate reimbursement from third-party payors, and potential future drugs or devices that compete with our products;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products, as well as building out our supply chain, which may vary depending on the quantity of production and which will vary significantly depending upon the terms of our agreements with manufacturers;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and any product candidates, if approved or cleared, which may vary significantly over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patent, employment, securities class action, stockholder derivative, general commercial, and other lawsuits;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previously publicly stated revenue or earnings guidance.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operate in highly competitive markets, we can expect to face competition from large well-established manufacturers of medical technologies, devices and similar products; we may not be able to compete effectively against companies with significantly more resources.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For example, Abbott Laboratories, AtriCure, Inc., Boston Scientific Corporation, Johnson &amp; Johnson (Biosense Webster), Medtronic plc, and several other companies all sell ablation-based surgical and catheter-based medical devices for the treatment of heart arrhythmias, including AF, and additionally, many of these companies are also actively developing PFA products for the treatment of AF. We will find ourselves in competition with one or more of these companies, all of which may have competitive advantages over us, such as:</w:t>
      </w:r>
    </w:p>
    <w:p>
      <w:pPr>
        <w:spacing w:after="0" w:line="18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healthcare professionals, customers, and third-party payers;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with greater efficacy or better safety profiles;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distribution networks;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offer rebates, higher discounts, or incentives to gain a competitive advantage;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obtaining patents and regulatory approvals for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conducting new product research and development, manufacturing therapies, conducting clinical trials, obtaining regulatory approval for products, and marketing approved products;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may also face increased competition in the future as new companies enter our markets and as scientific developments surrounding electro-signaling therapeutics continue to accelerate. For example, the current standard of care in cardiac tissue ablation for the treatment of AF is the use of thermal ablation modalities, primarily the use of radiofrequency ablation. While we will seek to expand our technological capabilities to remain competitive, research and development by others may render our technology or product candidates obsolete or noncompetitive or result in treatments or cures superior to any therapy developed by us.</w:t>
      </w:r>
    </w:p>
    <w:p>
      <w:pPr>
        <w:spacing w:after="0" w:line="179"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for our sales, marketing, manufacturing, and/or distribution activities, and these third parties may not perform satisfactorily.</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To be able to commercialize our products and planned products, we may elect to internally develop aspects of sales, marketing, large-scale manufacturing, or distribution, or we may elect to use third parties with respect to one or more of these functions. Our reliance on these third parties may reduce our control over these functions; however, reliance on third parties does not relieve us of our responsibility to ensure compliance with all required legal, regulatory, and scientific standards. Any failure of these third parties to perform satisfactorily and in compliance with relevant laws and regulations could lead to delays in the development of our products or planned products, including delays in our clinical trials, or failure to obtain necessary regulatory approvals, or failure to successfully commercialize our products or other future products. Some of these events could be the basis for FDA or other regulatory action, including injunction, recall, seizure, or total or partial suspension of production.</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recently commenced revenue-producing operations; however, we may be unsuccessful in earning significant revenues. 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highly dependent upon the principal members of our management team, including our Chief Executive Officer, Kevin Danahy, and our Chief Technology Officer, Darrin Uecker, and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8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very limited experience selling the CellFX System.</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Successfully commercializing medical devices such as ours is a complex and uncertain process. We began marketing and selling the CellFX System in the United States, Canada, and certain limited European markets in late 2021 to dermatologists through a limited direct sales force. In January 2022, we established an operating company in the Netherlands to further enhance our operations in Europe. However, in 2022 and 2023 we eliminated all of our full-time sales and marketing positions and, as of December 31, 2023, we had no U.S. or international sales force. We have only just recently begun to hire employees to help market and sell our CellFX nsPFA Percutaneous Electrode System. As of March 2024, our U.S. sales and marketing team consisted of just two employees, a Vice President focusing on the surgical ablation market and a Global Senior Director focusing on the minimally invasive surgery market. We therefore have limited experience marketing and selling the CellFX System and our revenues and cash flows have been volatile and difficult to predict.</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intend to hire and train a very limited number of sales representatives and clinical specialists with backgrounds and experience in the relevant markets, especially those familiar with energy-based therapies and who have existing relationships with otolaryngologists, endocrine surgeons, interventional radiologists, and cardiothoracic surgeons. However, we expect that our sales force will require lead time in the field to grow their network of accounts and achieve the productivity levels we expect them to reach in any individual territory. Furthermore, the use of our product will often require or benefit from direct support from us.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commercialization efforts depend on the efforts of our management and sales team, our third-party manufacturers and suppliers, physicians and medical clinics, and general economic conditions, among other factors, including the following:</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sales efforts in the United States and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educating surgeons and other physicians and patients about the benefits, administration and use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physicians and patients of the safety and effectiveness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competing therapies;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compliance with all regulatory requirements applicable to our products.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While few in number, we expect our direct sales representatives to develop long-lasting relationships with the surgeons they serve. Our future success will depend largely on our ability to continue to hire, train, retain and motivate skilled direct sales representatives with significant technical knowledge in various areas, such as cardiology, minimally invasive surgery, and ablation technologies.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Also, if our direct sales representatives or third-party distributors fail to adequately promote, market and sell our products or decide to leave or cease to do business with us, our sales could significantly decrease or grow at a rate too slow to become profitable. In addition, our future sales will largely depend on our ability to increase our marketing efforts and adequately address our customers’ needs. If we are unable to adequately address our customers’ needs, it could negatively impact sales and market acceptance of our products, and we may not generate sufficient revenue to become profitable. 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technology in life sciences could make the products we are developing obsolete.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w:t>
      </w:r>
    </w:p>
    <w:p>
      <w:pPr>
        <w:sectPr>
          <w:pgSz w:w="11900" w:h="16838" w:orient="portrait"/>
          <w:cols w:equalWidth="0" w:num="1">
            <w:col w:w="11240"/>
          </w:cols>
          <w:pgMar w:left="320" w:top="121" w:right="339" w:bottom="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proven expertise or in areas which have unproven market demand. Any new products developed by us may not be accepted in the intended markets. Our inability to gain market acceptance of new products could harm our future operating results.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the anticipated growth of our business, our future revenue and operating results may be harmed.</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From time to time, we have experienced rapid growth in our business. Recent and future growth imposes significant added responsibilities on management, including the need to identify, recruit, train, and integrate additional employees. Rapid expansion in personnel could mean that fewer experienced people carry out our research and development activities, manufacture, market, and sell CellFX Systems and NPS therapies and procedures,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other unexpected expansion difficulties, could have a material adverse effect on our business, financial condition and results of operations, and our ability to timely execute our business plan. We may be unable to maintain the quality of, or delivery timelines of, our products or satisfy customer demand as it grows. Our ability to manage our growth properly will require us to continue to improve our operational, financial and management controls, as well as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 We cannot guarantee that any of the personnel, systems, procedures, and controls we put in place will be adequate to support the manufacture and distribution of our products. If we are unable to manage our growth effectively, it may be difficult for us to execute our business strategy and our business could be harmed.</w:t>
      </w:r>
    </w:p>
    <w:p>
      <w:pPr>
        <w:spacing w:after="0" w:line="18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educate and train surgeons and their staff on the proper use of the CellFX System; if our customers do not adopt our technology into their medical practices, or adopt our technology slower than expected, our business could suffer.</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most surgeons may have adequate knowledge on how to use our novel CellFX System based on their clinical training and experience, we believe that the most effective way to introduce and build market demand for our products is by directly training surgeons and other physicians in the use of our products. Convincing them to dedicate the time and energy necessary for adequate training is challenging, and we cannot assure you that we will succeed in these efforts. If surgeons and other physicians are not properly trained, they may not use our products and, as a result, we may not maintain or grow our sales or achieve or sustain profitability. If surgeons and other physicians are not properly trained, they may also misuse or ineffectively use our products, which may result in unsatisfactory patient outcomes, patient injury, negative publicity, or lawsuits against us, any of which could have a significant adverse effect on our business, financial condition and results of operations.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our strategy includes educating key opinion leaders in the industry. If these key opinion leaders determine that alternative technologies are more effective or that the benefits offered by our products are not sufficient to justify their higher cost, or if we encounter difficulty promoting adoption or establishing these systems as a standard of care, our ability to achieve market acceptance of the products we introduce could be significantly limited and our business could suffer.</w:t>
      </w:r>
    </w:p>
    <w:p>
      <w:pPr>
        <w:spacing w:after="0" w:line="176"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encounter manufacturing problems or delays that could result in lost revenue or slower than anticipated product development. Additionally, we currently rely on third-party suppliers for critical materials needed to manufacture the CellFX System and related applicators. Any problems experienced by these suppliers could result in a delay or interruption of their supply to us and, as a result, we may face delays in the development and commercialization of products.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currently rely upon third-party suppliers to manufacture and supply components for the CellFX System and for our products under development. We perform final assembly of our CellFX devices at our facility in California. The manufacture of the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products and products under development in a manner that conforms to our specifications and these strict regulatory requirements, we may not be able to rely on their manufacturing facilities in the future.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currently purchase components for our products under development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Any failure of these suppliers to perform satisfactorily could adversely impact our business and results of operations and we may experience delays in manufacturing of our devices while finding another acceptable supplier.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the commercial viability of the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surgeons and other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surgeons and other physicians may be discouraged from using them, and our sales would suffer.</w:t>
      </w:r>
    </w:p>
    <w:p>
      <w:pPr>
        <w:spacing w:after="0" w:line="1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the CellFX System or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Product-Related Risks</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CellFX System and any future product candidates may cause serious adverse side effects or have other properties that could delay or prevent their regulatory approval, limit their commercial desirability or result in significant negative consequences.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risk of failure of clinical development is high. For example, the vast majority of our in vivo data has been a result of animal testing outside of cardiac animal models, and we have only completed a limited number of feasibility studies in humans, most of which have examined the use of our CellFX System in dermatologic conditions, even though we have been conducting a clinical study of our percutaneous electrode in Italy and a clinical study of our cardiac catheter in the Czech Republic. Undesirable side effects caused by the CellFX System, NPS pulses, or any of our planned future products could cause us, any partners of ours,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if we or others identify undesirable side effects caused by the CellFX System, a number of potentially significant negative consequences could result, including:</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recall such product and suspend the marketing of such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approvals of such product;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and/or narrow the indication of use for the product which could diminish the usage or otherwise limit the commercial success of such product;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issue safety alerts, “Dear Healthcare Provider” letters, press releases, or other communications containing warnings about such product;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restrict distribution of our product and impose burdensome implementation requirements on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could suffer.</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CellFX System or of any future particular planned product, if approved.</w:t>
      </w:r>
    </w:p>
    <w:p>
      <w:pPr>
        <w:spacing w:after="0" w:line="15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 To date, we have had only preclinical experience using NPS technology in animal models of cardiac disease and very limited clinical experience treating AF with our CellFX nsPFA 360° Cardiac Catheter; our past successes in dermatology may not translate into similar results in cardiology. In particular, the safety and efficacy data we have generated using NPS technology and the CellFX System to treat benign lesions in the skin and the preliminary feasibility results we have seen in benign thyroid nodules might not be replicated in other areas of medicine, including the use of CellFX nsPFA technology and the CellFX System to treat AF or other cardiac disease.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growth depends on our ability to develop marketable products to treat AF, tumors and nodules through our research and development efforts, and if we fail to do so we may be unable to compete effectively or we may decide to scale back or eliminate some or all of our activities or otherwise curtail, suspend or discontinue our operations entirely.</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intense competition, rapid technological changes, new product introductions and enhancements, and evolving industry standards. Our business prospects depend in part on our ability to develop new products and applications for our NPS technology, including in new markets that develop as a result of technological and scientific advances.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Moreover, if our technology cannot be used to successfully treat AF, we may decide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Interim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top-line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announce are subject to the risk that one or more of the clinical outcomes may materially change as more follow-up data are gathered, patient enrollment continues and more patient data become available. Preliminary or top-line results, including our preliminary data from our feasibility thyroid nodule study and our first-in-human cardiac catheter study, also remain subject to audit and verification procedures that may result in the final data being materially different from the preliminary data we previously published or announced.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necessary regulatory clearance for our product, or if clearances or approvals for future devices and indications are delayed or not issued, the commercial prospects for our CellFX System and other NPS technologies would be harmed.</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design, development and manufacture;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preclinical and clinical testing, labeling, packaging, and storage;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marketing, promotion and advertising, sales and distribution;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and serious injuries and recalls and correction and removals.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FDA and state authorities have broad enforcement powers. Our failure to comply with applicable regulatory requirements could result in enforcement action by the FDA or state agencies, which may include any of the following sanctions, among others:</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repair, replace, refund, or recall our marketed devices, or government seizure of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or premarket approval of new devices, new intended uses or modifications to existing devices;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premarket approvals that have already been granted;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any of these events were to occur, our business and financial condition would be harmed.</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mechanism of action of NPS technology platform has not been fully determined or validated.</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exact mechanism(s) of action(s) of our NPS technology platform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Laboratory conditions differ from commercial conditions and field conditions, and the safety and effectiveness of our product candidates may depend on the technique of the user.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Observations and developments that may be achievable under laboratory circumstances may not be able to be replicated in broader research and development phases, in commercial settings, or in the use of any of any product or product candidates in the field. Furthermore, our NPS technologies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Issues with our firmware and software may negatively affect the function of our devices.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sectPr>
          <w:pgSz w:w="11900" w:h="16838" w:orient="portrait"/>
          <w:cols w:equalWidth="0" w:num="1">
            <w:col w:w="11240"/>
          </w:cols>
          <w:pgMar w:left="320" w:top="121" w:right="339" w:bottom="393"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93"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Cybersecurity, Data Privacy, &amp; Litigation</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then our financial condition, results of operations and the value of our technology and products could be adversely affected.</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Patents and other proprietary rights are essential to our business and our ability to compete effectively with other companies is dependent upon the proprietary nature of our technologies. Similarly, our future success partnering our NPS technologies, including our CellFX System, will depend greatly on the perceived strength and reach of the patents protecting those technologies against unlicensed competitors.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8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will not necessarily provide us with competitive advantages.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or our future commercial partners to maintain a competitive advantage. The following examples are illustrative:</w:t>
      </w:r>
    </w:p>
    <w:p>
      <w:pPr>
        <w:spacing w:after="0" w:line="176"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claims of the patents that we own or have exclusively licensed;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on our intellectual property rights;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harm our business.</w:t>
      </w:r>
    </w:p>
    <w:p>
      <w:pPr>
        <w:sectPr>
          <w:pgSz w:w="11900" w:h="16838" w:orient="portrait"/>
          <w:cols w:equalWidth="0" w:num="1">
            <w:col w:w="11240"/>
          </w:cols>
          <w:pgMar w:left="320" w:top="121" w:right="339" w:bottom="609"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88"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whom we rely, are or were compromised, we could experience adverse consequences resulting from such compromise, including, but not limited to, regulatory investigations and actions; litigation (including class claims); fines and penalties; a disruption of our business operations such as our clinical trials; reputational harm; loss of revenue and profits; and other adverse consequences.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information technology systems as well as those of our third-party partners, consultants, contractors, suppliers, and service providers, may be vulnerable to attack, damage and interruption from physical or electronic break-ins, accidental or intentional exposure of our data by employees or others with authorized access to our networks, computer viruses, malware, ransomware, malicious code, phishing attacks and other social engineering schemes, denial or degradation of service attacks, attacks by sophisticated nation-state and nation-state-supported actors, supply chain attacks, natural disasters, terrorism, war, telecommunication and electrical failure, denial of service, and other cyberattacks or disruptive incidents that could result in unauthorized access to, use or disclosure of, corruption of, or loss of sensitive, and/or proprietary data, including health-related and other personal information.</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(and third parties upon whom we rely) may collect, receive, store, use, transfer, make accessible, protect, secure, dispose of, transmit, disclose or otherwise process proprietary, confidential and sensitive information, including personal data, such as health-related data and participant study related data, intellectual property, and trade secrets (collectively, “sensitive data”). We may share or receive sensitive data with or from third parties whose information security measures may not be adequate. In particular, the COVID-19 pandemic has caused us to modify our information technology practices including that our employees may work remotely which increases the risk of data breaches. Additionally, the prevalent use of mobile devices that access our sensitive data increases the risk of data breaches.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The costs to us to attempt to protect against such breaches can be significant and could potentially require us to modify our business, including non-clinical and clinical trial activities. While we have implemented security measures designed to protect our information technology systems and to identify and remediate potential vulnerabilities, such measures may not be successful. We may not be able to detect vulnerabilities in our information technology systems because such threats and techniques used by threat actors change frequently are sophisticated in nature and may not be detected until after a security incident has occurred.</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we, or others upon whom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disruptions to our clinical trials), interruptions or restrictions on processing sensitive data (which could result in delays in obtaining, or our inability to obtain, regulatory approvals and significantly increase our costs to recover or reproduce the sensitive data), unauthorized, unlawful or accidental loss, corruption, access, modification, destruction, alteration, acquisition or disclosure of sensitive data, such as clinical trial data, reputational harm, litigation (including class-action claims), indemnification obligations, monetary fund diversions, financial loss and other harms. In particular, ransomware attacks are becoming increasingly prevalent and severe and can lead to significant disruptions to operations, loss of data and income, reputational harm and diversion of funds.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In addition, such a breach may require notification of the breach to relevant stakeholders. Such disclosures are costly and the disclosure or the failure to comply with such requirements could lead to adverse consequences. We maintain cyber liability insurance;</w:t>
      </w:r>
    </w:p>
    <w:p>
      <w:pPr>
        <w:sectPr>
          <w:pgSz w:w="11900" w:h="16838" w:orient="portrait"/>
          <w:cols w:equalWidth="0" w:num="1">
            <w:col w:w="11240"/>
          </w:cols>
          <w:pgMar w:left="320" w:top="121" w:right="339" w:bottom="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t>however, this insurance may not be sufficient to cover the financial, legal, business or reputational losses that may result from an interruption or breach of our systems.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our product or any future products that we may develop.</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spacing w:after="0" w:line="18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or any planned products that we may develop;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our clinical studies or cancellation of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 distraction to our management team;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investigations or enforcement actions;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future products that we may develop.</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For example, during the course of treatment, patients may suffer adverse events for reasons that may or may not be related to the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 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domestic and foreign regulation. Any unfavorable regulatory action or adverse change in law may materially and adversely affect our future financial condition and business operations and prospects.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CellFX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8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 significant indeterminate amount of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expenditure of substantial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rigorous preclinical and clinical testing, and possibly post-market surveillance;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modifications, repairs or replacements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design changes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limitations on the indicated uses of our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never being granted the regulatory approval or clearance we seek.</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we experience any of these occurrences, our operations may suffer and we might experience harm to our competitive standing, which could adversely affect our financial condition.</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Changes in healthcare policy could increase our costs and subject us to additional regulatory requirements that may interrupt commercialization of our current and future solutions. Changes in healthcare policy could increase our costs, decrease our revenues, and impact sales of and reimbursement for our current and future solutions. The Affordable Care Act substantially changes the way healthcare is financed by both governmental and private insurers, and significantly impacts our industry. The Affordance Care Act contains a number of provisions that impact our business and operations, some of which in ways we cannot currently predict, including those governing enrollments in federal healthcare programs and reimbursement changes.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for our current and future solutions or the amounts of reimbursement available for our current and future solutions from governmental agencies or third-party payors. While in general it is too early to predict specifically what effect the Affordable Care Act and its implementation or any future healthcare reform legislation or policies will have on our business, current and future healthcare reform legislation and policies could have a material adverse effect on our business and financial condition.</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All our product development depends upon maintaining strong working relationships with physicians.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development, marketing, and sale of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ectPr>
          <w:pgSz w:w="11900" w:h="16838" w:orient="portrait"/>
          <w:cols w:equalWidth="0" w:num="1">
            <w:col w:w="11240"/>
          </w:cols>
          <w:pgMar w:left="320" w:top="121" w:right="339" w:bottom="609"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and other laws and regulations relating to our business and could face substantial penalties if we are determined not to have fully complied with such laws, which could have an adverse impact on our business.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87" w:lineRule="exact"/>
        <w:rPr>
          <w:sz w:val="20"/>
          <w:szCs w:val="20"/>
          <w:color w:val="auto"/>
        </w:rPr>
      </w:pPr>
    </w:p>
    <w:p>
      <w:pPr>
        <w:jc w:val="both"/>
        <w:ind w:left="66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CCPA requires covered companies to, among other things provide new disclosures to California consumers and afford such consumers new abilities to opt-out of certain sales of personal information. We cannot yet predict the impact of the CCPA or the recently approved CPRA on our business or operations, but it may require us to modify our data processing practices and policies and could cause us to incur substantial costs and expenses in an effort to comply;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implemented compliance related programs and procedures consistent with our stage of development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Also, any material change to any of the laws or regulations applicable to our business could harm our business, financial condition and results of operations.</w:t>
      </w:r>
    </w:p>
    <w:p>
      <w:pPr>
        <w:sectPr>
          <w:pgSz w:w="11900" w:h="16838" w:orient="portrait"/>
          <w:cols w:equalWidth="0" w:num="1">
            <w:col w:w="11240"/>
          </w:cols>
          <w:pgMar w:left="320" w:top="121" w:right="33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obtain the necessary device approvals or clearances from regulatory authorities for our future product candidates, we will have to conduct various preclinical and clinical tests, which may be costly and time consuming, and may not provide results that will allow us to seek regulatory approval or clearance.</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spacing w:after="0" w:line="18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deem a technology or device to be reasonably safe or effective for any intended use or indication;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interpret data from preclinical and clinical testing differently than we do;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our manufacturing facility or processes do not comply with quality system regulations;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conclude that our products do not meet quality standards for durability, long-term reliability, biocompatibility, electromagnetic compatibility, or electrical safety;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their approval or clearance policies or adopt new regulations in a manner that is adverse to us.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potential device or product ultimately is cleared or approved by regulatory authorities, it may be cleared or approved only for narrow indications which may render it commercially less viable.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ongoing requirements and inspections that could lead to the restriction, suspension or revocation of our clearance.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ectPr>
          <w:pgSz w:w="11900" w:h="16838" w:orient="portrait"/>
          <w:cols w:equalWidth="0" w:num="1">
            <w:col w:w="11240"/>
          </w:cols>
          <w:pgMar w:left="320" w:top="121" w:right="339" w:bottom="111" w:gutter="0" w:footer="0" w:header="0"/>
        </w:sectPr>
      </w:pPr>
    </w:p>
    <w:p>
      <w:pPr>
        <w:spacing w:after="0" w:line="185"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regulations and any failure to comply with applicable laws could subject us to significant liabilities and harm our business.</w:t>
      </w:r>
    </w:p>
    <w:p>
      <w:pPr>
        <w:sectPr>
          <w:pgSz w:w="11900" w:h="16838" w:orient="portrait"/>
          <w:cols w:equalWidth="0" w:num="1">
            <w:col w:w="11240"/>
          </w:cols>
          <w:pgMar w:left="320" w:top="121" w:right="339" w:bottom="111" w:gutter="0" w:footer="0" w:header="0"/>
          <w:type w:val="continuous"/>
        </w:sectPr>
      </w:pPr>
    </w:p>
    <w:bookmarkStart w:id="49" w:name="page50"/>
    <w:bookmarkEnd w:id="49"/>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actual or perceived violations of applicable anti-corruption law or our own internal policies designed to ensure ethical business practices.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anti-bribery, anti-corruption, and anti-money laundering laws, including the U.S. Foreign Corrupt Practices Act of 1977, or FCPA, and similar anti-bribery laws in non-U.S. jurisdictions, as well as export control laws, customs laws, sanctions laws and other laws governing our operations. As we grow our international presence and global operations, we will be increasingly exposed to trade and economic sanctions and other restrictions imposed by the United States, the European Union, and other governments and organizations.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Anti-corruption laws, such as the FCPA and the U.K. Anti-Bribery Act, generally prohibit us and our employees and intermediaries from bribing, being bribed or making other prohibited payments to government officials or other persons to obtain or retain business or gain some other business advantage. The FCPA also imposes accounting standards and requirements on publicly traded U.S. corporations and their foreign affiliates, which are intended to prevent the diversion of corporate funds to the payment of bribes and other improper payments. Numerous other laws restrict, and in some cases prohibit,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 Compliance with these regulations is costly.</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 Although we have implemented company policies requiring our employees and consultants to comply with the FCPA and similar laws, such policies may not be effective at preventing all potential FCPA or other violations. There can be No assurance that none of our employees and agents, or those companies to which we outsource certain portions of our business operations, will not take actions that violate our policies or applicable laws, for which we may be ultimately held responsible. Our development of infrastructure designed to identify anti-corruption matters and monitor compliance is at an early stage. If we are not in compliance with these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these laws by respective government bodies could also have an adverse impact on our reputation, our business,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5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planned products or those of our competitors;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regulatory bodies, such as the FDA, that affect our business or have the effect of delaying or rejecting approval or clearance of our planned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customers, partners or suppliers relating directly or indirectly to our products, services or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the CellFX System or to our planned end-effectors;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achievement of significant milestones;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or our ability to obtain intellectual property protection for our technologies;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security breaches;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volume fluctuations attributable to inconsistent trading volume levels of our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guidance and ratings issued by securities or industry analysts;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conditions in our industry and market, including the negative impact of armed conflicts, health epidemics and climate change on the global economy and markets;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ectPr>
          <w:pgSz w:w="11900" w:h="16838" w:orient="portrait"/>
          <w:cols w:equalWidth="0" w:num="1">
            <w:col w:w="11240"/>
          </w:cols>
          <w:pgMar w:left="320" w:top="121" w:right="339" w:bottom="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Executive 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Sales or purchases of shares of our common stock may adversely affect the market for our common stock.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Executive 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spacing w:after="0" w:line="18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exist for our common stock and as a result it may be difficult for you to sell your common stock.</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79"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by our principal stockholder limits the ability of others to influence the outcome of director elections and other transactions requiring stockholder approval, or create the potential for conflicts of interest.</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majority percentage of our outstanding stock is held by Robert W. Duggan, Executive Chairman of our Board, who beneficially owns approximately 69% of our common stock outstanding as of the date of this Annual Report. As a result, Mr. Duggan has control over corporate actions requiring stockholder approval, including the following actions:</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or defeat the election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or prevent amendment of our certificate of incorporation or bylaws;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or prevent a merger, sale of assets or other corporate transaction;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control the outcome of any other matter submitted to our stockholders for vote.</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Mr. Duggan’s controlling interest in the Company also creates the potential for conflicts of interest which be viewed unfavorably by minority stockholders, thereby hurting our stock price. For example, in November 2021, we engaged outside legal counsel to represent the Company even though the same legal counsel currently represents Mr. Duggan personally in other matters. This legal counsel represented Mr. Duggan in certain related party transactions described herein and could represent both the Company and Mr. Duggan in future related party transactions. Four of our directors, including Mr. Duggan and Manmeet Soni, our Lead Independent Director and Audit Committee Chairman, are executives at Summit Therapeutics Inc., another company in which Mr. Duggan holds a controlling equity interest. There are no family relationships among any of our directors or executive officers, however, Mr. Duggan and Dr. Zanganeh have a personal relationship with each other.</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172"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Robert W. Duggan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controlling ownership position may impact our stock price and may deter or prevent efforts by others to acquire us, which could prevent our stockholders from realizing a control premium.</w:t>
      </w:r>
    </w:p>
    <w:p>
      <w:pPr>
        <w:sectPr>
          <w:pgSz w:w="11900" w:h="16838" w:orient="portrait"/>
          <w:cols w:equalWidth="0" w:num="1">
            <w:col w:w="11240"/>
          </w:cols>
          <w:pgMar w:left="320" w:top="121" w:right="339" w:bottom="0" w:gutter="0" w:footer="0" w:header="0"/>
        </w:sectPr>
      </w:pPr>
    </w:p>
    <w:bookmarkStart w:id="53" w:name="page54"/>
    <w:bookmarkEnd w:id="53"/>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Robert W. Duggan is our Executive Chairman, and he beneficially owns approximately 69% of our common stock outstanding as of the date of this Annual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Mr. Duggan’s controlling ownership and position as Executive 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smaller reporting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we cannot be certain if the applicable reduced disclosure requirements will make our common stock less attractive to investors.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83"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market price and trading volume could decline.</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have no plans to pay dividends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80"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50,000,000 shares of preferred stock and up to approximately 500,000,000 shares of authorized but unissued shares of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holders of at least 66 2/3% of the voting power of all the then outstanding shares of our voting stock, voting together as a single class, to amend provisions of our certificate of incorporation or our bylaws;</w:t>
      </w:r>
    </w:p>
    <w:p>
      <w:pPr>
        <w:sectPr>
          <w:pgSz w:w="11900" w:h="16838" w:orient="portrait"/>
          <w:cols w:equalWidth="0" w:num="1">
            <w:col w:w="11240"/>
          </w:cols>
          <w:pgMar w:left="320" w:top="121" w:right="339" w:bottom="0" w:gutter="0" w:footer="0" w:header="0"/>
        </w:sectPr>
      </w:pPr>
    </w:p>
    <w:bookmarkStart w:id="55" w:name="page56"/>
    <w:bookmarkEnd w:id="55"/>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board of directors the ability to amend our bylaws by majority vote;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22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the negative impact of armed conflicts, health epidemics and global warming on the global economy and markets. A global financial crisis or a banking crisis or a global or regional political disruption could cause extreme volatility in the capital and credit markets. The Company places its cash equivalents and investments with high credit quality financial institutions and, by policy, limits the amounts invested with any one financial institution or issuer and restricts the Company’s investments to U.S. treasuries and money market instruments. However, in general the Company’s deposits held with banks exceed the amount of insurance provided on such deposits. Despite our low-risk investment policies, a severe or prolonged economic downturn or political disruption could result in a variety of risks to our business, including our ability to raise additional capital when needed on acceptable terms, if at all. A weak or declining economy, banking crisis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spacing w:after="0" w:line="190"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9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may materially adversely affect us.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three-month period ended March 31, 2024, we completed no unregistered sale of our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March 31, 2024, none of our directors or officers (as defined in Rule 16a-1(f) under the Exchange Act) adopted or terminated a “Rule 10b5-1 trading arrangement” or a “non-Rule 10b5-1 trading arrangement” as such terms are defined under Item 408 of Regulation S-K.</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1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2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93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Executive Officer pursuant to Section 906 of the Sarbanes-Oxley Act of 2002 (18 U.S.C. Section 1350).</w:t>
            </w:r>
          </w:p>
        </w:tc>
        <w:tc>
          <w:tcPr>
            <w:tcW w:w="520" w:type="dxa"/>
            <w:vAlign w:val="bottom"/>
          </w:tcPr>
          <w:p>
            <w:pPr>
              <w:spacing w:after="0"/>
              <w:rPr>
                <w:sz w:val="17"/>
                <w:szCs w:val="17"/>
                <w:color w:val="auto"/>
              </w:rPr>
            </w:pPr>
          </w:p>
        </w:tc>
      </w:tr>
      <w:tr>
        <w:trPr>
          <w:trHeight w:val="21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jc w:val="both"/>
        <w:ind w:firstLine="8"/>
        <w:spacing w:after="0" w:line="261" w:lineRule="auto"/>
        <w:tabs>
          <w:tab w:leader="none" w:pos="1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Quarterly Report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240" w:type="dxa"/>
            <w:vAlign w:val="bottom"/>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PULSE BIOSCIENCES,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724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By:    /s/  Kevin P. Danahy</w:t>
            </w:r>
          </w:p>
        </w:tc>
      </w:tr>
      <w:tr>
        <w:trPr>
          <w:trHeight w:val="187"/>
        </w:trPr>
        <w:tc>
          <w:tcPr>
            <w:tcW w:w="34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1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Kevin P. Danahy</w:t>
            </w:r>
          </w:p>
        </w:tc>
      </w:tr>
      <w:tr>
        <w:trPr>
          <w:trHeight w:val="218"/>
        </w:trPr>
        <w:tc>
          <w:tcPr>
            <w:tcW w:w="3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tc>
      </w:tr>
      <w:tr>
        <w:trPr>
          <w:trHeight w:val="236"/>
        </w:trPr>
        <w:tc>
          <w:tcPr>
            <w:tcW w:w="3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and Principal Financial Officer)</w:t>
            </w:r>
          </w:p>
        </w:tc>
      </w:tr>
      <w:tr>
        <w:trPr>
          <w:trHeight w:val="432"/>
        </w:trPr>
        <w:tc>
          <w:tcPr>
            <w:tcW w:w="3440" w:type="dxa"/>
            <w:vAlign w:val="bottom"/>
          </w:tcPr>
          <w:p>
            <w:pPr>
              <w:spacing w:after="0"/>
              <w:rPr>
                <w:sz w:val="24"/>
                <w:szCs w:val="24"/>
                <w:color w:val="auto"/>
              </w:rPr>
            </w:pPr>
          </w:p>
        </w:tc>
        <w:tc>
          <w:tcPr>
            <w:tcW w:w="30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48</w:t>
            </w:r>
          </w:p>
        </w:tc>
        <w:tc>
          <w:tcPr>
            <w:tcW w:w="41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SECURITIES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Danahy,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Pulse Biosciences,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77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Kevin P. Danahy</w:t>
            </w:r>
          </w:p>
        </w:tc>
      </w:tr>
      <w:tr>
        <w:trPr>
          <w:trHeight w:val="191"/>
        </w:trPr>
        <w:tc>
          <w:tcPr>
            <w:tcW w:w="34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Kevin P. Danahy</w:t>
            </w:r>
          </w:p>
        </w:tc>
      </w:tr>
      <w:tr>
        <w:trPr>
          <w:trHeight w:val="216"/>
        </w:trPr>
        <w:tc>
          <w:tcPr>
            <w:tcW w:w="34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and Principal Financial Officer)</w:t>
            </w:r>
          </w:p>
        </w:tc>
      </w:tr>
    </w:tbl>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Pulse Biosciences, Inc. (the “Company”) on Form 10-Q for the period ended March 31, 2024 as filed with the Securities and Exchange Commission on the date hereof (the “Report”), the undersigned certifies, pursuant to 18 U.S.C. Section 1350, as adopted pursuant to Section 906 of the Sarbanes-Oxley Act of 2002, that to the best of his knowledge:</w:t>
      </w:r>
    </w:p>
    <w:p>
      <w:pPr>
        <w:spacing w:after="0" w:line="176" w:lineRule="exact"/>
        <w:rPr>
          <w:sz w:val="20"/>
          <w:szCs w:val="20"/>
          <w:color w:val="auto"/>
        </w:rPr>
      </w:pPr>
    </w:p>
    <w:p>
      <w:pPr>
        <w:ind w:left="840" w:hanging="382"/>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60" w:hanging="502"/>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P. Danahy</w:t>
            </w:r>
          </w:p>
        </w:tc>
      </w:tr>
      <w:tr>
        <w:trPr>
          <w:trHeight w:val="191"/>
        </w:trPr>
        <w:tc>
          <w:tcPr>
            <w:tcW w:w="6040" w:type="dxa"/>
            <w:vAlign w:val="bottom"/>
          </w:tcPr>
          <w:p>
            <w:pPr>
              <w:spacing w:after="0"/>
              <w:rPr>
                <w:sz w:val="16"/>
                <w:szCs w:val="16"/>
                <w:color w:val="auto"/>
              </w:rPr>
            </w:pP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P. Danahy</w:t>
            </w:r>
          </w:p>
        </w:tc>
      </w:tr>
      <w:tr>
        <w:trPr>
          <w:trHeight w:val="216"/>
        </w:trPr>
        <w:tc>
          <w:tcPr>
            <w:tcW w:w="60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04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and Principal Financial Officer)</w:t>
            </w: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4"/>
    </w:lvl>
  </w:abstractNum>
  <w:abstractNum w:abstractNumId="3">
    <w:nsid w:val="431BD7B7"/>
    <w:multiLevelType w:val="hybridMultilevel"/>
    <w:lvl w:ilvl="0">
      <w:lvlJc w:val="left"/>
      <w:lvlText w:val="(%1)"/>
      <w:numFmt w:val="lowerRoman"/>
      <w:start w:val="2"/>
    </w:lvl>
  </w:abstractNum>
  <w:abstractNum w:abstractNumId="4">
    <w:nsid w:val="3F2DBA31"/>
    <w:multiLevelType w:val="hybridMultilevel"/>
    <w:lvl w:ilvl="0">
      <w:lvlJc w:val="left"/>
      <w:lvlText w:val="%1."/>
      <w:numFmt w:val="decimal"/>
      <w:start w:val="8"/>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2024-05-07T15:48:47Z</dcterms:created>
  <dcterms:modified xsi:type="dcterms:W3CDTF">2024-05-07T15:48:47Z</dcterms:modified>
</cp:coreProperties>
</file>