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7613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1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7613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jc w:val="center"/>
        <w:ind w:right="-45"/>
        <w:spacing w:after="0" w:line="22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45"/>
        <w:spacing w:after="0" w:line="222" w:lineRule="auto"/>
        <w:rPr>
          <w:sz w:val="20"/>
          <w:szCs w:val="20"/>
          <w:color w:val="auto"/>
        </w:rPr>
      </w:pPr>
      <w:r>
        <w:rPr>
          <w:rFonts w:ascii="Times New Roman" w:cs="Times New Roman" w:eastAsia="Times New Roman" w:hAnsi="Times New Roman"/>
          <w:sz w:val="14"/>
          <w:szCs w:val="14"/>
          <w:b w:val="1"/>
          <w:bCs w:val="1"/>
          <w:color w:val="auto"/>
        </w:rPr>
        <w:t>Washington, D.C. 20549</w:t>
      </w:r>
    </w:p>
    <w:p>
      <w:pPr>
        <w:ind w:left="4566"/>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8"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9" w:lineRule="exact"/>
        <w:rPr>
          <w:sz w:val="24"/>
          <w:szCs w:val="24"/>
          <w:color w:val="auto"/>
        </w:rPr>
      </w:pPr>
    </w:p>
    <w:p>
      <w:pPr>
        <w:ind w:left="4566"/>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30" w:lineRule="exact"/>
        <w:rPr>
          <w:sz w:val="24"/>
          <w:szCs w:val="24"/>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35"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0" w:lineRule="exact"/>
        <w:rPr>
          <w:rFonts w:ascii="Times New Roman" w:cs="Times New Roman" w:eastAsia="Times New Roman" w:hAnsi="Times New Roman"/>
          <w:sz w:val="14"/>
          <w:szCs w:val="14"/>
          <w:b w:val="1"/>
          <w:bCs w:val="1"/>
          <w:color w:val="auto"/>
        </w:rPr>
      </w:pPr>
    </w:p>
    <w:p>
      <w:pPr>
        <w:ind w:left="4466"/>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2"/>
          <w:szCs w:val="12"/>
          <w:b w:val="1"/>
          <w:bCs w:val="1"/>
          <w:color w:val="auto"/>
        </w:rPr>
        <w:t>For the quarterly period ended June 30, 2022</w:t>
      </w:r>
    </w:p>
    <w:p>
      <w:pPr>
        <w:spacing w:after="0" w:line="102"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4" w:lineRule="exact"/>
        <w:rPr>
          <w:sz w:val="24"/>
          <w:szCs w:val="24"/>
          <w:color w:val="auto"/>
        </w:rPr>
      </w:pPr>
    </w:p>
    <w:p>
      <w:pPr>
        <w:ind w:left="526" w:hanging="526"/>
        <w:spacing w:after="0"/>
        <w:tabs>
          <w:tab w:leader="none" w:pos="52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2" w:lineRule="exact"/>
        <w:rPr>
          <w:sz w:val="24"/>
          <w:szCs w:val="24"/>
          <w:color w:val="auto"/>
        </w:rPr>
      </w:pPr>
    </w:p>
    <w:tbl>
      <w:tblPr>
        <w:tblLayout w:type="fixed"/>
        <w:tblInd w:w="1046"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3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to</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2"/>
                <w:szCs w:val="12"/>
                <w:b w:val="1"/>
                <w:bCs w:val="1"/>
                <w:color w:val="auto"/>
              </w:rPr>
              <w:t>Commission File Number: 001-34899</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tc>
        <w:tc>
          <w:tcPr>
            <w:tcW w:w="0" w:type="dxa"/>
            <w:vAlign w:val="bottom"/>
          </w:tcPr>
          <w:p>
            <w:pPr>
              <w:spacing w:after="0"/>
              <w:rPr>
                <w:sz w:val="1"/>
                <w:szCs w:val="1"/>
                <w:color w:val="auto"/>
              </w:rPr>
            </w:pPr>
          </w:p>
        </w:tc>
      </w:tr>
      <w:tr>
        <w:trPr>
          <w:trHeight w:val="325"/>
        </w:trPr>
        <w:tc>
          <w:tcPr>
            <w:tcW w:w="3000" w:type="dxa"/>
            <w:vAlign w:val="bottom"/>
          </w:tcPr>
          <w:p>
            <w:pPr>
              <w:spacing w:after="0"/>
              <w:rPr>
                <w:sz w:val="24"/>
                <w:szCs w:val="24"/>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27"/>
                <w:szCs w:val="27"/>
                <w:b w:val="1"/>
                <w:bCs w:val="1"/>
                <w:color w:val="auto"/>
                <w:w w:val="99"/>
              </w:rPr>
              <w:t>Pulse Biosciences, Inc.</w:t>
            </w: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0"/>
                <w:szCs w:val="10"/>
                <w:b w:val="1"/>
                <w:bCs w:val="1"/>
                <w:color w:val="auto"/>
                <w:w w:val="97"/>
              </w:rPr>
              <w:t>(Exact name of registrant as specified in its charter)</w:t>
            </w:r>
          </w:p>
        </w:tc>
        <w:tc>
          <w:tcPr>
            <w:tcW w:w="0" w:type="dxa"/>
            <w:vAlign w:val="bottom"/>
          </w:tcPr>
          <w:p>
            <w:pPr>
              <w:spacing w:after="0"/>
              <w:rPr>
                <w:sz w:val="1"/>
                <w:szCs w:val="1"/>
                <w:color w:val="auto"/>
              </w:rPr>
            </w:pPr>
          </w:p>
        </w:tc>
      </w:tr>
      <w:tr>
        <w:trPr>
          <w:trHeight w:val="35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340" w:type="dxa"/>
            <w:vAlign w:val="bottom"/>
          </w:tcPr>
          <w:p>
            <w:pPr>
              <w:spacing w:after="0"/>
              <w:rPr>
                <w:sz w:val="24"/>
                <w:szCs w:val="24"/>
                <w:color w:val="auto"/>
              </w:rPr>
            </w:pPr>
          </w:p>
        </w:tc>
        <w:tc>
          <w:tcPr>
            <w:tcW w:w="3680" w:type="dxa"/>
            <w:vAlign w:val="bottom"/>
          </w:tcPr>
          <w:p>
            <w:pPr>
              <w:jc w:val="right"/>
              <w:ind w:right="1264"/>
              <w:spacing w:after="0"/>
              <w:rPr>
                <w:sz w:val="20"/>
                <w:szCs w:val="20"/>
                <w:color w:val="auto"/>
              </w:rPr>
            </w:pPr>
            <w:r>
              <w:rPr>
                <w:rFonts w:ascii="Times New Roman" w:cs="Times New Roman" w:eastAsia="Times New Roman" w:hAnsi="Times New Roman"/>
                <w:sz w:val="11"/>
                <w:szCs w:val="11"/>
                <w:b w:val="1"/>
                <w:bCs w:val="1"/>
                <w:color w:val="auto"/>
              </w:rPr>
              <w:t>46-5696597</w:t>
            </w:r>
          </w:p>
        </w:tc>
        <w:tc>
          <w:tcPr>
            <w:tcW w:w="0" w:type="dxa"/>
            <w:vAlign w:val="bottom"/>
          </w:tcPr>
          <w:p>
            <w:pPr>
              <w:spacing w:after="0"/>
              <w:rPr>
                <w:sz w:val="1"/>
                <w:szCs w:val="1"/>
                <w:color w:val="auto"/>
              </w:rPr>
            </w:pPr>
          </w:p>
        </w:tc>
      </w:tr>
      <w:tr>
        <w:trPr>
          <w:trHeight w:val="120"/>
        </w:trPr>
        <w:tc>
          <w:tcPr>
            <w:tcW w:w="3000" w:type="dxa"/>
            <w:vAlign w:val="bottom"/>
          </w:tcPr>
          <w:p>
            <w:pPr>
              <w:jc w:val="center"/>
              <w:ind w:left="505"/>
              <w:spacing w:after="0" w:line="120"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340" w:type="dxa"/>
            <w:vAlign w:val="bottom"/>
          </w:tcPr>
          <w:p>
            <w:pPr>
              <w:spacing w:after="0"/>
              <w:rPr>
                <w:sz w:val="10"/>
                <w:szCs w:val="10"/>
                <w:color w:val="auto"/>
              </w:rPr>
            </w:pPr>
          </w:p>
        </w:tc>
        <w:tc>
          <w:tcPr>
            <w:tcW w:w="3680" w:type="dxa"/>
            <w:vAlign w:val="bottom"/>
          </w:tcPr>
          <w:p>
            <w:pPr>
              <w:jc w:val="center"/>
              <w:ind w:left="424"/>
              <w:spacing w:after="0" w:line="120"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340" w:type="dxa"/>
            <w:vAlign w:val="bottom"/>
          </w:tcPr>
          <w:p>
            <w:pPr>
              <w:spacing w:after="0"/>
              <w:rPr>
                <w:sz w:val="12"/>
                <w:szCs w:val="12"/>
                <w:color w:val="auto"/>
              </w:rPr>
            </w:pPr>
          </w:p>
        </w:tc>
        <w:tc>
          <w:tcPr>
            <w:tcW w:w="3680" w:type="dxa"/>
            <w:vAlign w:val="bottom"/>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21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w w:val="98"/>
              </w:rPr>
              <w:t>3957 Point Eden Way</w:t>
            </w:r>
          </w:p>
        </w:tc>
        <w:tc>
          <w:tcPr>
            <w:tcW w:w="2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000" w:type="dxa"/>
            <w:vAlign w:val="bottom"/>
          </w:tcPr>
          <w:p>
            <w:pPr>
              <w:jc w:val="center"/>
              <w:ind w:left="505"/>
              <w:spacing w:after="0" w:line="120" w:lineRule="exact"/>
              <w:rPr>
                <w:sz w:val="20"/>
                <w:szCs w:val="20"/>
                <w:color w:val="auto"/>
              </w:rPr>
            </w:pPr>
            <w:r>
              <w:rPr>
                <w:rFonts w:ascii="Times New Roman" w:cs="Times New Roman" w:eastAsia="Times New Roman" w:hAnsi="Times New Roman"/>
                <w:sz w:val="11"/>
                <w:szCs w:val="11"/>
                <w:b w:val="1"/>
                <w:bCs w:val="1"/>
                <w:color w:val="auto"/>
                <w:w w:val="97"/>
              </w:rPr>
              <w:t>Hayward, CA</w:t>
            </w:r>
          </w:p>
        </w:tc>
        <w:tc>
          <w:tcPr>
            <w:tcW w:w="2340" w:type="dxa"/>
            <w:vAlign w:val="bottom"/>
          </w:tcPr>
          <w:p>
            <w:pPr>
              <w:spacing w:after="0"/>
              <w:rPr>
                <w:sz w:val="10"/>
                <w:szCs w:val="10"/>
                <w:color w:val="auto"/>
              </w:rPr>
            </w:pPr>
          </w:p>
        </w:tc>
        <w:tc>
          <w:tcPr>
            <w:tcW w:w="3680" w:type="dxa"/>
            <w:vAlign w:val="bottom"/>
          </w:tcPr>
          <w:p>
            <w:pPr>
              <w:jc w:val="right"/>
              <w:ind w:right="1404"/>
              <w:spacing w:after="0" w:line="120" w:lineRule="exact"/>
              <w:rPr>
                <w:sz w:val="20"/>
                <w:szCs w:val="20"/>
                <w:color w:val="auto"/>
              </w:rPr>
            </w:pPr>
            <w:r>
              <w:rPr>
                <w:rFonts w:ascii="Times New Roman" w:cs="Times New Roman" w:eastAsia="Times New Roman" w:hAnsi="Times New Roman"/>
                <w:sz w:val="11"/>
                <w:szCs w:val="11"/>
                <w:b w:val="1"/>
                <w:bCs w:val="1"/>
                <w:color w:val="auto"/>
              </w:rPr>
              <w:t>94545</w:t>
            </w:r>
          </w:p>
        </w:tc>
        <w:tc>
          <w:tcPr>
            <w:tcW w:w="0" w:type="dxa"/>
            <w:vAlign w:val="bottom"/>
          </w:tcPr>
          <w:p>
            <w:pPr>
              <w:spacing w:after="0"/>
              <w:rPr>
                <w:sz w:val="1"/>
                <w:szCs w:val="1"/>
                <w:color w:val="auto"/>
              </w:rPr>
            </w:pPr>
          </w:p>
        </w:tc>
      </w:tr>
      <w:tr>
        <w:trPr>
          <w:trHeight w:val="14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340" w:type="dxa"/>
            <w:vAlign w:val="bottom"/>
            <w:vMerge w:val="restart"/>
          </w:tcPr>
          <w:p>
            <w:pPr>
              <w:jc w:val="center"/>
              <w:ind w:left="796"/>
              <w:spacing w:after="0"/>
              <w:rPr>
                <w:sz w:val="20"/>
                <w:szCs w:val="20"/>
                <w:color w:val="auto"/>
              </w:rPr>
            </w:pPr>
            <w:r>
              <w:rPr>
                <w:rFonts w:ascii="Times New Roman" w:cs="Times New Roman" w:eastAsia="Times New Roman" w:hAnsi="Times New Roman"/>
                <w:sz w:val="11"/>
                <w:szCs w:val="11"/>
                <w:b w:val="1"/>
                <w:bCs w:val="1"/>
                <w:color w:val="auto"/>
                <w:w w:val="98"/>
              </w:rPr>
              <w:t>(510) 906-4600</w:t>
            </w:r>
          </w:p>
        </w:tc>
        <w:tc>
          <w:tcPr>
            <w:tcW w:w="3680" w:type="dxa"/>
            <w:vAlign w:val="bottom"/>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6020" w:type="dxa"/>
            <w:vAlign w:val="bottom"/>
            <w:gridSpan w:val="2"/>
          </w:tcPr>
          <w:p>
            <w:pPr>
              <w:jc w:val="center"/>
              <w:ind w:right="2744"/>
              <w:spacing w:after="0" w:line="120" w:lineRule="exact"/>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6020" w:type="dxa"/>
            <w:vAlign w:val="bottom"/>
            <w:gridSpan w:val="2"/>
          </w:tcPr>
          <w:p>
            <w:pPr>
              <w:jc w:val="center"/>
              <w:ind w:right="2744"/>
              <w:spacing w:after="0" w:line="122" w:lineRule="exact"/>
              <w:rPr>
                <w:sz w:val="20"/>
                <w:szCs w:val="20"/>
                <w:color w:val="auto"/>
              </w:rPr>
            </w:pPr>
            <w:r>
              <w:rPr>
                <w:rFonts w:ascii="Times New Roman" w:cs="Times New Roman" w:eastAsia="Times New Roman" w:hAnsi="Times New Roman"/>
                <w:sz w:val="11"/>
                <w:szCs w:val="11"/>
                <w:b w:val="1"/>
                <w:bCs w:val="1"/>
                <w:color w:val="auto"/>
              </w:rPr>
              <w:t>___________________________________</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0" w:type="dxa"/>
            <w:vAlign w:val="bottom"/>
          </w:tcPr>
          <w:p>
            <w:pPr>
              <w:spacing w:after="0"/>
              <w:rPr>
                <w:sz w:val="1"/>
                <w:szCs w:val="1"/>
                <w:color w:val="auto"/>
              </w:rPr>
            </w:pPr>
          </w:p>
        </w:tc>
      </w:tr>
      <w:tr>
        <w:trPr>
          <w:trHeight w:val="249"/>
        </w:trPr>
        <w:tc>
          <w:tcPr>
            <w:tcW w:w="3000" w:type="dxa"/>
            <w:vAlign w:val="bottom"/>
          </w:tcPr>
          <w:p>
            <w:pPr>
              <w:jc w:val="center"/>
              <w:ind w:right="905"/>
              <w:spacing w:after="0"/>
              <w:rPr>
                <w:sz w:val="20"/>
                <w:szCs w:val="20"/>
                <w:color w:val="auto"/>
              </w:rPr>
            </w:pPr>
            <w:r>
              <w:rPr>
                <w:rFonts w:ascii="Times New Roman" w:cs="Times New Roman" w:eastAsia="Times New Roman" w:hAnsi="Times New Roman"/>
                <w:sz w:val="11"/>
                <w:szCs w:val="11"/>
                <w:color w:val="auto"/>
              </w:rPr>
              <w:t>Title of each class</w:t>
            </w:r>
          </w:p>
        </w:tc>
        <w:tc>
          <w:tcPr>
            <w:tcW w:w="2340" w:type="dxa"/>
            <w:vAlign w:val="bottom"/>
          </w:tcPr>
          <w:p>
            <w:pPr>
              <w:jc w:val="center"/>
              <w:ind w:left="496"/>
              <w:spacing w:after="0"/>
              <w:rPr>
                <w:sz w:val="20"/>
                <w:szCs w:val="20"/>
                <w:color w:val="auto"/>
              </w:rPr>
            </w:pPr>
            <w:r>
              <w:rPr>
                <w:rFonts w:ascii="Times New Roman" w:cs="Times New Roman" w:eastAsia="Times New Roman" w:hAnsi="Times New Roman"/>
                <w:sz w:val="11"/>
                <w:szCs w:val="11"/>
                <w:color w:val="auto"/>
                <w:w w:val="98"/>
              </w:rPr>
              <w:t>Trading Symbol(s)</w:t>
            </w:r>
          </w:p>
        </w:tc>
        <w:tc>
          <w:tcPr>
            <w:tcW w:w="3680" w:type="dxa"/>
            <w:vAlign w:val="bottom"/>
          </w:tcPr>
          <w:p>
            <w:pPr>
              <w:jc w:val="center"/>
              <w:ind w:left="1664"/>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184"/>
        </w:trPr>
        <w:tc>
          <w:tcPr>
            <w:tcW w:w="3000" w:type="dxa"/>
            <w:vAlign w:val="bottom"/>
          </w:tcPr>
          <w:p>
            <w:pPr>
              <w:jc w:val="center"/>
              <w:ind w:right="905"/>
              <w:spacing w:after="0"/>
              <w:rPr>
                <w:sz w:val="20"/>
                <w:szCs w:val="20"/>
                <w:color w:val="auto"/>
              </w:rPr>
            </w:pPr>
            <w:r>
              <w:rPr>
                <w:rFonts w:ascii="Times New Roman" w:cs="Times New Roman" w:eastAsia="Times New Roman" w:hAnsi="Times New Roman"/>
                <w:sz w:val="11"/>
                <w:szCs w:val="11"/>
                <w:b w:val="1"/>
                <w:bCs w:val="1"/>
                <w:color w:val="auto"/>
              </w:rPr>
              <w:t>Common Stock, par value $0.001 per share</w:t>
            </w:r>
          </w:p>
        </w:tc>
        <w:tc>
          <w:tcPr>
            <w:tcW w:w="2340" w:type="dxa"/>
            <w:vAlign w:val="bottom"/>
          </w:tcPr>
          <w:p>
            <w:pPr>
              <w:jc w:val="center"/>
              <w:ind w:left="516"/>
              <w:spacing w:after="0"/>
              <w:rPr>
                <w:sz w:val="20"/>
                <w:szCs w:val="20"/>
                <w:color w:val="auto"/>
              </w:rPr>
            </w:pPr>
            <w:r>
              <w:rPr>
                <w:rFonts w:ascii="Times New Roman" w:cs="Times New Roman" w:eastAsia="Times New Roman" w:hAnsi="Times New Roman"/>
                <w:sz w:val="11"/>
                <w:szCs w:val="11"/>
                <w:b w:val="1"/>
                <w:bCs w:val="1"/>
                <w:color w:val="auto"/>
              </w:rPr>
              <w:t>PLSE</w:t>
            </w:r>
          </w:p>
        </w:tc>
        <w:tc>
          <w:tcPr>
            <w:tcW w:w="3680" w:type="dxa"/>
            <w:vAlign w:val="bottom"/>
          </w:tcPr>
          <w:p>
            <w:pPr>
              <w:jc w:val="center"/>
              <w:ind w:left="1664"/>
              <w:spacing w:after="0"/>
              <w:rPr>
                <w:sz w:val="20"/>
                <w:szCs w:val="20"/>
                <w:color w:val="auto"/>
              </w:rPr>
            </w:pPr>
            <w:r>
              <w:rPr>
                <w:rFonts w:ascii="Times New Roman" w:cs="Times New Roman" w:eastAsia="Times New Roman" w:hAnsi="Times New Roman"/>
                <w:sz w:val="11"/>
                <w:szCs w:val="11"/>
                <w:b w:val="1"/>
                <w:bCs w:val="1"/>
                <w:color w:val="auto"/>
              </w:rPr>
              <w:t>The Nasdaq Stock Market</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 w:right="80" w:firstLine="301"/>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76" w:lineRule="exact"/>
        <w:rPr>
          <w:sz w:val="24"/>
          <w:szCs w:val="24"/>
          <w:color w:val="auto"/>
        </w:rPr>
      </w:pPr>
    </w:p>
    <w:p>
      <w:pPr>
        <w:ind w:left="6" w:right="60" w:firstLine="301"/>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67" w:lineRule="exact"/>
        <w:rPr>
          <w:sz w:val="24"/>
          <w:szCs w:val="24"/>
          <w:color w:val="auto"/>
        </w:rPr>
      </w:pPr>
    </w:p>
    <w:p>
      <w:pPr>
        <w:ind w:left="6" w:right="40" w:firstLine="301"/>
        <w:spacing w:after="0" w:line="25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6" w:type="dxa"/>
        <w:tblCellMar>
          <w:top w:w="0" w:type="dxa"/>
          <w:left w:w="0" w:type="dxa"/>
          <w:bottom w:w="0" w:type="dxa"/>
          <w:right w:w="0" w:type="dxa"/>
        </w:tblCellMar>
      </w:tblPr>
      <w:tr>
        <w:trPr>
          <w:trHeight w:val="138"/>
        </w:trPr>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rPr>
                <w:sz w:val="20"/>
                <w:szCs w:val="20"/>
                <w:color w:val="auto"/>
              </w:rPr>
            </w:pPr>
            <w:r>
              <w:rPr>
                <w:rFonts w:ascii="Times New Roman" w:cs="Times New Roman" w:eastAsia="Times New Roman" w:hAnsi="Times New Roman"/>
                <w:sz w:val="11"/>
                <w:szCs w:val="11"/>
                <w:color w:val="auto"/>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11"/>
        </w:trPr>
        <w:tc>
          <w:tcPr>
            <w:tcW w:w="19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Non-accelerated filer</w:t>
            </w:r>
          </w:p>
        </w:tc>
        <w:tc>
          <w:tcPr>
            <w:tcW w:w="3500" w:type="dxa"/>
            <w:vAlign w:val="bottom"/>
          </w:tcPr>
          <w:p>
            <w:pPr>
              <w:ind w:left="980"/>
              <w:spacing w:after="0" w:line="111" w:lineRule="exact"/>
              <w:rPr>
                <w:sz w:val="20"/>
                <w:szCs w:val="20"/>
                <w:color w:val="auto"/>
              </w:rPr>
            </w:pPr>
            <w:r>
              <w:rPr>
                <w:rFonts w:ascii="Times New Roman" w:cs="Times New Roman" w:eastAsia="Times New Roman" w:hAnsi="Times New Roman"/>
                <w:sz w:val="11"/>
                <w:szCs w:val="11"/>
                <w:color w:val="auto"/>
              </w:rPr>
              <w:t>x</w:t>
            </w:r>
          </w:p>
        </w:tc>
        <w:tc>
          <w:tcPr>
            <w:tcW w:w="4600" w:type="dxa"/>
            <w:vAlign w:val="bottom"/>
          </w:tcPr>
          <w:p>
            <w:pPr>
              <w:ind w:left="2420"/>
              <w:spacing w:after="0" w:line="111" w:lineRule="exact"/>
              <w:rPr>
                <w:sz w:val="20"/>
                <w:szCs w:val="20"/>
                <w:color w:val="auto"/>
              </w:rPr>
            </w:pPr>
            <w:r>
              <w:rPr>
                <w:rFonts w:ascii="Times New Roman" w:cs="Times New Roman" w:eastAsia="Times New Roman" w:hAnsi="Times New Roman"/>
                <w:sz w:val="11"/>
                <w:szCs w:val="11"/>
                <w:color w:val="auto"/>
              </w:rPr>
              <w:t>Smaller reporting company</w:t>
            </w:r>
          </w:p>
        </w:tc>
        <w:tc>
          <w:tcPr>
            <w:tcW w:w="1080" w:type="dxa"/>
            <w:vAlign w:val="bottom"/>
          </w:tcPr>
          <w:p>
            <w:pPr>
              <w:ind w:left="980"/>
              <w:spacing w:after="0" w:line="111" w:lineRule="exact"/>
              <w:rPr>
                <w:sz w:val="20"/>
                <w:szCs w:val="20"/>
                <w:color w:val="auto"/>
              </w:rPr>
            </w:pPr>
            <w:r>
              <w:rPr>
                <w:rFonts w:ascii="Times New Roman" w:cs="Times New Roman" w:eastAsia="Times New Roman" w:hAnsi="Times New Roman"/>
                <w:sz w:val="11"/>
                <w:szCs w:val="11"/>
                <w:color w:val="auto"/>
              </w:rPr>
              <w:t>x</w:t>
            </w:r>
          </w:p>
        </w:tc>
      </w:tr>
      <w:tr>
        <w:trPr>
          <w:trHeight w:val="173"/>
        </w:trPr>
        <w:tc>
          <w:tcPr>
            <w:tcW w:w="19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600" w:type="dxa"/>
            <w:vAlign w:val="bottom"/>
          </w:tcPr>
          <w:p>
            <w:pPr>
              <w:ind w:left="24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6" w:lineRule="exact"/>
        <w:rPr>
          <w:sz w:val="24"/>
          <w:szCs w:val="24"/>
          <w:color w:val="auto"/>
        </w:rPr>
      </w:pPr>
    </w:p>
    <w:p>
      <w:pPr>
        <w:ind w:left="6" w:firstLine="301"/>
        <w:spacing w:after="0" w:line="13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7" w:lineRule="exact"/>
        <w:rPr>
          <w:sz w:val="24"/>
          <w:szCs w:val="24"/>
          <w:color w:val="auto"/>
        </w:rPr>
      </w:pPr>
    </w:p>
    <w:p>
      <w:pPr>
        <w:ind w:left="266" w:right="5200" w:firstLine="26"/>
        <w:spacing w:after="0" w:line="20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x The number of shares outstanding of the registrant’s common stock as of July 31, 2022: 37,125,947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260350</wp:posOffset>
            </wp:positionV>
            <wp:extent cx="720153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246"/>
          </w:cols>
          <w:pgMar w:left="294" w:top="418"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9140" w:type="dxa"/>
            <w:vAlign w:val="bottom"/>
            <w:gridSpan w:val="22"/>
          </w:tcPr>
          <w:p>
            <w:pPr>
              <w:spacing w:after="0"/>
              <w:rPr>
                <w:sz w:val="20"/>
                <w:szCs w:val="20"/>
                <w:color w:val="auto"/>
              </w:rPr>
            </w:pPr>
            <w:r>
              <w:rPr>
                <w:rFonts w:ascii="Times New Roman" w:cs="Times New Roman" w:eastAsia="Times New Roman" w:hAnsi="Times New Roman"/>
                <w:sz w:val="12"/>
                <w:szCs w:val="12"/>
                <w:b w:val="1"/>
                <w:bCs w:val="1"/>
                <w:color w:val="0563C1"/>
              </w:rPr>
              <w:t>Table of Contents</w:t>
            </w: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5"/>
        </w:trPr>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gridSpan w:val="6"/>
          </w:tcPr>
          <w:p>
            <w:pPr>
              <w:jc w:val="center"/>
              <w:ind w:right="26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‎No.</w:t>
            </w:r>
          </w:p>
        </w:tc>
        <w:tc>
          <w:tcPr>
            <w:tcW w:w="0" w:type="dxa"/>
            <w:vAlign w:val="bottom"/>
          </w:tcPr>
          <w:p>
            <w:pPr>
              <w:spacing w:after="0"/>
              <w:rPr>
                <w:sz w:val="1"/>
                <w:szCs w:val="1"/>
                <w:color w:val="auto"/>
              </w:rPr>
            </w:pPr>
          </w:p>
        </w:tc>
      </w:tr>
      <w:tr>
        <w:trPr>
          <w:trHeight w:val="111"/>
        </w:trPr>
        <w:tc>
          <w:tcPr>
            <w:tcW w:w="12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2100" w:type="dxa"/>
            <w:vAlign w:val="bottom"/>
            <w:tcBorders>
              <w:bottom w:val="single" w:sz="8" w:color="0563C1"/>
            </w:tcBorders>
            <w:gridSpan w:val="6"/>
            <w:shd w:val="clear" w:color="auto" w:fill="CCEEFF"/>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0563C1"/>
              </w:rPr>
              <w:t>PART I. FINANCIAL INFORMATION</w:t>
            </w:r>
          </w:p>
        </w:tc>
        <w:tc>
          <w:tcPr>
            <w:tcW w:w="2440" w:type="dxa"/>
            <w:vAlign w:val="bottom"/>
            <w:tcBorders>
              <w:bottom w:val="single" w:sz="8" w:color="CCEEFF"/>
            </w:tcBorders>
            <w:gridSpan w:val="2"/>
            <w:shd w:val="clear" w:color="auto" w:fill="CCEEFF"/>
          </w:tcPr>
          <w:p>
            <w:pPr>
              <w:spacing w:after="0"/>
              <w:rPr>
                <w:sz w:val="9"/>
                <w:szCs w:val="9"/>
                <w:color w:val="auto"/>
              </w:rPr>
            </w:pPr>
          </w:p>
        </w:tc>
        <w:tc>
          <w:tcPr>
            <w:tcW w:w="216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40" w:type="dxa"/>
            <w:vAlign w:val="bottom"/>
            <w:tcBorders>
              <w:bottom w:val="single" w:sz="8" w:color="0563C1"/>
            </w:tcBorders>
            <w:gridSpan w:val="10"/>
          </w:tcPr>
          <w:p>
            <w:pPr>
              <w:spacing w:after="0" w:line="109" w:lineRule="exact"/>
              <w:rPr>
                <w:sz w:val="20"/>
                <w:szCs w:val="20"/>
                <w:color w:val="auto"/>
              </w:rPr>
            </w:pPr>
            <w:r>
              <w:rPr>
                <w:rFonts w:ascii="Times New Roman" w:cs="Times New Roman" w:eastAsia="Times New Roman" w:hAnsi="Times New Roman"/>
                <w:sz w:val="12"/>
                <w:szCs w:val="12"/>
                <w:color w:val="0563C1"/>
              </w:rPr>
              <w:t>Item 1. Financial Statements (unaudited):</w:t>
            </w:r>
          </w:p>
        </w:tc>
        <w:tc>
          <w:tcPr>
            <w:tcW w:w="7100" w:type="dxa"/>
            <w:vAlign w:val="bottom"/>
            <w:gridSpan w:val="12"/>
          </w:tcPr>
          <w:p>
            <w:pPr>
              <w:spacing w:after="0"/>
              <w:rPr>
                <w:sz w:val="9"/>
                <w:szCs w:val="9"/>
                <w:color w:val="auto"/>
              </w:rPr>
            </w:pPr>
          </w:p>
        </w:tc>
        <w:tc>
          <w:tcPr>
            <w:tcW w:w="21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0" w:type="dxa"/>
            <w:vAlign w:val="bottom"/>
            <w:shd w:val="clear" w:color="auto" w:fill="CCEEFF"/>
          </w:tcPr>
          <w:p>
            <w:pPr>
              <w:spacing w:after="0"/>
              <w:rPr>
                <w:sz w:val="9"/>
                <w:szCs w:val="9"/>
                <w:color w:val="auto"/>
              </w:rPr>
            </w:pPr>
          </w:p>
        </w:tc>
        <w:tc>
          <w:tcPr>
            <w:tcW w:w="9020" w:type="dxa"/>
            <w:vAlign w:val="bottom"/>
            <w:gridSpan w:val="21"/>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Condensed Consolidated Balance Sheets as of June 30, 2022 and December 31, 2021</w:t>
            </w:r>
          </w:p>
        </w:tc>
        <w:tc>
          <w:tcPr>
            <w:tcW w:w="21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20" w:type="dxa"/>
            <w:vAlign w:val="bottom"/>
          </w:tcPr>
          <w:p>
            <w:pPr>
              <w:spacing w:after="0"/>
              <w:rPr>
                <w:sz w:val="9"/>
                <w:szCs w:val="9"/>
                <w:color w:val="auto"/>
              </w:rPr>
            </w:pPr>
          </w:p>
        </w:tc>
        <w:tc>
          <w:tcPr>
            <w:tcW w:w="9020" w:type="dxa"/>
            <w:vAlign w:val="bottom"/>
            <w:gridSpan w:val="21"/>
            <w:vMerge w:val="restart"/>
          </w:tcPr>
          <w:p>
            <w:pPr>
              <w:spacing w:after="0"/>
              <w:rPr>
                <w:sz w:val="20"/>
                <w:szCs w:val="20"/>
                <w:color w:val="auto"/>
              </w:rPr>
            </w:pPr>
            <w:r>
              <w:rPr>
                <w:rFonts w:ascii="Times New Roman" w:cs="Times New Roman" w:eastAsia="Times New Roman" w:hAnsi="Times New Roman"/>
                <w:sz w:val="12"/>
                <w:szCs w:val="12"/>
                <w:color w:val="0563C1"/>
              </w:rPr>
              <w:t>Condensed Consolidated Statements of Operations and Comprehensive Loss for the Three- and Six-Month Periods Ended June 30, 2022 and 2021</w:t>
            </w:r>
          </w:p>
        </w:tc>
        <w:tc>
          <w:tcPr>
            <w:tcW w:w="21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4</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9020" w:type="dxa"/>
            <w:vAlign w:val="bottom"/>
            <w:gridSpan w:val="21"/>
            <w:vMerge w:val="continue"/>
          </w:tcPr>
          <w:p>
            <w:pPr>
              <w:spacing w:after="0"/>
              <w:rPr>
                <w:sz w:val="5"/>
                <w:szCs w:val="5"/>
                <w:color w:val="auto"/>
              </w:rPr>
            </w:pPr>
          </w:p>
        </w:tc>
        <w:tc>
          <w:tcPr>
            <w:tcW w:w="2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1"/>
        </w:trPr>
        <w:tc>
          <w:tcPr>
            <w:tcW w:w="120" w:type="dxa"/>
            <w:vAlign w:val="bottom"/>
          </w:tcPr>
          <w:p>
            <w:pPr>
              <w:spacing w:after="0"/>
              <w:rPr>
                <w:sz w:val="6"/>
                <w:szCs w:val="6"/>
                <w:color w:val="auto"/>
              </w:rPr>
            </w:pPr>
          </w:p>
        </w:tc>
        <w:tc>
          <w:tcPr>
            <w:tcW w:w="400" w:type="dxa"/>
            <w:vAlign w:val="bottom"/>
            <w:tcBorders>
              <w:top w:val="single" w:sz="8" w:color="0563C1"/>
            </w:tcBorders>
          </w:tcPr>
          <w:p>
            <w:pPr>
              <w:spacing w:after="0"/>
              <w:rPr>
                <w:sz w:val="6"/>
                <w:szCs w:val="6"/>
                <w:color w:val="auto"/>
              </w:rPr>
            </w:pPr>
          </w:p>
        </w:tc>
        <w:tc>
          <w:tcPr>
            <w:tcW w:w="260" w:type="dxa"/>
            <w:vAlign w:val="bottom"/>
            <w:tcBorders>
              <w:top w:val="single" w:sz="8" w:color="0563C1"/>
            </w:tcBorders>
          </w:tcPr>
          <w:p>
            <w:pPr>
              <w:spacing w:after="0"/>
              <w:rPr>
                <w:sz w:val="6"/>
                <w:szCs w:val="6"/>
                <w:color w:val="auto"/>
              </w:rPr>
            </w:pPr>
          </w:p>
        </w:tc>
        <w:tc>
          <w:tcPr>
            <w:tcW w:w="140" w:type="dxa"/>
            <w:vAlign w:val="bottom"/>
            <w:tcBorders>
              <w:top w:val="single" w:sz="8" w:color="0563C1"/>
            </w:tcBorders>
          </w:tcPr>
          <w:p>
            <w:pPr>
              <w:spacing w:after="0"/>
              <w:rPr>
                <w:sz w:val="6"/>
                <w:szCs w:val="6"/>
                <w:color w:val="auto"/>
              </w:rPr>
            </w:pPr>
          </w:p>
        </w:tc>
        <w:tc>
          <w:tcPr>
            <w:tcW w:w="160" w:type="dxa"/>
            <w:vAlign w:val="bottom"/>
            <w:tcBorders>
              <w:top w:val="single" w:sz="8" w:color="0563C1"/>
            </w:tcBorders>
          </w:tcPr>
          <w:p>
            <w:pPr>
              <w:spacing w:after="0"/>
              <w:rPr>
                <w:sz w:val="6"/>
                <w:szCs w:val="6"/>
                <w:color w:val="auto"/>
              </w:rPr>
            </w:pPr>
          </w:p>
        </w:tc>
        <w:tc>
          <w:tcPr>
            <w:tcW w:w="180" w:type="dxa"/>
            <w:vAlign w:val="bottom"/>
            <w:tcBorders>
              <w:top w:val="single" w:sz="8" w:color="0563C1"/>
            </w:tcBorders>
          </w:tcPr>
          <w:p>
            <w:pPr>
              <w:spacing w:after="0"/>
              <w:rPr>
                <w:sz w:val="6"/>
                <w:szCs w:val="6"/>
                <w:color w:val="auto"/>
              </w:rPr>
            </w:pPr>
          </w:p>
        </w:tc>
        <w:tc>
          <w:tcPr>
            <w:tcW w:w="20" w:type="dxa"/>
            <w:vAlign w:val="bottom"/>
            <w:tcBorders>
              <w:top w:val="single" w:sz="8" w:color="0563C1"/>
            </w:tcBorders>
          </w:tcPr>
          <w:p>
            <w:pPr>
              <w:spacing w:after="0"/>
              <w:rPr>
                <w:sz w:val="6"/>
                <w:szCs w:val="6"/>
                <w:color w:val="auto"/>
              </w:rPr>
            </w:pPr>
          </w:p>
        </w:tc>
        <w:tc>
          <w:tcPr>
            <w:tcW w:w="300" w:type="dxa"/>
            <w:vAlign w:val="bottom"/>
            <w:tcBorders>
              <w:top w:val="single" w:sz="8" w:color="0563C1"/>
            </w:tcBorders>
          </w:tcPr>
          <w:p>
            <w:pPr>
              <w:spacing w:after="0"/>
              <w:rPr>
                <w:sz w:val="6"/>
                <w:szCs w:val="6"/>
                <w:color w:val="auto"/>
              </w:rPr>
            </w:pPr>
          </w:p>
        </w:tc>
        <w:tc>
          <w:tcPr>
            <w:tcW w:w="340" w:type="dxa"/>
            <w:vAlign w:val="bottom"/>
            <w:tcBorders>
              <w:top w:val="single" w:sz="8" w:color="0563C1"/>
            </w:tcBorders>
          </w:tcPr>
          <w:p>
            <w:pPr>
              <w:spacing w:after="0"/>
              <w:rPr>
                <w:sz w:val="6"/>
                <w:szCs w:val="6"/>
                <w:color w:val="auto"/>
              </w:rPr>
            </w:pPr>
          </w:p>
        </w:tc>
        <w:tc>
          <w:tcPr>
            <w:tcW w:w="120" w:type="dxa"/>
            <w:vAlign w:val="bottom"/>
            <w:tcBorders>
              <w:top w:val="single" w:sz="8" w:color="0563C1"/>
            </w:tcBorders>
          </w:tcPr>
          <w:p>
            <w:pPr>
              <w:spacing w:after="0"/>
              <w:rPr>
                <w:sz w:val="6"/>
                <w:szCs w:val="6"/>
                <w:color w:val="auto"/>
              </w:rPr>
            </w:pPr>
          </w:p>
        </w:tc>
        <w:tc>
          <w:tcPr>
            <w:tcW w:w="800" w:type="dxa"/>
            <w:vAlign w:val="bottom"/>
            <w:tcBorders>
              <w:top w:val="single" w:sz="8" w:color="0563C1"/>
            </w:tcBorders>
          </w:tcPr>
          <w:p>
            <w:pPr>
              <w:spacing w:after="0"/>
              <w:rPr>
                <w:sz w:val="6"/>
                <w:szCs w:val="6"/>
                <w:color w:val="auto"/>
              </w:rPr>
            </w:pPr>
          </w:p>
        </w:tc>
        <w:tc>
          <w:tcPr>
            <w:tcW w:w="500" w:type="dxa"/>
            <w:vAlign w:val="bottom"/>
            <w:tcBorders>
              <w:top w:val="single" w:sz="8" w:color="0563C1"/>
            </w:tcBorders>
          </w:tcPr>
          <w:p>
            <w:pPr>
              <w:spacing w:after="0"/>
              <w:rPr>
                <w:sz w:val="6"/>
                <w:szCs w:val="6"/>
                <w:color w:val="auto"/>
              </w:rPr>
            </w:pPr>
          </w:p>
        </w:tc>
        <w:tc>
          <w:tcPr>
            <w:tcW w:w="960" w:type="dxa"/>
            <w:vAlign w:val="bottom"/>
            <w:tcBorders>
              <w:top w:val="single" w:sz="8" w:color="0563C1"/>
            </w:tcBorders>
          </w:tcPr>
          <w:p>
            <w:pPr>
              <w:spacing w:after="0"/>
              <w:rPr>
                <w:sz w:val="6"/>
                <w:szCs w:val="6"/>
                <w:color w:val="auto"/>
              </w:rPr>
            </w:pPr>
          </w:p>
        </w:tc>
        <w:tc>
          <w:tcPr>
            <w:tcW w:w="300" w:type="dxa"/>
            <w:vAlign w:val="bottom"/>
            <w:tcBorders>
              <w:top w:val="single" w:sz="8" w:color="0563C1"/>
            </w:tcBorders>
          </w:tcPr>
          <w:p>
            <w:pPr>
              <w:spacing w:after="0"/>
              <w:rPr>
                <w:sz w:val="6"/>
                <w:szCs w:val="6"/>
                <w:color w:val="auto"/>
              </w:rPr>
            </w:pPr>
          </w:p>
        </w:tc>
        <w:tc>
          <w:tcPr>
            <w:tcW w:w="100" w:type="dxa"/>
            <w:vAlign w:val="bottom"/>
            <w:tcBorders>
              <w:top w:val="single" w:sz="8" w:color="0563C1"/>
            </w:tcBorders>
          </w:tcPr>
          <w:p>
            <w:pPr>
              <w:spacing w:after="0"/>
              <w:rPr>
                <w:sz w:val="6"/>
                <w:szCs w:val="6"/>
                <w:color w:val="auto"/>
              </w:rPr>
            </w:pPr>
          </w:p>
        </w:tc>
        <w:tc>
          <w:tcPr>
            <w:tcW w:w="80" w:type="dxa"/>
            <w:vAlign w:val="bottom"/>
            <w:tcBorders>
              <w:top w:val="single" w:sz="8" w:color="0563C1"/>
            </w:tcBorders>
          </w:tcPr>
          <w:p>
            <w:pPr>
              <w:spacing w:after="0"/>
              <w:rPr>
                <w:sz w:val="6"/>
                <w:szCs w:val="6"/>
                <w:color w:val="auto"/>
              </w:rPr>
            </w:pPr>
          </w:p>
        </w:tc>
        <w:tc>
          <w:tcPr>
            <w:tcW w:w="740" w:type="dxa"/>
            <w:vAlign w:val="bottom"/>
            <w:tcBorders>
              <w:top w:val="single" w:sz="8" w:color="0563C1"/>
            </w:tcBorders>
          </w:tcPr>
          <w:p>
            <w:pPr>
              <w:spacing w:after="0"/>
              <w:rPr>
                <w:sz w:val="6"/>
                <w:szCs w:val="6"/>
                <w:color w:val="auto"/>
              </w:rPr>
            </w:pPr>
          </w:p>
        </w:tc>
        <w:tc>
          <w:tcPr>
            <w:tcW w:w="1020" w:type="dxa"/>
            <w:vAlign w:val="bottom"/>
            <w:tcBorders>
              <w:top w:val="single" w:sz="8" w:color="0563C1"/>
            </w:tcBorders>
          </w:tcPr>
          <w:p>
            <w:pPr>
              <w:spacing w:after="0"/>
              <w:rPr>
                <w:sz w:val="6"/>
                <w:szCs w:val="6"/>
                <w:color w:val="auto"/>
              </w:rPr>
            </w:pPr>
          </w:p>
        </w:tc>
        <w:tc>
          <w:tcPr>
            <w:tcW w:w="40" w:type="dxa"/>
            <w:vAlign w:val="bottom"/>
            <w:tcBorders>
              <w:top w:val="single" w:sz="8" w:color="0563C1"/>
            </w:tcBorders>
          </w:tcPr>
          <w:p>
            <w:pPr>
              <w:spacing w:after="0"/>
              <w:rPr>
                <w:sz w:val="6"/>
                <w:szCs w:val="6"/>
                <w:color w:val="auto"/>
              </w:rPr>
            </w:pPr>
          </w:p>
        </w:tc>
        <w:tc>
          <w:tcPr>
            <w:tcW w:w="120" w:type="dxa"/>
            <w:vAlign w:val="bottom"/>
            <w:tcBorders>
              <w:top w:val="single" w:sz="8" w:color="0563C1"/>
            </w:tcBorders>
          </w:tcPr>
          <w:p>
            <w:pPr>
              <w:spacing w:after="0"/>
              <w:rPr>
                <w:sz w:val="6"/>
                <w:szCs w:val="6"/>
                <w:color w:val="auto"/>
              </w:rPr>
            </w:pPr>
          </w:p>
        </w:tc>
        <w:tc>
          <w:tcPr>
            <w:tcW w:w="620" w:type="dxa"/>
            <w:vAlign w:val="bottom"/>
            <w:tcBorders>
              <w:top w:val="single" w:sz="8" w:color="0563C1"/>
            </w:tcBorders>
          </w:tcPr>
          <w:p>
            <w:pPr>
              <w:spacing w:after="0"/>
              <w:rPr>
                <w:sz w:val="6"/>
                <w:szCs w:val="6"/>
                <w:color w:val="auto"/>
              </w:rPr>
            </w:pPr>
          </w:p>
        </w:tc>
        <w:tc>
          <w:tcPr>
            <w:tcW w:w="182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20" w:type="dxa"/>
            <w:vAlign w:val="bottom"/>
            <w:shd w:val="clear" w:color="auto" w:fill="CCEEFF"/>
          </w:tcPr>
          <w:p>
            <w:pPr>
              <w:spacing w:after="0"/>
              <w:rPr>
                <w:sz w:val="9"/>
                <w:szCs w:val="9"/>
                <w:color w:val="auto"/>
              </w:rPr>
            </w:pPr>
          </w:p>
        </w:tc>
        <w:tc>
          <w:tcPr>
            <w:tcW w:w="9020" w:type="dxa"/>
            <w:vAlign w:val="bottom"/>
            <w:gridSpan w:val="21"/>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0563C1"/>
              </w:rPr>
              <w:t>Condensed Consolidated Statements of Cash Flows for the Six-Month Periods Ended June 30, 2022 and 2021</w:t>
            </w:r>
          </w:p>
        </w:tc>
        <w:tc>
          <w:tcPr>
            <w:tcW w:w="21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0563C1"/>
            </w:tcBorders>
            <w:shd w:val="clear" w:color="auto" w:fill="CCEEFF"/>
          </w:tcPr>
          <w:p>
            <w:pPr>
              <w:spacing w:after="0"/>
              <w:rPr>
                <w:sz w:val="11"/>
                <w:szCs w:val="11"/>
                <w:color w:val="auto"/>
              </w:rPr>
            </w:pPr>
          </w:p>
        </w:tc>
        <w:tc>
          <w:tcPr>
            <w:tcW w:w="260" w:type="dxa"/>
            <w:vAlign w:val="bottom"/>
            <w:tcBorders>
              <w:top w:val="single" w:sz="8" w:color="0563C1"/>
            </w:tcBorders>
            <w:shd w:val="clear" w:color="auto" w:fill="CCEEFF"/>
          </w:tcPr>
          <w:p>
            <w:pPr>
              <w:spacing w:after="0"/>
              <w:rPr>
                <w:sz w:val="11"/>
                <w:szCs w:val="11"/>
                <w:color w:val="auto"/>
              </w:rPr>
            </w:pPr>
          </w:p>
        </w:tc>
        <w:tc>
          <w:tcPr>
            <w:tcW w:w="140" w:type="dxa"/>
            <w:vAlign w:val="bottom"/>
            <w:tcBorders>
              <w:top w:val="single" w:sz="8" w:color="0563C1"/>
            </w:tcBorders>
            <w:shd w:val="clear" w:color="auto" w:fill="CCEEFF"/>
          </w:tcPr>
          <w:p>
            <w:pPr>
              <w:spacing w:after="0"/>
              <w:rPr>
                <w:sz w:val="11"/>
                <w:szCs w:val="11"/>
                <w:color w:val="auto"/>
              </w:rPr>
            </w:pPr>
          </w:p>
        </w:tc>
        <w:tc>
          <w:tcPr>
            <w:tcW w:w="160" w:type="dxa"/>
            <w:vAlign w:val="bottom"/>
            <w:tcBorders>
              <w:top w:val="single" w:sz="8" w:color="0563C1"/>
            </w:tcBorders>
            <w:shd w:val="clear" w:color="auto" w:fill="CCEEFF"/>
          </w:tcPr>
          <w:p>
            <w:pPr>
              <w:spacing w:after="0"/>
              <w:rPr>
                <w:sz w:val="11"/>
                <w:szCs w:val="11"/>
                <w:color w:val="auto"/>
              </w:rPr>
            </w:pPr>
          </w:p>
        </w:tc>
        <w:tc>
          <w:tcPr>
            <w:tcW w:w="180" w:type="dxa"/>
            <w:vAlign w:val="bottom"/>
            <w:tcBorders>
              <w:top w:val="single" w:sz="8" w:color="0563C1"/>
            </w:tcBorders>
            <w:shd w:val="clear" w:color="auto" w:fill="CCEEFF"/>
          </w:tcPr>
          <w:p>
            <w:pPr>
              <w:spacing w:after="0"/>
              <w:rPr>
                <w:sz w:val="11"/>
                <w:szCs w:val="11"/>
                <w:color w:val="auto"/>
              </w:rPr>
            </w:pPr>
          </w:p>
        </w:tc>
        <w:tc>
          <w:tcPr>
            <w:tcW w:w="2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340" w:type="dxa"/>
            <w:vAlign w:val="bottom"/>
            <w:tcBorders>
              <w:top w:val="single" w:sz="8" w:color="0563C1"/>
            </w:tcBorders>
            <w:shd w:val="clear" w:color="auto" w:fill="CCEEFF"/>
          </w:tcPr>
          <w:p>
            <w:pPr>
              <w:spacing w:after="0"/>
              <w:rPr>
                <w:sz w:val="11"/>
                <w:szCs w:val="11"/>
                <w:color w:val="auto"/>
              </w:rPr>
            </w:pPr>
          </w:p>
        </w:tc>
        <w:tc>
          <w:tcPr>
            <w:tcW w:w="120" w:type="dxa"/>
            <w:vAlign w:val="bottom"/>
            <w:tcBorders>
              <w:top w:val="single" w:sz="8" w:color="0563C1"/>
            </w:tcBorders>
            <w:shd w:val="clear" w:color="auto" w:fill="CCEEFF"/>
          </w:tcPr>
          <w:p>
            <w:pPr>
              <w:spacing w:after="0"/>
              <w:rPr>
                <w:sz w:val="11"/>
                <w:szCs w:val="11"/>
                <w:color w:val="auto"/>
              </w:rPr>
            </w:pPr>
          </w:p>
        </w:tc>
        <w:tc>
          <w:tcPr>
            <w:tcW w:w="800" w:type="dxa"/>
            <w:vAlign w:val="bottom"/>
            <w:tcBorders>
              <w:top w:val="single" w:sz="8" w:color="0563C1"/>
            </w:tcBorders>
            <w:shd w:val="clear" w:color="auto" w:fill="CCEEFF"/>
          </w:tcPr>
          <w:p>
            <w:pPr>
              <w:spacing w:after="0"/>
              <w:rPr>
                <w:sz w:val="11"/>
                <w:szCs w:val="11"/>
                <w:color w:val="auto"/>
              </w:rPr>
            </w:pPr>
          </w:p>
        </w:tc>
        <w:tc>
          <w:tcPr>
            <w:tcW w:w="500" w:type="dxa"/>
            <w:vAlign w:val="bottom"/>
            <w:tcBorders>
              <w:top w:val="single" w:sz="8" w:color="0563C1"/>
            </w:tcBorders>
            <w:shd w:val="clear" w:color="auto" w:fill="CCEEFF"/>
          </w:tcPr>
          <w:p>
            <w:pPr>
              <w:spacing w:after="0"/>
              <w:rPr>
                <w:sz w:val="11"/>
                <w:szCs w:val="11"/>
                <w:color w:val="auto"/>
              </w:rPr>
            </w:pPr>
          </w:p>
        </w:tc>
        <w:tc>
          <w:tcPr>
            <w:tcW w:w="96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100" w:type="dxa"/>
            <w:vAlign w:val="bottom"/>
            <w:tcBorders>
              <w:top w:val="single" w:sz="8" w:color="0563C1"/>
            </w:tcBorders>
            <w:shd w:val="clear" w:color="auto" w:fill="CCEEFF"/>
          </w:tcPr>
          <w:p>
            <w:pPr>
              <w:spacing w:after="0"/>
              <w:rPr>
                <w:sz w:val="11"/>
                <w:szCs w:val="11"/>
                <w:color w:val="auto"/>
              </w:rPr>
            </w:pPr>
          </w:p>
        </w:tc>
        <w:tc>
          <w:tcPr>
            <w:tcW w:w="80" w:type="dxa"/>
            <w:vAlign w:val="bottom"/>
            <w:tcBorders>
              <w:top w:val="single" w:sz="8" w:color="0563C1"/>
            </w:tcBorders>
            <w:shd w:val="clear" w:color="auto" w:fill="CCEEFF"/>
          </w:tcPr>
          <w:p>
            <w:pPr>
              <w:spacing w:after="0"/>
              <w:rPr>
                <w:sz w:val="11"/>
                <w:szCs w:val="11"/>
                <w:color w:val="auto"/>
              </w:rPr>
            </w:pPr>
          </w:p>
        </w:tc>
        <w:tc>
          <w:tcPr>
            <w:tcW w:w="740" w:type="dxa"/>
            <w:vAlign w:val="bottom"/>
            <w:tcBorders>
              <w:top w:val="single" w:sz="8" w:color="0563C1"/>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CCEEFF"/>
            </w:tcBorders>
            <w:shd w:val="clear" w:color="auto" w:fill="CCEEFF"/>
          </w:tcPr>
          <w:p>
            <w:pPr>
              <w:spacing w:after="0"/>
              <w:rPr>
                <w:sz w:val="11"/>
                <w:szCs w:val="11"/>
                <w:color w:val="auto"/>
              </w:rPr>
            </w:pPr>
          </w:p>
        </w:tc>
        <w:tc>
          <w:tcPr>
            <w:tcW w:w="2160" w:type="dxa"/>
            <w:vAlign w:val="bottom"/>
            <w:tcBorders>
              <w:top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9020" w:type="dxa"/>
            <w:vAlign w:val="bottom"/>
            <w:gridSpan w:val="21"/>
          </w:tcPr>
          <w:p>
            <w:pPr>
              <w:spacing w:after="0" w:line="111" w:lineRule="exact"/>
              <w:rPr>
                <w:sz w:val="20"/>
                <w:szCs w:val="20"/>
                <w:color w:val="auto"/>
              </w:rPr>
            </w:pPr>
            <w:r>
              <w:rPr>
                <w:rFonts w:ascii="Times New Roman" w:cs="Times New Roman" w:eastAsia="Times New Roman" w:hAnsi="Times New Roman"/>
                <w:sz w:val="12"/>
                <w:szCs w:val="12"/>
                <w:color w:val="0563C1"/>
              </w:rPr>
              <w:t>Condensed Consolidated Statements of Stockholders’ Equity for the Three- and Six-Month Periods Ended June 30, 2022 and 2021</w:t>
            </w:r>
          </w:p>
        </w:tc>
        <w:tc>
          <w:tcPr>
            <w:tcW w:w="21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0" w:type="dxa"/>
            <w:vAlign w:val="bottom"/>
            <w:shd w:val="clear" w:color="auto" w:fill="CCEEFF"/>
          </w:tcPr>
          <w:p>
            <w:pPr>
              <w:spacing w:after="0"/>
              <w:rPr>
                <w:sz w:val="9"/>
                <w:szCs w:val="9"/>
                <w:color w:val="auto"/>
              </w:rPr>
            </w:pPr>
          </w:p>
        </w:tc>
        <w:tc>
          <w:tcPr>
            <w:tcW w:w="6420" w:type="dxa"/>
            <w:vAlign w:val="bottom"/>
            <w:tcBorders>
              <w:top w:val="single" w:sz="8" w:color="0563C1"/>
            </w:tcBorders>
            <w:gridSpan w:val="17"/>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Notes to Condensed Consolidated Financial Statements</w:t>
            </w:r>
          </w:p>
        </w:tc>
        <w:tc>
          <w:tcPr>
            <w:tcW w:w="2600" w:type="dxa"/>
            <w:vAlign w:val="bottom"/>
            <w:gridSpan w:val="4"/>
            <w:shd w:val="clear" w:color="auto" w:fill="CCEEFF"/>
          </w:tcPr>
          <w:p>
            <w:pPr>
              <w:spacing w:after="0"/>
              <w:rPr>
                <w:sz w:val="9"/>
                <w:szCs w:val="9"/>
                <w:color w:val="auto"/>
              </w:rPr>
            </w:pPr>
          </w:p>
        </w:tc>
        <w:tc>
          <w:tcPr>
            <w:tcW w:w="21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140" w:type="dxa"/>
            <w:vAlign w:val="bottom"/>
            <w:gridSpan w:val="22"/>
          </w:tcPr>
          <w:p>
            <w:pPr>
              <w:spacing w:after="0" w:line="109" w:lineRule="exact"/>
              <w:rPr>
                <w:sz w:val="20"/>
                <w:szCs w:val="20"/>
                <w:color w:val="auto"/>
              </w:rPr>
            </w:pPr>
            <w:r>
              <w:rPr>
                <w:rFonts w:ascii="Times New Roman" w:cs="Times New Roman" w:eastAsia="Times New Roman" w:hAnsi="Times New Roman"/>
                <w:sz w:val="12"/>
                <w:szCs w:val="12"/>
                <w:color w:val="0563C1"/>
              </w:rPr>
              <w:t>Item 2. Management’s Discussion and Analysis of Financial Condition and Results of Operations</w:t>
            </w:r>
          </w:p>
        </w:tc>
        <w:tc>
          <w:tcPr>
            <w:tcW w:w="21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80" w:type="dxa"/>
            <w:vAlign w:val="bottom"/>
            <w:tcBorders>
              <w:top w:val="single" w:sz="8" w:color="0563C1"/>
            </w:tcBorders>
            <w:gridSpan w:val="16"/>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3. Quantitative and Qualitative Disclosures About Market Risk</w:t>
            </w:r>
          </w:p>
        </w:tc>
        <w:tc>
          <w:tcPr>
            <w:tcW w:w="4360" w:type="dxa"/>
            <w:vAlign w:val="bottom"/>
            <w:gridSpan w:val="6"/>
            <w:shd w:val="clear" w:color="auto" w:fill="CCEEFF"/>
          </w:tcPr>
          <w:p>
            <w:pPr>
              <w:spacing w:after="0"/>
              <w:rPr>
                <w:sz w:val="9"/>
                <w:szCs w:val="9"/>
                <w:color w:val="auto"/>
              </w:rPr>
            </w:pPr>
          </w:p>
        </w:tc>
        <w:tc>
          <w:tcPr>
            <w:tcW w:w="21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340" w:type="dxa"/>
            <w:vAlign w:val="bottom"/>
            <w:tcBorders>
              <w:top w:val="single" w:sz="8" w:color="0563C1"/>
            </w:tcBorders>
            <w:gridSpan w:val="12"/>
          </w:tcPr>
          <w:p>
            <w:pPr>
              <w:spacing w:after="0" w:line="109" w:lineRule="exact"/>
              <w:rPr>
                <w:sz w:val="20"/>
                <w:szCs w:val="20"/>
                <w:color w:val="auto"/>
              </w:rPr>
            </w:pPr>
            <w:r>
              <w:rPr>
                <w:rFonts w:ascii="Times New Roman" w:cs="Times New Roman" w:eastAsia="Times New Roman" w:hAnsi="Times New Roman"/>
                <w:sz w:val="12"/>
                <w:szCs w:val="12"/>
                <w:color w:val="0563C1"/>
              </w:rPr>
              <w:t>Item 4. Controls and Procedures</w:t>
            </w:r>
          </w:p>
        </w:tc>
        <w:tc>
          <w:tcPr>
            <w:tcW w:w="5800" w:type="dxa"/>
            <w:vAlign w:val="bottom"/>
            <w:tcBorders>
              <w:top w:val="single" w:sz="8" w:color="CCEEFF"/>
            </w:tcBorders>
            <w:gridSpan w:val="10"/>
          </w:tcPr>
          <w:p>
            <w:pPr>
              <w:spacing w:after="0"/>
              <w:rPr>
                <w:sz w:val="9"/>
                <w:szCs w:val="9"/>
                <w:color w:val="auto"/>
              </w:rPr>
            </w:pPr>
          </w:p>
        </w:tc>
        <w:tc>
          <w:tcPr>
            <w:tcW w:w="216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20" w:type="dxa"/>
            <w:vAlign w:val="bottom"/>
            <w:tcBorders>
              <w:top w:val="single" w:sz="8" w:color="0563C1"/>
            </w:tcBorders>
            <w:shd w:val="clear" w:color="auto" w:fill="CCEEFF"/>
          </w:tcPr>
          <w:p>
            <w:pPr>
              <w:spacing w:after="0"/>
              <w:rPr>
                <w:sz w:val="11"/>
                <w:szCs w:val="11"/>
                <w:color w:val="auto"/>
              </w:rPr>
            </w:pPr>
          </w:p>
        </w:tc>
        <w:tc>
          <w:tcPr>
            <w:tcW w:w="400" w:type="dxa"/>
            <w:vAlign w:val="bottom"/>
            <w:tcBorders>
              <w:top w:val="single" w:sz="8" w:color="0563C1"/>
            </w:tcBorders>
            <w:shd w:val="clear" w:color="auto" w:fill="CCEEFF"/>
          </w:tcPr>
          <w:p>
            <w:pPr>
              <w:spacing w:after="0"/>
              <w:rPr>
                <w:sz w:val="11"/>
                <w:szCs w:val="11"/>
                <w:color w:val="auto"/>
              </w:rPr>
            </w:pPr>
          </w:p>
        </w:tc>
        <w:tc>
          <w:tcPr>
            <w:tcW w:w="260" w:type="dxa"/>
            <w:vAlign w:val="bottom"/>
            <w:tcBorders>
              <w:top w:val="single" w:sz="8" w:color="0563C1"/>
            </w:tcBorders>
            <w:shd w:val="clear" w:color="auto" w:fill="CCEEFF"/>
          </w:tcPr>
          <w:p>
            <w:pPr>
              <w:spacing w:after="0"/>
              <w:rPr>
                <w:sz w:val="11"/>
                <w:szCs w:val="11"/>
                <w:color w:val="auto"/>
              </w:rPr>
            </w:pPr>
          </w:p>
        </w:tc>
        <w:tc>
          <w:tcPr>
            <w:tcW w:w="140" w:type="dxa"/>
            <w:vAlign w:val="bottom"/>
            <w:tcBorders>
              <w:top w:val="single" w:sz="8" w:color="0563C1"/>
            </w:tcBorders>
            <w:shd w:val="clear" w:color="auto" w:fill="CCEEFF"/>
          </w:tcPr>
          <w:p>
            <w:pPr>
              <w:spacing w:after="0"/>
              <w:rPr>
                <w:sz w:val="11"/>
                <w:szCs w:val="11"/>
                <w:color w:val="auto"/>
              </w:rPr>
            </w:pPr>
          </w:p>
        </w:tc>
        <w:tc>
          <w:tcPr>
            <w:tcW w:w="160" w:type="dxa"/>
            <w:vAlign w:val="bottom"/>
            <w:tcBorders>
              <w:top w:val="single" w:sz="8" w:color="0563C1"/>
            </w:tcBorders>
            <w:shd w:val="clear" w:color="auto" w:fill="CCEEFF"/>
          </w:tcPr>
          <w:p>
            <w:pPr>
              <w:spacing w:after="0"/>
              <w:rPr>
                <w:sz w:val="11"/>
                <w:szCs w:val="11"/>
                <w:color w:val="auto"/>
              </w:rPr>
            </w:pPr>
          </w:p>
        </w:tc>
        <w:tc>
          <w:tcPr>
            <w:tcW w:w="180" w:type="dxa"/>
            <w:vAlign w:val="bottom"/>
            <w:tcBorders>
              <w:top w:val="single" w:sz="8" w:color="0563C1"/>
            </w:tcBorders>
            <w:shd w:val="clear" w:color="auto" w:fill="CCEEFF"/>
          </w:tcPr>
          <w:p>
            <w:pPr>
              <w:spacing w:after="0"/>
              <w:rPr>
                <w:sz w:val="11"/>
                <w:szCs w:val="11"/>
                <w:color w:val="auto"/>
              </w:rPr>
            </w:pPr>
          </w:p>
        </w:tc>
        <w:tc>
          <w:tcPr>
            <w:tcW w:w="2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540" w:type="dxa"/>
            <w:vAlign w:val="bottom"/>
            <w:gridSpan w:val="8"/>
          </w:tcPr>
          <w:p>
            <w:pPr>
              <w:jc w:val="center"/>
              <w:ind w:right="2460"/>
              <w:spacing w:after="0" w:line="111" w:lineRule="exact"/>
              <w:rPr>
                <w:sz w:val="20"/>
                <w:szCs w:val="20"/>
                <w:color w:val="auto"/>
              </w:rPr>
            </w:pPr>
            <w:r>
              <w:rPr>
                <w:rFonts w:ascii="Times New Roman" w:cs="Times New Roman" w:eastAsia="Times New Roman" w:hAnsi="Times New Roman"/>
                <w:sz w:val="12"/>
                <w:szCs w:val="12"/>
                <w:b w:val="1"/>
                <w:bCs w:val="1"/>
                <w:color w:val="0563C1"/>
              </w:rPr>
              <w:t>PART II. OTHER INFORMATION</w:t>
            </w:r>
          </w:p>
        </w:tc>
        <w:tc>
          <w:tcPr>
            <w:tcW w:w="2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00" w:type="dxa"/>
            <w:vAlign w:val="bottom"/>
            <w:gridSpan w:val="15"/>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1. Legal Proceedings</w:t>
            </w:r>
          </w:p>
        </w:tc>
        <w:tc>
          <w:tcPr>
            <w:tcW w:w="1880" w:type="dxa"/>
            <w:vAlign w:val="bottom"/>
            <w:tcBorders>
              <w:top w:val="single" w:sz="8" w:color="0563C1"/>
            </w:tcBorders>
            <w:gridSpan w:val="4"/>
            <w:shd w:val="clear" w:color="auto" w:fill="CCEEFF"/>
          </w:tcPr>
          <w:p>
            <w:pPr>
              <w:spacing w:after="0"/>
              <w:rPr>
                <w:sz w:val="9"/>
                <w:szCs w:val="9"/>
                <w:color w:val="auto"/>
              </w:rPr>
            </w:pPr>
          </w:p>
        </w:tc>
        <w:tc>
          <w:tcPr>
            <w:tcW w:w="2560" w:type="dxa"/>
            <w:vAlign w:val="bottom"/>
            <w:gridSpan w:val="3"/>
            <w:shd w:val="clear" w:color="auto" w:fill="CCEEFF"/>
          </w:tcPr>
          <w:p>
            <w:pPr>
              <w:spacing w:after="0"/>
              <w:rPr>
                <w:sz w:val="9"/>
                <w:szCs w:val="9"/>
                <w:color w:val="auto"/>
              </w:rPr>
            </w:pPr>
          </w:p>
        </w:tc>
        <w:tc>
          <w:tcPr>
            <w:tcW w:w="21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80" w:type="dxa"/>
            <w:vAlign w:val="bottom"/>
            <w:tcBorders>
              <w:top w:val="single" w:sz="8" w:color="0563C1"/>
              <w:bottom w:val="single" w:sz="8" w:color="0563C1"/>
            </w:tcBorders>
            <w:gridSpan w:val="5"/>
          </w:tcPr>
          <w:p>
            <w:pPr>
              <w:spacing w:after="0" w:line="109" w:lineRule="exact"/>
              <w:rPr>
                <w:sz w:val="20"/>
                <w:szCs w:val="20"/>
                <w:color w:val="auto"/>
              </w:rPr>
            </w:pPr>
            <w:r>
              <w:rPr>
                <w:rFonts w:ascii="Times New Roman" w:cs="Times New Roman" w:eastAsia="Times New Roman" w:hAnsi="Times New Roman"/>
                <w:sz w:val="12"/>
                <w:szCs w:val="12"/>
                <w:color w:val="0563C1"/>
                <w:w w:val="99"/>
              </w:rPr>
              <w:t>Item 1A. Risk Factors</w:t>
            </w:r>
          </w:p>
        </w:tc>
        <w:tc>
          <w:tcPr>
            <w:tcW w:w="200" w:type="dxa"/>
            <w:vAlign w:val="bottom"/>
            <w:tcBorders>
              <w:top w:val="single" w:sz="8" w:color="0563C1"/>
            </w:tcBorders>
            <w:gridSpan w:val="2"/>
          </w:tcPr>
          <w:p>
            <w:pPr>
              <w:spacing w:after="0"/>
              <w:rPr>
                <w:sz w:val="9"/>
                <w:szCs w:val="9"/>
                <w:color w:val="auto"/>
              </w:rPr>
            </w:pPr>
          </w:p>
        </w:tc>
        <w:tc>
          <w:tcPr>
            <w:tcW w:w="7860" w:type="dxa"/>
            <w:vAlign w:val="bottom"/>
            <w:tcBorders>
              <w:top w:val="single" w:sz="8" w:color="CCEEFF"/>
            </w:tcBorders>
            <w:gridSpan w:val="15"/>
          </w:tcPr>
          <w:p>
            <w:pPr>
              <w:spacing w:after="0"/>
              <w:rPr>
                <w:sz w:val="9"/>
                <w:szCs w:val="9"/>
                <w:color w:val="auto"/>
              </w:rPr>
            </w:pPr>
          </w:p>
        </w:tc>
        <w:tc>
          <w:tcPr>
            <w:tcW w:w="216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9140" w:type="dxa"/>
            <w:vAlign w:val="bottom"/>
            <w:gridSpan w:val="2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2. Unregistered Sales of Equity Securities and Use of Proceeds</w:t>
            </w:r>
          </w:p>
        </w:tc>
        <w:tc>
          <w:tcPr>
            <w:tcW w:w="21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920" w:type="dxa"/>
            <w:vAlign w:val="bottom"/>
            <w:tcBorders>
              <w:top w:val="single" w:sz="8" w:color="0563C1"/>
              <w:bottom w:val="single" w:sz="8" w:color="0563C1"/>
            </w:tcBorders>
            <w:gridSpan w:val="9"/>
          </w:tcPr>
          <w:p>
            <w:pPr>
              <w:spacing w:after="0" w:line="109" w:lineRule="exact"/>
              <w:rPr>
                <w:sz w:val="20"/>
                <w:szCs w:val="20"/>
                <w:color w:val="auto"/>
              </w:rPr>
            </w:pPr>
            <w:r>
              <w:rPr>
                <w:rFonts w:ascii="Times New Roman" w:cs="Times New Roman" w:eastAsia="Times New Roman" w:hAnsi="Times New Roman"/>
                <w:sz w:val="12"/>
                <w:szCs w:val="12"/>
                <w:color w:val="0563C1"/>
              </w:rPr>
              <w:t>Item 3. Default Upon Senior Securities</w:t>
            </w:r>
          </w:p>
        </w:tc>
        <w:tc>
          <w:tcPr>
            <w:tcW w:w="1420" w:type="dxa"/>
            <w:vAlign w:val="bottom"/>
            <w:tcBorders>
              <w:top w:val="single" w:sz="8" w:color="0563C1"/>
            </w:tcBorders>
            <w:gridSpan w:val="3"/>
          </w:tcPr>
          <w:p>
            <w:pPr>
              <w:spacing w:after="0"/>
              <w:rPr>
                <w:sz w:val="9"/>
                <w:szCs w:val="9"/>
                <w:color w:val="auto"/>
              </w:rPr>
            </w:pPr>
          </w:p>
        </w:tc>
        <w:tc>
          <w:tcPr>
            <w:tcW w:w="5800" w:type="dxa"/>
            <w:vAlign w:val="bottom"/>
            <w:tcBorders>
              <w:top w:val="single" w:sz="8" w:color="CCEEFF"/>
            </w:tcBorders>
            <w:gridSpan w:val="10"/>
          </w:tcPr>
          <w:p>
            <w:pPr>
              <w:spacing w:after="0"/>
              <w:rPr>
                <w:sz w:val="9"/>
                <w:szCs w:val="9"/>
                <w:color w:val="auto"/>
              </w:rPr>
            </w:pPr>
          </w:p>
        </w:tc>
        <w:tc>
          <w:tcPr>
            <w:tcW w:w="216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9140" w:type="dxa"/>
            <w:vAlign w:val="bottom"/>
            <w:gridSpan w:val="2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4. Mine Safety Disclosures</w:t>
            </w:r>
          </w:p>
        </w:tc>
        <w:tc>
          <w:tcPr>
            <w:tcW w:w="21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80" w:type="dxa"/>
            <w:vAlign w:val="bottom"/>
            <w:tcBorders>
              <w:top w:val="single" w:sz="8" w:color="0563C1"/>
            </w:tcBorders>
            <w:gridSpan w:val="8"/>
          </w:tcPr>
          <w:p>
            <w:pPr>
              <w:spacing w:after="0" w:line="109" w:lineRule="exact"/>
              <w:rPr>
                <w:sz w:val="20"/>
                <w:szCs w:val="20"/>
                <w:color w:val="auto"/>
              </w:rPr>
            </w:pPr>
            <w:r>
              <w:rPr>
                <w:rFonts w:ascii="Times New Roman" w:cs="Times New Roman" w:eastAsia="Times New Roman" w:hAnsi="Times New Roman"/>
                <w:sz w:val="12"/>
                <w:szCs w:val="12"/>
                <w:color w:val="0563C1"/>
              </w:rPr>
              <w:t>Item 5. Other Information</w:t>
            </w:r>
          </w:p>
        </w:tc>
        <w:tc>
          <w:tcPr>
            <w:tcW w:w="7560" w:type="dxa"/>
            <w:vAlign w:val="bottom"/>
            <w:tcBorders>
              <w:top w:val="single" w:sz="8" w:color="CCEEFF"/>
            </w:tcBorders>
            <w:gridSpan w:val="14"/>
          </w:tcPr>
          <w:p>
            <w:pPr>
              <w:spacing w:after="0"/>
              <w:rPr>
                <w:sz w:val="9"/>
                <w:szCs w:val="9"/>
                <w:color w:val="auto"/>
              </w:rPr>
            </w:pPr>
          </w:p>
        </w:tc>
        <w:tc>
          <w:tcPr>
            <w:tcW w:w="216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60" w:type="dxa"/>
            <w:vAlign w:val="bottom"/>
            <w:tcBorders>
              <w:top w:val="single" w:sz="8" w:color="0563C1"/>
            </w:tcBorders>
            <w:gridSpan w:val="6"/>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6. Exhibits</w:t>
            </w:r>
          </w:p>
        </w:tc>
        <w:tc>
          <w:tcPr>
            <w:tcW w:w="7880" w:type="dxa"/>
            <w:vAlign w:val="bottom"/>
            <w:gridSpan w:val="16"/>
            <w:shd w:val="clear" w:color="auto" w:fill="CCEEFF"/>
          </w:tcPr>
          <w:p>
            <w:pPr>
              <w:spacing w:after="0"/>
              <w:rPr>
                <w:sz w:val="9"/>
                <w:szCs w:val="9"/>
                <w:color w:val="auto"/>
              </w:rPr>
            </w:pPr>
          </w:p>
        </w:tc>
        <w:tc>
          <w:tcPr>
            <w:tcW w:w="21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20" w:type="dxa"/>
            <w:vAlign w:val="bottom"/>
            <w:tcBorders>
              <w:top w:val="single" w:sz="8" w:color="0563C1"/>
              <w:bottom w:val="single" w:sz="8" w:color="0563C1"/>
            </w:tcBorders>
            <w:gridSpan w:val="2"/>
          </w:tcPr>
          <w:p>
            <w:pPr>
              <w:spacing w:after="0" w:line="109" w:lineRule="exact"/>
              <w:rPr>
                <w:sz w:val="20"/>
                <w:szCs w:val="20"/>
                <w:color w:val="auto"/>
              </w:rPr>
            </w:pPr>
            <w:r>
              <w:rPr>
                <w:rFonts w:ascii="Times New Roman" w:cs="Times New Roman" w:eastAsia="Times New Roman" w:hAnsi="Times New Roman"/>
                <w:sz w:val="12"/>
                <w:szCs w:val="12"/>
                <w:color w:val="0563C1"/>
                <w:w w:val="98"/>
              </w:rPr>
              <w:t>Signatures</w:t>
            </w:r>
          </w:p>
        </w:tc>
        <w:tc>
          <w:tcPr>
            <w:tcW w:w="260" w:type="dxa"/>
            <w:vAlign w:val="bottom"/>
            <w:tcBorders>
              <w:top w:val="single" w:sz="8" w:color="0563C1"/>
            </w:tcBorders>
          </w:tcPr>
          <w:p>
            <w:pPr>
              <w:spacing w:after="0"/>
              <w:rPr>
                <w:sz w:val="9"/>
                <w:szCs w:val="9"/>
                <w:color w:val="auto"/>
              </w:rPr>
            </w:pPr>
          </w:p>
        </w:tc>
        <w:tc>
          <w:tcPr>
            <w:tcW w:w="8360" w:type="dxa"/>
            <w:vAlign w:val="bottom"/>
            <w:tcBorders>
              <w:top w:val="single" w:sz="8" w:color="CCEEFF"/>
            </w:tcBorders>
            <w:gridSpan w:val="19"/>
          </w:tcPr>
          <w:p>
            <w:pPr>
              <w:spacing w:after="0"/>
              <w:rPr>
                <w:sz w:val="9"/>
                <w:szCs w:val="9"/>
                <w:color w:val="auto"/>
              </w:rPr>
            </w:pPr>
          </w:p>
        </w:tc>
        <w:tc>
          <w:tcPr>
            <w:tcW w:w="216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00"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ind w:left="4560"/>
        <w:spacing w:after="0" w:line="224" w:lineRule="auto"/>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ASSETS</w:t>
            </w:r>
          </w:p>
        </w:tc>
        <w:tc>
          <w:tcPr>
            <w:tcW w:w="9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Current assets:</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Cash and cash equivalents</w:t>
            </w:r>
          </w:p>
        </w:tc>
        <w:tc>
          <w:tcPr>
            <w:tcW w:w="960" w:type="dxa"/>
            <w:vAlign w:val="bottom"/>
            <w:shd w:val="clear" w:color="auto" w:fill="CCEEFF"/>
          </w:tcPr>
          <w:p>
            <w:pPr>
              <w:jc w:val="right"/>
              <w:ind w:right="823"/>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14,798</w:t>
            </w: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28,614</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Accounts receivable</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61</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Inventory</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7,871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5,824</w:t>
            </w:r>
          </w:p>
        </w:tc>
      </w:tr>
      <w:tr>
        <w:trPr>
          <w:trHeight w:val="129"/>
        </w:trPr>
        <w:tc>
          <w:tcPr>
            <w:tcW w:w="8160" w:type="dxa"/>
            <w:vAlign w:val="bottom"/>
            <w:tcBorders>
              <w:bottom w:val="single" w:sz="8" w:color="CCEEFF"/>
            </w:tcBorders>
          </w:tcPr>
          <w:p>
            <w:pPr>
              <w:ind w:left="14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1,062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2,131</w:t>
            </w:r>
          </w:p>
        </w:tc>
      </w:tr>
      <w:tr>
        <w:trPr>
          <w:trHeight w:val="118"/>
        </w:trPr>
        <w:tc>
          <w:tcPr>
            <w:tcW w:w="8160" w:type="dxa"/>
            <w:vAlign w:val="bottom"/>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current assets</w:t>
            </w:r>
          </w:p>
        </w:tc>
        <w:tc>
          <w:tcPr>
            <w:tcW w:w="9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23,739</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36,630</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Property and equipment, net</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2,386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2,462</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Intangible assets, net</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2,883</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3,216</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Goodwill</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2,791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2,791</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Right-of-use assets</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8,433</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8,785</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Other assets</w:t>
            </w:r>
          </w:p>
        </w:tc>
        <w:tc>
          <w:tcPr>
            <w:tcW w:w="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365</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365</w:t>
            </w:r>
          </w:p>
        </w:tc>
      </w:tr>
      <w:tr>
        <w:trPr>
          <w:trHeight w:val="126"/>
        </w:trPr>
        <w:tc>
          <w:tcPr>
            <w:tcW w:w="8160" w:type="dxa"/>
            <w:vAlign w:val="bottom"/>
            <w:tcBorders>
              <w:bottom w:val="single" w:sz="8" w:color="CCEEFF"/>
            </w:tcBorders>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assets</w:t>
            </w:r>
          </w:p>
        </w:tc>
        <w:tc>
          <w:tcPr>
            <w:tcW w:w="960" w:type="dxa"/>
            <w:vAlign w:val="bottom"/>
            <w:tcBorders>
              <w:bottom w:val="single" w:sz="8" w:color="auto"/>
            </w:tcBorders>
            <w:shd w:val="clear" w:color="auto" w:fill="CCEEFF"/>
          </w:tcPr>
          <w:p>
            <w:pPr>
              <w:jc w:val="right"/>
              <w:ind w:right="823"/>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40,597</w:t>
            </w:r>
          </w:p>
        </w:tc>
        <w:tc>
          <w:tcPr>
            <w:tcW w:w="1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54,249</w:t>
            </w:r>
          </w:p>
        </w:tc>
      </w:tr>
      <w:tr>
        <w:trPr>
          <w:trHeight w:val="129"/>
        </w:trPr>
        <w:tc>
          <w:tcPr>
            <w:tcW w:w="8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Current liabilities:</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Accounts payable</w:t>
            </w:r>
          </w:p>
        </w:tc>
        <w:tc>
          <w:tcPr>
            <w:tcW w:w="960" w:type="dxa"/>
            <w:vAlign w:val="bottom"/>
            <w:shd w:val="clear" w:color="auto" w:fill="CCEEFF"/>
          </w:tcPr>
          <w:p>
            <w:pPr>
              <w:jc w:val="right"/>
              <w:ind w:right="823"/>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1,948</w:t>
            </w: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2,904</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4,757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4,389</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Deferred revenue</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32</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Lease liability, current</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827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774</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Note payable, current</w:t>
            </w:r>
          </w:p>
        </w:tc>
        <w:tc>
          <w:tcPr>
            <w:tcW w:w="9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436</w:t>
            </w:r>
          </w:p>
        </w:tc>
      </w:tr>
      <w:tr>
        <w:trPr>
          <w:trHeight w:val="118"/>
        </w:trPr>
        <w:tc>
          <w:tcPr>
            <w:tcW w:w="8160" w:type="dxa"/>
            <w:vAlign w:val="bottom"/>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current liabilities</w:t>
            </w:r>
          </w:p>
        </w:tc>
        <w:tc>
          <w:tcPr>
            <w:tcW w:w="9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7,564</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8,519</w:t>
            </w:r>
          </w:p>
        </w:tc>
      </w:tr>
      <w:tr>
        <w:trPr>
          <w:trHeight w:val="129"/>
        </w:trPr>
        <w:tc>
          <w:tcPr>
            <w:tcW w:w="8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Lease liability, less current</w:t>
            </w:r>
          </w:p>
        </w:tc>
        <w:tc>
          <w:tcPr>
            <w:tcW w:w="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9,618</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10,040</w:t>
            </w:r>
          </w:p>
        </w:tc>
      </w:tr>
      <w:tr>
        <w:trPr>
          <w:trHeight w:val="118"/>
        </w:trPr>
        <w:tc>
          <w:tcPr>
            <w:tcW w:w="8160" w:type="dxa"/>
            <w:vAlign w:val="bottom"/>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liabilities</w:t>
            </w:r>
          </w:p>
        </w:tc>
        <w:tc>
          <w:tcPr>
            <w:tcW w:w="9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17,182</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18,559</w:t>
            </w:r>
          </w:p>
        </w:tc>
      </w:tr>
      <w:tr>
        <w:trPr>
          <w:trHeight w:val="118"/>
        </w:trPr>
        <w:tc>
          <w:tcPr>
            <w:tcW w:w="8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Commitments and contingencies (Note 8)</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Stockholders’ equity:</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07"/>
        </w:trPr>
        <w:tc>
          <w:tcPr>
            <w:tcW w:w="8160" w:type="dxa"/>
            <w:vAlign w:val="bottom"/>
          </w:tcPr>
          <w:p>
            <w:pPr>
              <w:ind w:left="140"/>
              <w:spacing w:after="0" w:line="107" w:lineRule="exact"/>
              <w:rPr>
                <w:sz w:val="20"/>
                <w:szCs w:val="20"/>
                <w:color w:val="auto"/>
              </w:rPr>
            </w:pPr>
            <w:r>
              <w:rPr>
                <w:rFonts w:ascii="Times New Roman" w:cs="Times New Roman" w:eastAsia="Times New Roman" w:hAnsi="Times New Roman"/>
                <w:sz w:val="12"/>
                <w:szCs w:val="12"/>
                <w:color w:val="auto"/>
              </w:rPr>
              <w:t>Preferred stock, $0.001 par value;</w:t>
            </w: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60"/>
        </w:trPr>
        <w:tc>
          <w:tcPr>
            <w:tcW w:w="8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‎authorized – 50,000 shares; no shares issued and outstanding</w:t>
            </w:r>
          </w:p>
        </w:tc>
        <w:tc>
          <w:tcPr>
            <w:tcW w:w="96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7"/>
        </w:trPr>
        <w:tc>
          <w:tcPr>
            <w:tcW w:w="8160" w:type="dxa"/>
            <w:vAlign w:val="bottom"/>
            <w:shd w:val="clear" w:color="auto" w:fill="CCEEFF"/>
          </w:tcPr>
          <w:p>
            <w:pPr>
              <w:ind w:left="140"/>
              <w:spacing w:after="0" w:line="107" w:lineRule="exact"/>
              <w:rPr>
                <w:sz w:val="20"/>
                <w:szCs w:val="20"/>
                <w:color w:val="auto"/>
              </w:rPr>
            </w:pPr>
            <w:r>
              <w:rPr>
                <w:rFonts w:ascii="Times New Roman" w:cs="Times New Roman" w:eastAsia="Times New Roman" w:hAnsi="Times New Roman"/>
                <w:sz w:val="12"/>
                <w:szCs w:val="12"/>
                <w:color w:val="auto"/>
              </w:rPr>
              <w:t>Common stock, $0.001 par value:</w:t>
            </w:r>
          </w:p>
        </w:tc>
        <w:tc>
          <w:tcPr>
            <w:tcW w:w="9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authorized – 500,000 shares; issued and outstanding – 37,126 shares and 29,716 shares at June 30, 2022 and December 31, 2021, respectively</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Additional paid-in capital</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290,847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271,861</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9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Accumulated deficit</w:t>
            </w:r>
          </w:p>
        </w:tc>
        <w:tc>
          <w:tcPr>
            <w:tcW w:w="960" w:type="dxa"/>
            <w:vAlign w:val="bottom"/>
          </w:tcPr>
          <w:p>
            <w:pPr>
              <w:spacing w:after="0"/>
              <w:rPr>
                <w:sz w:val="11"/>
                <w:szCs w:val="11"/>
                <w:color w:val="auto"/>
              </w:rPr>
            </w:pPr>
          </w:p>
        </w:tc>
        <w:tc>
          <w:tcPr>
            <w:tcW w:w="7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(267,469)</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(236,200)</w:t>
            </w:r>
          </w:p>
        </w:tc>
      </w:tr>
      <w:tr>
        <w:trPr>
          <w:trHeight w:val="118"/>
        </w:trPr>
        <w:tc>
          <w:tcPr>
            <w:tcW w:w="8160" w:type="dxa"/>
            <w:vAlign w:val="bottom"/>
            <w:tcBorders>
              <w:top w:val="single" w:sz="8" w:color="CCEEFF"/>
            </w:tcBorders>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stockholders’ equity</w:t>
            </w:r>
          </w:p>
        </w:tc>
        <w:tc>
          <w:tcPr>
            <w:tcW w:w="960" w:type="dxa"/>
            <w:vAlign w:val="bottom"/>
            <w:tcBorders>
              <w:top w:val="single" w:sz="8" w:color="auto"/>
              <w:bottom w:val="single" w:sz="8" w:color="auto"/>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23,415</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35,690</w:t>
            </w:r>
          </w:p>
        </w:tc>
      </w:tr>
      <w:tr>
        <w:trPr>
          <w:trHeight w:val="126"/>
        </w:trPr>
        <w:tc>
          <w:tcPr>
            <w:tcW w:w="8160" w:type="dxa"/>
            <w:vAlign w:val="bottom"/>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960" w:type="dxa"/>
            <w:vAlign w:val="bottom"/>
            <w:tcBorders>
              <w:bottom w:val="single" w:sz="8" w:color="auto"/>
            </w:tcBorders>
          </w:tcPr>
          <w:p>
            <w:pPr>
              <w:jc w:val="right"/>
              <w:ind w:right="823"/>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40,597</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54,249</w:t>
            </w: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4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jc w:val="center"/>
        <w:ind w:left="440"/>
        <w:spacing w:after="0" w:line="224" w:lineRule="auto"/>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spacing w:after="0" w:line="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340" w:type="dxa"/>
            <w:vAlign w:val="bottom"/>
          </w:tcPr>
          <w:p>
            <w:pPr>
              <w:spacing w:after="0"/>
              <w:rPr>
                <w:sz w:val="10"/>
                <w:szCs w:val="10"/>
                <w:color w:val="auto"/>
              </w:rPr>
            </w:pPr>
          </w:p>
        </w:tc>
        <w:tc>
          <w:tcPr>
            <w:tcW w:w="1960" w:type="dxa"/>
            <w:vAlign w:val="bottom"/>
            <w:gridSpan w:val="4"/>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60" w:type="dxa"/>
            <w:vAlign w:val="bottom"/>
            <w:gridSpan w:val="4"/>
          </w:tcPr>
          <w:p>
            <w:pPr>
              <w:jc w:val="right"/>
              <w:ind w:right="619"/>
              <w:spacing w:after="0"/>
              <w:rPr>
                <w:sz w:val="20"/>
                <w:szCs w:val="20"/>
                <w:color w:val="auto"/>
              </w:rPr>
            </w:pPr>
            <w:r>
              <w:rPr>
                <w:rFonts w:ascii="Times New Roman" w:cs="Times New Roman" w:eastAsia="Times New Roman" w:hAnsi="Times New Roman"/>
                <w:sz w:val="10"/>
                <w:szCs w:val="10"/>
                <w:b w:val="1"/>
                <w:bCs w:val="1"/>
                <w:color w:val="auto"/>
              </w:rPr>
              <w:t>Six-Month Periods Ended</w:t>
            </w:r>
          </w:p>
        </w:tc>
      </w:tr>
      <w:tr>
        <w:trPr>
          <w:trHeight w:val="127"/>
        </w:trPr>
        <w:tc>
          <w:tcPr>
            <w:tcW w:w="63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860" w:type="dxa"/>
            <w:vAlign w:val="bottom"/>
            <w:tcBorders>
              <w:bottom w:val="single" w:sz="8" w:color="auto"/>
            </w:tcBorders>
          </w:tcPr>
          <w:p>
            <w:pPr>
              <w:spacing w:after="0"/>
              <w:rPr>
                <w:sz w:val="11"/>
                <w:szCs w:val="11"/>
                <w:color w:val="auto"/>
              </w:rPr>
            </w:pPr>
          </w:p>
        </w:tc>
      </w:tr>
      <w:tr>
        <w:trPr>
          <w:trHeight w:val="100"/>
        </w:trPr>
        <w:tc>
          <w:tcPr>
            <w:tcW w:w="6340" w:type="dxa"/>
            <w:vAlign w:val="bottom"/>
          </w:tcPr>
          <w:p>
            <w:pPr>
              <w:spacing w:after="0"/>
              <w:rPr>
                <w:sz w:val="8"/>
                <w:szCs w:val="8"/>
                <w:color w:val="auto"/>
              </w:rPr>
            </w:pPr>
          </w:p>
        </w:tc>
        <w:tc>
          <w:tcPr>
            <w:tcW w:w="6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Pr>
          <w:p>
            <w:pPr>
              <w:spacing w:after="0"/>
              <w:rPr>
                <w:sz w:val="8"/>
                <w:szCs w:val="8"/>
                <w:color w:val="auto"/>
              </w:rPr>
            </w:pPr>
          </w:p>
        </w:tc>
        <w:tc>
          <w:tcPr>
            <w:tcW w:w="8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ind w:right="421"/>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jc w:val="right"/>
              <w:ind w:right="419"/>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634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Revenues:</w:t>
            </w:r>
          </w:p>
        </w:tc>
        <w:tc>
          <w:tcPr>
            <w:tcW w:w="6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r>
      <w:tr>
        <w:trPr>
          <w:trHeight w:val="129"/>
        </w:trPr>
        <w:tc>
          <w:tcPr>
            <w:tcW w:w="634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Product revenues</w:t>
            </w:r>
          </w:p>
        </w:tc>
        <w:tc>
          <w:tcPr>
            <w:tcW w:w="660" w:type="dxa"/>
            <w:vAlign w:val="bottom"/>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265</w:t>
            </w:r>
          </w:p>
        </w:tc>
        <w:tc>
          <w:tcPr>
            <w:tcW w:w="840" w:type="dxa"/>
            <w:vAlign w:val="bottom"/>
            <w:gridSpan w:val="2"/>
          </w:tcPr>
          <w:p>
            <w:pPr>
              <w:jc w:val="right"/>
              <w:ind w:right="584"/>
              <w:spacing w:after="0" w:line="12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1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709</w:t>
            </w:r>
          </w:p>
        </w:tc>
        <w:tc>
          <w:tcPr>
            <w:tcW w:w="420" w:type="dxa"/>
            <w:vAlign w:val="bottom"/>
            <w:gridSpan w:val="2"/>
          </w:tcPr>
          <w:p>
            <w:pPr>
              <w:jc w:val="right"/>
              <w:ind w:right="184"/>
              <w:spacing w:after="0" w:line="129"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634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revenues</w:t>
            </w:r>
          </w:p>
        </w:tc>
        <w:tc>
          <w:tcPr>
            <w:tcW w:w="66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265</w:t>
            </w: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709</w:t>
            </w:r>
          </w:p>
        </w:tc>
        <w:tc>
          <w:tcPr>
            <w:tcW w:w="1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63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Cost and expenses:</w:t>
            </w: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9"/>
        </w:trPr>
        <w:tc>
          <w:tcPr>
            <w:tcW w:w="634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Cost of revenues</w:t>
            </w: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1,344</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2,253</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634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66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5,458</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7,459</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12,227</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16,522</w:t>
            </w:r>
          </w:p>
        </w:tc>
      </w:tr>
      <w:tr>
        <w:trPr>
          <w:trHeight w:val="129"/>
        </w:trPr>
        <w:tc>
          <w:tcPr>
            <w:tcW w:w="634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Sales and marketing</w:t>
            </w: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3,690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3,147</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9,231</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7,293</w:t>
            </w:r>
          </w:p>
        </w:tc>
      </w:tr>
      <w:tr>
        <w:trPr>
          <w:trHeight w:val="129"/>
        </w:trPr>
        <w:tc>
          <w:tcPr>
            <w:tcW w:w="6340" w:type="dxa"/>
            <w:vAlign w:val="bottom"/>
            <w:tcBorders>
              <w:bottom w:val="single" w:sz="8" w:color="CCEEFF"/>
            </w:tcBorders>
          </w:tcPr>
          <w:p>
            <w:pPr>
              <w:ind w:left="140"/>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3,787</w:t>
            </w:r>
          </w:p>
        </w:tc>
        <w:tc>
          <w:tcPr>
            <w:tcW w:w="1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4,200</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8,285</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9,516</w:t>
            </w:r>
          </w:p>
        </w:tc>
      </w:tr>
      <w:tr>
        <w:trPr>
          <w:trHeight w:val="118"/>
        </w:trPr>
        <w:tc>
          <w:tcPr>
            <w:tcW w:w="6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cost and expenses</w:t>
            </w:r>
          </w:p>
        </w:tc>
        <w:tc>
          <w:tcPr>
            <w:tcW w:w="6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14,279</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14,806</w:t>
            </w:r>
          </w:p>
        </w:tc>
        <w:tc>
          <w:tcPr>
            <w:tcW w:w="14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31,996</w:t>
            </w:r>
          </w:p>
        </w:tc>
        <w:tc>
          <w:tcPr>
            <w:tcW w:w="12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33,331</w:t>
            </w:r>
          </w:p>
        </w:tc>
      </w:tr>
      <w:tr>
        <w:trPr>
          <w:trHeight w:val="118"/>
        </w:trPr>
        <w:tc>
          <w:tcPr>
            <w:tcW w:w="63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Loss from operations</w:t>
            </w:r>
          </w:p>
        </w:tc>
        <w:tc>
          <w:tcPr>
            <w:tcW w:w="66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w w:val="97"/>
              </w:rPr>
              <w:t>(14,014)</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(14,806)</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(31,287)</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(33,331)</w:t>
            </w:r>
          </w:p>
        </w:tc>
      </w:tr>
      <w:tr>
        <w:trPr>
          <w:trHeight w:val="129"/>
        </w:trPr>
        <w:tc>
          <w:tcPr>
            <w:tcW w:w="6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income (expense):</w:t>
            </w: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29"/>
        </w:trPr>
        <w:tc>
          <w:tcPr>
            <w:tcW w:w="6340" w:type="dxa"/>
            <w:vAlign w:val="bottom"/>
            <w:tcBorders>
              <w:bottom w:val="single" w:sz="8" w:color="CCEEFF"/>
            </w:tcBorders>
          </w:tcPr>
          <w:p>
            <w:pPr>
              <w:ind w:left="140"/>
              <w:spacing w:after="0" w:line="129" w:lineRule="exact"/>
              <w:rPr>
                <w:sz w:val="20"/>
                <w:szCs w:val="20"/>
                <w:color w:val="auto"/>
              </w:rPr>
            </w:pPr>
            <w:r>
              <w:rPr>
                <w:rFonts w:ascii="Times New Roman" w:cs="Times New Roman" w:eastAsia="Times New Roman" w:hAnsi="Times New Roman"/>
                <w:sz w:val="12"/>
                <w:szCs w:val="12"/>
                <w:color w:val="auto"/>
              </w:rPr>
              <w:t>Interest income (expense), net</w:t>
            </w: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18</w:t>
            </w:r>
          </w:p>
        </w:tc>
        <w:tc>
          <w:tcPr>
            <w:tcW w:w="1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(517)</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18</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(631)</w:t>
            </w:r>
          </w:p>
        </w:tc>
      </w:tr>
      <w:tr>
        <w:trPr>
          <w:trHeight w:val="118"/>
        </w:trPr>
        <w:tc>
          <w:tcPr>
            <w:tcW w:w="6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other income (expense)</w:t>
            </w:r>
          </w:p>
        </w:tc>
        <w:tc>
          <w:tcPr>
            <w:tcW w:w="6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(517)</w:t>
            </w:r>
          </w:p>
        </w:tc>
        <w:tc>
          <w:tcPr>
            <w:tcW w:w="14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(631)</w:t>
            </w:r>
          </w:p>
        </w:tc>
      </w:tr>
      <w:tr>
        <w:trPr>
          <w:trHeight w:val="126"/>
        </w:trPr>
        <w:tc>
          <w:tcPr>
            <w:tcW w:w="63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Net loss</w:t>
            </w:r>
          </w:p>
        </w:tc>
        <w:tc>
          <w:tcPr>
            <w:tcW w:w="6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w w:val="97"/>
              </w:rPr>
              <w:t>(13,996)</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(15,323)</w:t>
            </w:r>
          </w:p>
        </w:tc>
        <w:tc>
          <w:tcPr>
            <w:tcW w:w="1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(31,269)</w:t>
            </w:r>
          </w:p>
        </w:tc>
        <w:tc>
          <w:tcPr>
            <w:tcW w:w="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(33,962)</w:t>
            </w:r>
          </w:p>
        </w:tc>
      </w:tr>
      <w:tr>
        <w:trPr>
          <w:trHeight w:val="129"/>
        </w:trPr>
        <w:tc>
          <w:tcPr>
            <w:tcW w:w="6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comprehensive gain (loss):</w:t>
            </w: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29"/>
        </w:trPr>
        <w:tc>
          <w:tcPr>
            <w:tcW w:w="6340" w:type="dxa"/>
            <w:vAlign w:val="bottom"/>
            <w:tcBorders>
              <w:bottom w:val="single" w:sz="8" w:color="CCEEFF"/>
            </w:tcBorders>
          </w:tcPr>
          <w:p>
            <w:pPr>
              <w:ind w:left="60"/>
              <w:spacing w:after="0" w:line="129" w:lineRule="exact"/>
              <w:rPr>
                <w:sz w:val="20"/>
                <w:szCs w:val="20"/>
                <w:color w:val="auto"/>
              </w:rPr>
            </w:pPr>
            <w:r>
              <w:rPr>
                <w:rFonts w:ascii="Times New Roman" w:cs="Times New Roman" w:eastAsia="Times New Roman" w:hAnsi="Times New Roman"/>
                <w:sz w:val="12"/>
                <w:szCs w:val="12"/>
                <w:color w:val="auto"/>
              </w:rPr>
              <w:t>Unrealized gain on available-for-sale securities</w:t>
            </w: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r>
      <w:tr>
        <w:trPr>
          <w:trHeight w:val="138"/>
        </w:trPr>
        <w:tc>
          <w:tcPr>
            <w:tcW w:w="634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Comprehensive loss</w:t>
            </w:r>
          </w:p>
        </w:tc>
        <w:tc>
          <w:tcPr>
            <w:tcW w:w="660" w:type="dxa"/>
            <w:vAlign w:val="bottom"/>
            <w:tcBorders>
              <w:bottom w:val="single" w:sz="8" w:color="auto"/>
            </w:tcBorders>
            <w:shd w:val="clear" w:color="auto" w:fill="CCEEFF"/>
          </w:tcPr>
          <w:p>
            <w:pPr>
              <w:jc w:val="right"/>
              <w:ind w:right="547"/>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w w:val="97"/>
              </w:rPr>
              <w:t>(13,996)</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(15,323)</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(31,269)</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(33,961)</w:t>
            </w:r>
          </w:p>
        </w:tc>
      </w:tr>
      <w:tr>
        <w:trPr>
          <w:trHeight w:val="117"/>
        </w:trPr>
        <w:tc>
          <w:tcPr>
            <w:tcW w:w="634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Net loss per share:</w:t>
            </w: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9"/>
        </w:trPr>
        <w:tc>
          <w:tcPr>
            <w:tcW w:w="6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Basic and diluted net loss per share</w:t>
            </w:r>
          </w:p>
        </w:tc>
        <w:tc>
          <w:tcPr>
            <w:tcW w:w="660" w:type="dxa"/>
            <w:vAlign w:val="bottom"/>
            <w:shd w:val="clear" w:color="auto" w:fill="CCEE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(0.44)</w:t>
            </w:r>
          </w:p>
        </w:tc>
        <w:tc>
          <w:tcPr>
            <w:tcW w:w="840" w:type="dxa"/>
            <w:vAlign w:val="bottom"/>
            <w:gridSpan w:val="2"/>
            <w:shd w:val="clear" w:color="auto" w:fill="CCEEFF"/>
          </w:tcPr>
          <w:p>
            <w:pPr>
              <w:jc w:val="right"/>
              <w:ind w:right="584"/>
              <w:spacing w:after="0" w:line="12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(0.58)</w:t>
            </w:r>
          </w:p>
        </w:tc>
        <w:tc>
          <w:tcPr>
            <w:tcW w:w="400" w:type="dxa"/>
            <w:vAlign w:val="bottom"/>
            <w:gridSpan w:val="2"/>
            <w:shd w:val="clear" w:color="auto" w:fill="CCEEFF"/>
          </w:tcPr>
          <w:p>
            <w:pPr>
              <w:jc w:val="right"/>
              <w:ind w:right="1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(1.02)</w:t>
            </w:r>
          </w:p>
        </w:tc>
        <w:tc>
          <w:tcPr>
            <w:tcW w:w="420" w:type="dxa"/>
            <w:vAlign w:val="bottom"/>
            <w:gridSpan w:val="2"/>
            <w:shd w:val="clear" w:color="auto" w:fill="CCEEFF"/>
          </w:tcPr>
          <w:p>
            <w:pPr>
              <w:jc w:val="right"/>
              <w:ind w:right="184"/>
              <w:spacing w:after="0" w:line="129"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(1.29)</w:t>
            </w:r>
          </w:p>
        </w:tc>
      </w:tr>
      <w:tr>
        <w:trPr>
          <w:trHeight w:val="124"/>
        </w:trPr>
        <w:tc>
          <w:tcPr>
            <w:tcW w:w="6340" w:type="dxa"/>
            <w:vAlign w:val="bottom"/>
            <w:tcBorders>
              <w:top w:val="single" w:sz="8" w:color="CCEEFF"/>
            </w:tcBorders>
          </w:tcPr>
          <w:p>
            <w:pPr>
              <w:spacing w:after="0" w:line="117" w:lineRule="exact"/>
              <w:rPr>
                <w:sz w:val="20"/>
                <w:szCs w:val="20"/>
                <w:color w:val="auto"/>
              </w:rPr>
            </w:pPr>
            <w:r>
              <w:rPr>
                <w:rFonts w:ascii="Times New Roman" w:cs="Times New Roman" w:eastAsia="Times New Roman" w:hAnsi="Times New Roman"/>
                <w:sz w:val="12"/>
                <w:szCs w:val="12"/>
                <w:color w:val="auto"/>
              </w:rPr>
              <w:t xml:space="preserve">Weighted average shares used to compute net loss per common share </w:t>
            </w:r>
            <w:r>
              <w:rPr>
                <w:rFonts w:ascii="Calibri" w:cs="Calibri" w:eastAsia="Calibri" w:hAnsi="Calibri"/>
                <w:sz w:val="12"/>
                <w:szCs w:val="12"/>
                <w:color w:val="auto"/>
              </w:rPr>
              <w:t>—</w:t>
            </w:r>
            <w:r>
              <w:rPr>
                <w:rFonts w:ascii="Times New Roman" w:cs="Times New Roman" w:eastAsia="Times New Roman" w:hAnsi="Times New Roman"/>
                <w:sz w:val="12"/>
                <w:szCs w:val="12"/>
                <w:color w:val="auto"/>
              </w:rPr>
              <w:t xml:space="preserve"> basic and diluted</w:t>
            </w:r>
          </w:p>
        </w:tc>
        <w:tc>
          <w:tcPr>
            <w:tcW w:w="6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31,492</w:t>
            </w:r>
          </w:p>
        </w:tc>
        <w:tc>
          <w:tcPr>
            <w:tcW w:w="140" w:type="dxa"/>
            <w:vAlign w:val="bottom"/>
            <w:tcBorders>
              <w:top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26,477</w:t>
            </w:r>
          </w:p>
        </w:tc>
        <w:tc>
          <w:tcPr>
            <w:tcW w:w="140" w:type="dxa"/>
            <w:vAlign w:val="bottom"/>
            <w:tcBorders>
              <w:top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1"/>
              <w:spacing w:after="0" w:line="117" w:lineRule="exact"/>
              <w:rPr>
                <w:sz w:val="20"/>
                <w:szCs w:val="20"/>
                <w:color w:val="auto"/>
              </w:rPr>
            </w:pPr>
            <w:r>
              <w:rPr>
                <w:rFonts w:ascii="Times New Roman" w:cs="Times New Roman" w:eastAsia="Times New Roman" w:hAnsi="Times New Roman"/>
                <w:sz w:val="12"/>
                <w:szCs w:val="12"/>
                <w:color w:val="auto"/>
              </w:rPr>
              <w:t>30,623</w:t>
            </w:r>
          </w:p>
        </w:tc>
        <w:tc>
          <w:tcPr>
            <w:tcW w:w="120" w:type="dxa"/>
            <w:vAlign w:val="bottom"/>
            <w:tcBorders>
              <w:top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26,276</w:t>
            </w:r>
          </w:p>
        </w:tc>
      </w:tr>
    </w:tbl>
    <w:p>
      <w:pPr>
        <w:spacing w:after="0" w:line="1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jc w:val="center"/>
        <w:spacing w:after="0" w:line="224" w:lineRule="auto"/>
        <w:rPr>
          <w:sz w:val="20"/>
          <w:szCs w:val="20"/>
          <w:color w:val="auto"/>
        </w:rPr>
      </w:pPr>
      <w:r>
        <w:rPr>
          <w:rFonts w:ascii="Times New Roman" w:cs="Times New Roman" w:eastAsia="Times New Roman" w:hAnsi="Times New Roman"/>
          <w:sz w:val="12"/>
          <w:szCs w:val="12"/>
          <w:b w:val="1"/>
          <w:bCs w:val="1"/>
          <w:color w:val="auto"/>
        </w:rPr>
        <w:t>(In thousands)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gridSpan w:val="4"/>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Six-Month Periods Ended</w:t>
            </w:r>
          </w:p>
        </w:tc>
        <w:tc>
          <w:tcPr>
            <w:tcW w:w="940" w:type="dxa"/>
            <w:vAlign w:val="bottom"/>
          </w:tcPr>
          <w:p>
            <w:pPr>
              <w:spacing w:after="0"/>
              <w:rPr>
                <w:sz w:val="10"/>
                <w:szCs w:val="10"/>
                <w:color w:val="auto"/>
              </w:rPr>
            </w:pPr>
          </w:p>
        </w:tc>
      </w:tr>
      <w:tr>
        <w:trPr>
          <w:trHeight w:val="127"/>
        </w:trPr>
        <w:tc>
          <w:tcPr>
            <w:tcW w:w="8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940" w:type="dxa"/>
            <w:vAlign w:val="bottom"/>
            <w:tcBorders>
              <w:bottom w:val="single" w:sz="8" w:color="auto"/>
            </w:tcBorders>
          </w:tcPr>
          <w:p>
            <w:pPr>
              <w:spacing w:after="0"/>
              <w:rPr>
                <w:sz w:val="11"/>
                <w:szCs w:val="11"/>
                <w:color w:val="auto"/>
              </w:rPr>
            </w:pPr>
          </w:p>
        </w:tc>
      </w:tr>
      <w:tr>
        <w:trPr>
          <w:trHeight w:val="100"/>
        </w:trPr>
        <w:tc>
          <w:tcPr>
            <w:tcW w:w="800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jc w:val="right"/>
              <w:ind w:right="45"/>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579"/>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0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loss</w:t>
            </w:r>
          </w:p>
        </w:tc>
        <w:tc>
          <w:tcPr>
            <w:tcW w:w="1100" w:type="dxa"/>
            <w:vAlign w:val="bottom"/>
            <w:gridSpan w:val="2"/>
          </w:tcPr>
          <w:p>
            <w:pPr>
              <w:jc w:val="right"/>
              <w:ind w:right="805"/>
              <w:spacing w:after="0" w:line="129"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(31,269)</w:t>
            </w:r>
          </w:p>
        </w:tc>
        <w:tc>
          <w:tcPr>
            <w:tcW w:w="640" w:type="dxa"/>
            <w:vAlign w:val="bottom"/>
            <w:gridSpan w:val="2"/>
          </w:tcPr>
          <w:p>
            <w:pPr>
              <w:jc w:val="right"/>
              <w:ind w:right="424"/>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(33,962)</w:t>
            </w: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29"/>
        </w:trPr>
        <w:tc>
          <w:tcPr>
            <w:tcW w:w="80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Depreciation</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347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229</w:t>
            </w:r>
          </w:p>
        </w:tc>
      </w:tr>
      <w:tr>
        <w:trPr>
          <w:trHeight w:val="129"/>
        </w:trPr>
        <w:tc>
          <w:tcPr>
            <w:tcW w:w="80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Amortization of intangible assets</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333</w:t>
            </w:r>
          </w:p>
        </w:tc>
      </w:tr>
      <w:tr>
        <w:trPr>
          <w:trHeight w:val="129"/>
        </w:trPr>
        <w:tc>
          <w:tcPr>
            <w:tcW w:w="80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3,720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9,413</w:t>
            </w:r>
          </w:p>
        </w:tc>
      </w:tr>
      <w:tr>
        <w:trPr>
          <w:trHeight w:val="129"/>
        </w:trPr>
        <w:tc>
          <w:tcPr>
            <w:tcW w:w="80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Net premium amortization and discount on available-for-sale securities</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w:t>
            </w:r>
          </w:p>
        </w:tc>
      </w:tr>
      <w:tr>
        <w:trPr>
          <w:trHeight w:val="129"/>
        </w:trPr>
        <w:tc>
          <w:tcPr>
            <w:tcW w:w="80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Accounts receivable</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Inventory</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(2,047)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(2,691)</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(2,454)</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Other receivables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Right-of-use assets</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319</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(931)</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1,041</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(754)</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Deferred revenue</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Lease liabilities</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(369)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(192)</w:t>
            </w:r>
          </w:p>
        </w:tc>
      </w:tr>
      <w:tr>
        <w:trPr>
          <w:trHeight w:val="129"/>
        </w:trPr>
        <w:tc>
          <w:tcPr>
            <w:tcW w:w="8000" w:type="dxa"/>
            <w:vAlign w:val="bottom"/>
            <w:tcBorders>
              <w:bottom w:val="single" w:sz="8" w:color="CCEEFF"/>
            </w:tcBorders>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interest on note payable</w:t>
            </w: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629</w:t>
            </w:r>
          </w:p>
        </w:tc>
      </w:tr>
      <w:tr>
        <w:trPr>
          <w:trHeight w:val="118"/>
        </w:trPr>
        <w:tc>
          <w:tcPr>
            <w:tcW w:w="8000" w:type="dxa"/>
            <w:vAlign w:val="bottom"/>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16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(28,416)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(28,053)</w:t>
            </w:r>
          </w:p>
        </w:tc>
      </w:tr>
      <w:tr>
        <w:trPr>
          <w:trHeight w:val="118"/>
        </w:trPr>
        <w:tc>
          <w:tcPr>
            <w:tcW w:w="800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Purchases of property and equipment</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(298)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(146)</w:t>
            </w: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Maturities of investments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8,000</w:t>
            </w:r>
          </w:p>
        </w:tc>
      </w:tr>
      <w:tr>
        <w:trPr>
          <w:trHeight w:val="118"/>
        </w:trPr>
        <w:tc>
          <w:tcPr>
            <w:tcW w:w="8000" w:type="dxa"/>
            <w:vAlign w:val="bottom"/>
            <w:tcBorders>
              <w:top w:val="single" w:sz="8" w:color="CCEEFF"/>
            </w:tcBorders>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1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(298)</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7,854</w:t>
            </w:r>
          </w:p>
        </w:tc>
      </w:tr>
      <w:tr>
        <w:trPr>
          <w:trHeight w:val="118"/>
        </w:trPr>
        <w:tc>
          <w:tcPr>
            <w:tcW w:w="800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common stock under employee stock purchase plan</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372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421</w:t>
            </w: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Proceeds from exercises of warrants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4,217</w:t>
            </w: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exercises of stock options</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678</w:t>
            </w: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common stock</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14,963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48,348</w:t>
            </w: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related party note</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1,730</w:t>
            </w: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Tax payments related to shares withheld for vested restricted stock units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(232)</w:t>
            </w: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Payments made on insurance loan agreement</w:t>
            </w:r>
          </w:p>
        </w:tc>
        <w:tc>
          <w:tcPr>
            <w:tcW w:w="16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8000" w:type="dxa"/>
            <w:vAlign w:val="bottom"/>
            <w:tcBorders>
              <w:bottom w:val="single" w:sz="8" w:color="CCEEFF"/>
            </w:tcBorders>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16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14,898</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55,162</w:t>
            </w:r>
          </w:p>
        </w:tc>
      </w:tr>
      <w:tr>
        <w:trPr>
          <w:trHeight w:val="118"/>
        </w:trPr>
        <w:tc>
          <w:tcPr>
            <w:tcW w:w="8000" w:type="dxa"/>
            <w:vAlign w:val="bottom"/>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16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(13,816)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34,963</w:t>
            </w:r>
          </w:p>
        </w:tc>
      </w:tr>
      <w:tr>
        <w:trPr>
          <w:trHeight w:val="118"/>
        </w:trPr>
        <w:tc>
          <w:tcPr>
            <w:tcW w:w="800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6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28,614</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12,463</w:t>
            </w:r>
          </w:p>
        </w:tc>
      </w:tr>
      <w:tr>
        <w:trPr>
          <w:trHeight w:val="126"/>
        </w:trPr>
        <w:tc>
          <w:tcPr>
            <w:tcW w:w="800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16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ind w:right="80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14,798</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47,426</w:t>
            </w:r>
          </w:p>
        </w:tc>
      </w:tr>
      <w:tr>
        <w:trPr>
          <w:trHeight w:val="129"/>
        </w:trPr>
        <w:tc>
          <w:tcPr>
            <w:tcW w:w="8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29"/>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activities: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Equipment purchases included in accounts payable and accrued expenses</w:t>
            </w:r>
          </w:p>
        </w:tc>
        <w:tc>
          <w:tcPr>
            <w:tcW w:w="1100" w:type="dxa"/>
            <w:vAlign w:val="bottom"/>
            <w:gridSpan w:val="2"/>
            <w:shd w:val="clear" w:color="auto" w:fill="CCEEFF"/>
          </w:tcPr>
          <w:p>
            <w:pPr>
              <w:jc w:val="right"/>
              <w:ind w:right="805"/>
              <w:spacing w:after="0" w:line="129"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24"/>
              <w:spacing w:after="0" w:line="129"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65</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Change in unrealized gains on available-for-sale securities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interest settled via issuance of common stock from private placement equity offering</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629</w:t>
            </w:r>
          </w:p>
        </w:tc>
      </w:tr>
      <w:tr>
        <w:trPr>
          <w:trHeight w:val="129"/>
        </w:trPr>
        <w:tc>
          <w:tcPr>
            <w:tcW w:w="800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Related party other receivable from issuance of common stock from private placement equity offering</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8,371</w:t>
            </w:r>
          </w:p>
        </w:tc>
      </w:tr>
      <w:tr>
        <w:trPr>
          <w:trHeight w:val="129"/>
        </w:trPr>
        <w:tc>
          <w:tcPr>
            <w:tcW w:w="800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Other receivable from issuance of common stock</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w:t>
            </w:r>
          </w:p>
        </w:tc>
      </w:tr>
      <w:tr>
        <w:trPr>
          <w:trHeight w:val="159"/>
        </w:trPr>
        <w:tc>
          <w:tcPr>
            <w:tcW w:w="8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costs for rights offering in accounts payable and accrued expenses</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jc w:val="center"/>
        <w:spacing w:after="0" w:line="236" w:lineRule="auto"/>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0"/>
        </w:trPr>
        <w:tc>
          <w:tcPr>
            <w:tcW w:w="3700" w:type="dxa"/>
            <w:vAlign w:val="bottom"/>
          </w:tcPr>
          <w:p>
            <w:pPr>
              <w:spacing w:after="0"/>
              <w:rPr>
                <w:sz w:val="12"/>
                <w:szCs w:val="12"/>
                <w:color w:val="auto"/>
              </w:rPr>
            </w:pPr>
          </w:p>
        </w:tc>
        <w:tc>
          <w:tcPr>
            <w:tcW w:w="200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09"/>
        </w:trPr>
        <w:tc>
          <w:tcPr>
            <w:tcW w:w="3700" w:type="dxa"/>
            <w:vAlign w:val="bottom"/>
          </w:tcPr>
          <w:p>
            <w:pPr>
              <w:spacing w:after="0"/>
              <w:rPr>
                <w:sz w:val="9"/>
                <w:szCs w:val="9"/>
                <w:color w:val="auto"/>
              </w:rPr>
            </w:pP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65"/>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340" w:type="dxa"/>
            <w:vAlign w:val="bottom"/>
          </w:tcPr>
          <w:p>
            <w:pPr>
              <w:jc w:val="center"/>
              <w:ind w:left="165"/>
              <w:spacing w:after="0" w:line="109"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center"/>
              <w:ind w:right="320"/>
              <w:spacing w:after="0" w:line="109"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center"/>
              <w:ind w:right="85"/>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r>
      <w:tr>
        <w:trPr>
          <w:trHeight w:val="129"/>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March 31, 2022</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29,802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274,240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(253,473)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20,796</w:t>
            </w:r>
          </w:p>
        </w:tc>
      </w:tr>
      <w:tr>
        <w:trPr>
          <w:trHeight w:val="107"/>
        </w:trPr>
        <w:tc>
          <w:tcPr>
            <w:tcW w:w="37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Issuance of shares in Rights Offering, net of issuance costs of $111</w:t>
            </w:r>
          </w:p>
        </w:tc>
        <w:tc>
          <w:tcPr>
            <w:tcW w:w="9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7,317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14,882</w:t>
            </w: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ind w:left="100"/>
              <w:spacing w:after="0" w:line="107"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14,889</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pursuant to warrant exercise</w:t>
            </w:r>
          </w:p>
        </w:tc>
        <w:tc>
          <w:tcPr>
            <w:tcW w:w="9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12</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1,713</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1,713</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shd w:val="clear" w:color="auto" w:fill="CCEEFF"/>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ind w:left="8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(13,996)</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(13,996)</w:t>
            </w:r>
          </w:p>
        </w:tc>
      </w:tr>
      <w:tr>
        <w:trPr>
          <w:trHeight w:val="117"/>
        </w:trPr>
        <w:tc>
          <w:tcPr>
            <w:tcW w:w="37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June 30, 2022</w:t>
            </w: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37,126</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290,847</w:t>
            </w:r>
          </w:p>
        </w:tc>
        <w:tc>
          <w:tcPr>
            <w:tcW w:w="140" w:type="dxa"/>
            <w:vAlign w:val="bottom"/>
          </w:tcPr>
          <w:p>
            <w:pPr>
              <w:spacing w:after="0"/>
              <w:rPr>
                <w:sz w:val="10"/>
                <w:szCs w:val="10"/>
                <w:color w:val="auto"/>
              </w:rPr>
            </w:pP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(267,469)</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23,415</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0"/>
        </w:trPr>
        <w:tc>
          <w:tcPr>
            <w:tcW w:w="3700" w:type="dxa"/>
            <w:vAlign w:val="bottom"/>
          </w:tcPr>
          <w:p>
            <w:pPr>
              <w:spacing w:after="0"/>
              <w:rPr>
                <w:sz w:val="12"/>
                <w:szCs w:val="12"/>
                <w:color w:val="auto"/>
              </w:rPr>
            </w:pPr>
          </w:p>
        </w:tc>
        <w:tc>
          <w:tcPr>
            <w:tcW w:w="200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09"/>
        </w:trPr>
        <w:tc>
          <w:tcPr>
            <w:tcW w:w="3700" w:type="dxa"/>
            <w:vAlign w:val="bottom"/>
          </w:tcPr>
          <w:p>
            <w:pPr>
              <w:spacing w:after="0"/>
              <w:rPr>
                <w:sz w:val="9"/>
                <w:szCs w:val="9"/>
                <w:color w:val="auto"/>
              </w:rPr>
            </w:pP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65"/>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340" w:type="dxa"/>
            <w:vAlign w:val="bottom"/>
          </w:tcPr>
          <w:p>
            <w:pPr>
              <w:jc w:val="center"/>
              <w:ind w:left="165"/>
              <w:spacing w:after="0" w:line="109"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85"/>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r>
      <w:tr>
        <w:trPr>
          <w:trHeight w:val="129"/>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December 31, 2021</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29,716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271,861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(236,200)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35,690</w:t>
            </w:r>
          </w:p>
        </w:tc>
      </w:tr>
      <w:tr>
        <w:trPr>
          <w:trHeight w:val="107"/>
        </w:trPr>
        <w:tc>
          <w:tcPr>
            <w:tcW w:w="370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Issuance of shares in Rights Offering, net of issuance costs of $111</w:t>
            </w:r>
          </w:p>
        </w:tc>
        <w:tc>
          <w:tcPr>
            <w:tcW w:w="9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7,317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center"/>
              <w:ind w:left="545"/>
              <w:spacing w:after="0" w:line="107" w:lineRule="exact"/>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14,882</w:t>
            </w: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ind w:left="100"/>
              <w:spacing w:after="0" w:line="107"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14,889</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372</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372</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pursuant to warrant exercise</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left="545"/>
              <w:spacing w:after="0" w:line="120"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12</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13</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shd w:val="clear" w:color="auto" w:fill="CCEEFF"/>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3,720</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3,720</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8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(31,269)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(31,269)</w:t>
            </w:r>
          </w:p>
        </w:tc>
      </w:tr>
      <w:tr>
        <w:trPr>
          <w:trHeight w:val="117"/>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June 30, 2022</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37,126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290,847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(267,469)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23,415</w:t>
            </w: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0"/>
        </w:trPr>
        <w:tc>
          <w:tcPr>
            <w:tcW w:w="3700" w:type="dxa"/>
            <w:vAlign w:val="bottom"/>
          </w:tcPr>
          <w:p>
            <w:pPr>
              <w:spacing w:after="0"/>
              <w:rPr>
                <w:sz w:val="12"/>
                <w:szCs w:val="12"/>
                <w:color w:val="auto"/>
              </w:rPr>
            </w:pPr>
          </w:p>
        </w:tc>
        <w:tc>
          <w:tcPr>
            <w:tcW w:w="2020" w:type="dxa"/>
            <w:vAlign w:val="bottom"/>
            <w:gridSpan w:val="5"/>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09"/>
        </w:trPr>
        <w:tc>
          <w:tcPr>
            <w:tcW w:w="3700" w:type="dxa"/>
            <w:vAlign w:val="bottom"/>
          </w:tcPr>
          <w:p>
            <w:pPr>
              <w:spacing w:after="0"/>
              <w:rPr>
                <w:sz w:val="9"/>
                <w:szCs w:val="9"/>
                <w:color w:val="auto"/>
              </w:rPr>
            </w:pP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64"/>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340" w:type="dxa"/>
            <w:vAlign w:val="bottom"/>
          </w:tcPr>
          <w:p>
            <w:pPr>
              <w:jc w:val="center"/>
              <w:ind w:left="165"/>
              <w:spacing w:after="0" w:line="109"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85"/>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r>
      <w:tr>
        <w:trPr>
          <w:trHeight w:val="129"/>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March 31, 2021</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26,401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211,550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(191,179)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20,397</w:t>
            </w:r>
          </w:p>
        </w:tc>
      </w:tr>
      <w:tr>
        <w:trPr>
          <w:trHeight w:val="71"/>
        </w:trPr>
        <w:tc>
          <w:tcPr>
            <w:tcW w:w="3700" w:type="dxa"/>
            <w:vAlign w:val="bottom"/>
          </w:tcPr>
          <w:p>
            <w:pPr>
              <w:spacing w:after="0" w:line="71" w:lineRule="exact"/>
              <w:rPr>
                <w:sz w:val="20"/>
                <w:szCs w:val="20"/>
                <w:color w:val="auto"/>
              </w:rPr>
            </w:pPr>
            <w:r>
              <w:rPr>
                <w:rFonts w:ascii="Times New Roman" w:cs="Times New Roman" w:eastAsia="Times New Roman" w:hAnsi="Times New Roman"/>
                <w:sz w:val="8"/>
                <w:szCs w:val="8"/>
                <w:color w:val="auto"/>
              </w:rPr>
              <w:t>Issuance of common stock as part of debt extinguishment and private</w:t>
            </w: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38"/>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investment, net of issuance costs of $59</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left="544"/>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49,938</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49,941</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as part of ATM offering</w:t>
            </w:r>
          </w:p>
        </w:tc>
        <w:tc>
          <w:tcPr>
            <w:tcW w:w="9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center"/>
              <w:ind w:left="444"/>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2,469</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2,469</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left="444"/>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59</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59</w:t>
            </w:r>
          </w:p>
        </w:tc>
      </w:tr>
      <w:tr>
        <w:trPr>
          <w:trHeight w:val="101"/>
        </w:trPr>
        <w:tc>
          <w:tcPr>
            <w:tcW w:w="37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Issuance of common stock upon vesting of restricted stock units, net of shares</w:t>
            </w:r>
          </w:p>
        </w:tc>
        <w:tc>
          <w:tcPr>
            <w:tcW w:w="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13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withheld for employee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left="444"/>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(232)</w:t>
            </w:r>
          </w:p>
        </w:tc>
        <w:tc>
          <w:tcPr>
            <w:tcW w:w="1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Adjustment to shares issued under employee stock purchase plan</w:t>
            </w:r>
          </w:p>
        </w:tc>
        <w:tc>
          <w:tcPr>
            <w:tcW w:w="10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0"/>
                <w:szCs w:val="10"/>
                <w:color w:val="auto"/>
              </w:rPr>
            </w:pPr>
          </w:p>
        </w:tc>
        <w:tc>
          <w:tcPr>
            <w:tcW w:w="800" w:type="dxa"/>
            <w:vAlign w:val="bottom"/>
            <w:gridSpan w:val="2"/>
          </w:tcPr>
          <w:p>
            <w:pPr>
              <w:jc w:val="center"/>
              <w:ind w:left="444"/>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(9)</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w:t>
            </w:r>
          </w:p>
        </w:tc>
      </w:tr>
      <w:tr>
        <w:trPr>
          <w:trHeight w:val="120"/>
        </w:trPr>
        <w:tc>
          <w:tcPr>
            <w:tcW w:w="3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shd w:val="clear" w:color="auto" w:fill="CCEEFF"/>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center"/>
              <w:ind w:left="444"/>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2,448</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2,448</w:t>
            </w: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center"/>
              <w:ind w:left="444"/>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(15,323)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(15,323)</w:t>
            </w:r>
          </w:p>
        </w:tc>
      </w:tr>
      <w:tr>
        <w:trPr>
          <w:trHeight w:val="117"/>
        </w:trPr>
        <w:tc>
          <w:tcPr>
            <w:tcW w:w="37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June 30, 2021</w:t>
            </w:r>
          </w:p>
        </w:tc>
        <w:tc>
          <w:tcPr>
            <w:tcW w:w="9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29,606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266,223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340" w:type="dxa"/>
            <w:vAlign w:val="bottom"/>
            <w:tcBorders>
              <w:top w:val="single" w:sz="8" w:color="auto"/>
              <w:bottom w:val="single" w:sz="8" w:color="auto"/>
            </w:tcBorders>
            <w:shd w:val="clear" w:color="auto" w:fill="CCEEFF"/>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(206,502)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59,750</w:t>
            </w:r>
          </w:p>
        </w:tc>
      </w:tr>
      <w:tr>
        <w:trPr>
          <w:trHeight w:val="276"/>
        </w:trPr>
        <w:tc>
          <w:tcPr>
            <w:tcW w:w="3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3"/>
        </w:trPr>
        <w:tc>
          <w:tcPr>
            <w:tcW w:w="37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00" w:type="dxa"/>
            <w:vAlign w:val="bottom"/>
          </w:tcPr>
          <w:p>
            <w:pPr>
              <w:spacing w:after="0"/>
              <w:rPr>
                <w:sz w:val="12"/>
                <w:szCs w:val="12"/>
                <w:color w:val="auto"/>
              </w:rPr>
            </w:pPr>
          </w:p>
        </w:tc>
        <w:tc>
          <w:tcPr>
            <w:tcW w:w="200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December 31, 2020</w:t>
            </w: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65"/>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25,550</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700" w:type="dxa"/>
            <w:vAlign w:val="bottom"/>
          </w:tcPr>
          <w:p>
            <w:pPr>
              <w:spacing w:after="0" w:line="83" w:lineRule="exact"/>
              <w:rPr>
                <w:sz w:val="20"/>
                <w:szCs w:val="20"/>
                <w:color w:val="auto"/>
              </w:rPr>
            </w:pPr>
            <w:r>
              <w:rPr>
                <w:rFonts w:ascii="Times New Roman" w:cs="Times New Roman" w:eastAsia="Times New Roman" w:hAnsi="Times New Roman"/>
                <w:sz w:val="9"/>
                <w:szCs w:val="9"/>
                <w:color w:val="auto"/>
              </w:rPr>
              <w:t>Issuance of common stock as part of debt extinguishment and private</w:t>
            </w: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investment, net of issuance costs of $59</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3,049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left="545"/>
              <w:spacing w:after="0" w:line="120"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upon exercise of warrants</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585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left="545"/>
              <w:spacing w:after="0" w:line="120"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as part of ATM offering</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288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upon vesting of restricted stock units, net of shares</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withheld for employee taxes</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center"/>
              <w:ind w:left="465"/>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7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June 30, 2021</w:t>
            </w: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29,606</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-1105535</wp:posOffset>
            </wp:positionV>
            <wp:extent cx="7176135" cy="81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176135" cy="76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176135" cy="76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-327025</wp:posOffset>
            </wp:positionV>
            <wp:extent cx="7176135" cy="76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7176135" cy="76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7176135" cy="152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9"/>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40"/>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17"/>
        </w:trPr>
        <w:tc>
          <w:tcPr>
            <w:tcW w:w="980" w:type="dxa"/>
            <w:vAlign w:val="bottom"/>
          </w:tcPr>
          <w:p>
            <w:pPr>
              <w:jc w:val="right"/>
              <w:ind w:right="125"/>
              <w:spacing w:after="0" w:line="109" w:lineRule="exact"/>
              <w:rPr>
                <w:sz w:val="20"/>
                <w:szCs w:val="20"/>
                <w:color w:val="auto"/>
              </w:rPr>
            </w:pPr>
            <w:r>
              <w:rPr>
                <w:rFonts w:ascii="Times New Roman" w:cs="Times New Roman" w:eastAsia="Times New Roman" w:hAnsi="Times New Roman"/>
                <w:sz w:val="11"/>
                <w:szCs w:val="11"/>
                <w:color w:val="auto"/>
              </w:rPr>
              <w:t>195,410</w:t>
            </w: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color w:val="auto"/>
                <w:w w:val="77"/>
              </w:rPr>
              <w:t>(1)</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(172,540)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22,894</w:t>
            </w:r>
          </w:p>
        </w:tc>
      </w:tr>
      <w:tr>
        <w:trPr>
          <w:trHeight w:val="203"/>
        </w:trPr>
        <w:tc>
          <w:tcPr>
            <w:tcW w:w="98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49,938</w:t>
            </w:r>
          </w:p>
        </w:tc>
        <w:tc>
          <w:tcPr>
            <w:tcW w:w="134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49,941</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3,333</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3,334</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7,432</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7,432</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508</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508</w:t>
            </w:r>
          </w:p>
        </w:tc>
      </w:tr>
      <w:tr>
        <w:trPr>
          <w:trHeight w:val="143"/>
        </w:trPr>
        <w:tc>
          <w:tcPr>
            <w:tcW w:w="98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421</w:t>
            </w:r>
          </w:p>
        </w:tc>
        <w:tc>
          <w:tcPr>
            <w:tcW w:w="13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r>
      <w:tr>
        <w:trPr>
          <w:trHeight w:val="217"/>
        </w:trPr>
        <w:tc>
          <w:tcPr>
            <w:tcW w:w="9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(232)</w:t>
            </w:r>
          </w:p>
        </w:tc>
        <w:tc>
          <w:tcPr>
            <w:tcW w:w="134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9,413</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9,413</w:t>
            </w:r>
          </w:p>
        </w:tc>
      </w:tr>
      <w:tr>
        <w:trPr>
          <w:trHeight w:val="120"/>
        </w:trPr>
        <w:tc>
          <w:tcPr>
            <w:tcW w:w="980" w:type="dxa"/>
            <w:vAlign w:val="bottom"/>
          </w:tcPr>
          <w:p>
            <w:pPr>
              <w:jc w:val="right"/>
              <w:ind w:right="85"/>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0"/>
                <w:szCs w:val="10"/>
                <w:color w:val="auto"/>
              </w:rPr>
            </w:pPr>
          </w:p>
        </w:tc>
        <w:tc>
          <w:tcPr>
            <w:tcW w:w="200" w:type="dxa"/>
            <w:vAlign w:val="bottom"/>
          </w:tcPr>
          <w:p>
            <w:pPr>
              <w:ind w:left="120"/>
              <w:spacing w:after="0" w:line="120"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w:t>
            </w:r>
          </w:p>
        </w:tc>
      </w:tr>
      <w:tr>
        <w:trPr>
          <w:trHeight w:val="138"/>
        </w:trPr>
        <w:tc>
          <w:tcPr>
            <w:tcW w:w="9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(33,962)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(33,962)</w:t>
            </w:r>
          </w:p>
        </w:tc>
      </w:tr>
      <w:tr>
        <w:trPr>
          <w:trHeight w:val="117"/>
        </w:trPr>
        <w:tc>
          <w:tcPr>
            <w:tcW w:w="980" w:type="dxa"/>
            <w:vAlign w:val="bottom"/>
          </w:tcPr>
          <w:p>
            <w:pPr>
              <w:jc w:val="right"/>
              <w:ind w:right="125"/>
              <w:spacing w:after="0" w:line="109" w:lineRule="exact"/>
              <w:rPr>
                <w:sz w:val="20"/>
                <w:szCs w:val="20"/>
                <w:color w:val="auto"/>
              </w:rPr>
            </w:pPr>
            <w:r>
              <w:rPr>
                <w:rFonts w:ascii="Times New Roman" w:cs="Times New Roman" w:eastAsia="Times New Roman" w:hAnsi="Times New Roman"/>
                <w:sz w:val="11"/>
                <w:szCs w:val="11"/>
                <w:color w:val="auto"/>
              </w:rPr>
              <w:t>266,223</w:t>
            </w: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(206,502)</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59,750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-17145</wp:posOffset>
            </wp:positionV>
            <wp:extent cx="74358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3585" cy="571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-5080</wp:posOffset>
            </wp:positionV>
            <wp:extent cx="74358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3585" cy="571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-99060</wp:posOffset>
            </wp:positionV>
            <wp:extent cx="74358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3585" cy="571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-941705</wp:posOffset>
            </wp:positionV>
            <wp:extent cx="74358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3585" cy="571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-1023620</wp:posOffset>
            </wp:positionV>
            <wp:extent cx="74358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358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80"/>
            <w:col w:w="5180"/>
          </w:cols>
          <w:pgMar w:left="300" w:top="115" w:right="299" w:bottom="1440" w:gutter="0" w:footer="0" w:header="0"/>
        </w:sectPr>
      </w:pP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Description of the Business</w:t>
      </w:r>
    </w:p>
    <w:p>
      <w:pPr>
        <w:spacing w:after="0" w:line="131"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Pulse Biosciences, Inc. is a novel bioelectric medicine company committed to health innovation using an entirely new and proprietary energy modality. The Company’s CellFX System is the first commercial product to harness the distinctive advantages of the Company’s proprietary NPS technology. The CellFX System delivers nanosecond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06"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 xml:space="preserve">In February 2021, the Company received 510(k) clearance from the U.S. Food and Drug Administration (“FDA”) for the CellFX System for dermatologic procedures requiring ablation and resurfacing of the skin. In January 2021, the Company received CE marking approval for the CellFX System, which allows for marketing of the system in the EU and, in June 2021, the Company received Health Canada approval for the CellFX System, which allows for marketing of the system in Canada. The CE mark and Health Canada approvals allow for use of the CellFX System in dermatological procedures requiring ablation and resurfacing of the skin for the reduction, removal, and/or clearance of cellular-based benign lesions, including SH, SK, and cutaneous non-genital warts. The Company will continue to pursue specific indications for the CellFX System in the United States similar to the regulatory clearances already received in Europe and Canada. This will require additional 510(k) submissions for each subsequent indication, and will likely be based on comparative clinical data. </w:t>
      </w:r>
      <w:r>
        <w:rPr>
          <w:rFonts w:ascii="Times New Roman" w:cs="Times New Roman" w:eastAsia="Times New Roman" w:hAnsi="Times New Roman"/>
          <w:sz w:val="12"/>
          <w:szCs w:val="12"/>
          <w:color w:val="231F20"/>
        </w:rPr>
        <w:t>In December 2021,</w:t>
      </w:r>
      <w:r>
        <w:rPr>
          <w:rFonts w:ascii="Times New Roman" w:cs="Times New Roman" w:eastAsia="Times New Roman" w:hAnsi="Times New Roman"/>
          <w:sz w:val="12"/>
          <w:szCs w:val="12"/>
          <w:color w:val="auto"/>
        </w:rPr>
        <w:t xml:space="preserve"> the Company submitted a 510(k) to add the treatment of SH to the CellFX System’s indications for use in the United States. In February 2022 the Company received an Additional Information (“AI”) letter from the FDA in response to the 510(k) submitted. In the AI letter, the FDA stated it did not believe the Company provided sufficient clinical evidence at this time to support the expanded indication for use, and that the Company had not met the primary endpoints of the SH FDA-approved IDE study. The Company met with the FDA at the end of April 2022 to gain clarification regarding the AI letter and to discuss the appropriate next steps. Following the meeting and at the FDA’s request, the Company provided additional analysis of the sebaceous hyperplasia comparative clinical data. The Company met with the FDA again in June 2022 to discuss the data. Following this meeting, the FDA requested further data which was provided in July 2022. The Company is expecting feedback from the FDA on the most recent data provided. The Company expects to continue to collaborate with the FDA to formally respond to the AI letter. Separately, in August 2022, the Company received 510(k) clearance from the FDA for expanded energy settings for use with the family of CellFX System treatment tips in dermatology. The expanded energy settings enable clinicians in the U.S. to provide more customized energy delivery specific to individual lesions.</w:t>
      </w:r>
    </w:p>
    <w:p>
      <w:pPr>
        <w:spacing w:after="0" w:line="102"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In February 2021, the Company initiated controlled launch programs (Note 9) in the United States and the European Union and in June 2021 the Company initiated a controlled launch program in Canada (collectively, our “Controlled Launch”). In August 2021, the Company began to convert Controlled Launch program participants into sales agreements, thereby triggering revenue recognition.</w:t>
      </w:r>
    </w:p>
    <w:p>
      <w:pPr>
        <w:spacing w:after="0" w:line="78"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On March 31, 2022, the Company initiated a plan to reduce its operating expenses, preserve financial resources, and focus its sales and marketing efforts on increasing utilization of CellFX Systems. The Company’s Board of Directors approved changes to the Company’s commercial leadership, restructuring of its commercial field organization and reductions in other personnel and expenses across the Company. The Company announced a reduction in force effective as of March 31, 2022. See Note 13 for additional details.</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 was incorporated in Nevada on May 19, 2014. On June 18, 2018, the Company reincorporated from the State of Nevada to the State of Delaware. The Company is located in Hayward, California.</w:t>
      </w:r>
    </w:p>
    <w:p>
      <w:pPr>
        <w:spacing w:after="0" w:line="129"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Company’s activities are subject to significant risks and uncertainties, including the need for additional capital. The Company does not currently have any cash flows from operations. It has recently commenced revenue-generating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Going Concern</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 xml:space="preserve">As of June 30, 2022, the Company had an accumulated deficit of $267.5 million, cash outflows from operations of $28.4 million for the six months then ended, cash and cash equivalents of $14.8 million and a net loss of $31.3 million. The Company has recently begun to generate revenue from product sales, but anticipates net losses for the next several years or until it can generate substantial product revenue and achieve profitability. Based on the Company’s current operating plan, the Company has determined that, with its current financial resources, the Company would be able to operate into the fourth quarter of 2022. As the Company’s operating plan does not allow the Company to operate for a period of twelve months from the date the condensed consolidated financial statements are issued without additional financing, based on the Accounting Standards Codification (“ASC”) 205-40, </w:t>
      </w:r>
      <w:r>
        <w:rPr>
          <w:rFonts w:ascii="Times New Roman" w:cs="Times New Roman" w:eastAsia="Times New Roman" w:hAnsi="Times New Roman"/>
          <w:sz w:val="12"/>
          <w:szCs w:val="12"/>
          <w:i w:val="1"/>
          <w:iCs w:val="1"/>
          <w:color w:val="auto"/>
        </w:rPr>
        <w:t>Presentation of Financial Statements – Going Concern</w:t>
      </w:r>
      <w:r>
        <w:rPr>
          <w:rFonts w:ascii="Times New Roman" w:cs="Times New Roman" w:eastAsia="Times New Roman" w:hAnsi="Times New Roman"/>
          <w:sz w:val="12"/>
          <w:szCs w:val="12"/>
          <w:color w:val="auto"/>
        </w:rPr>
        <w:t>, the Company is required to disclose that substantial doubt regarding the Company’s ability to continue as a going concern exists. This evaluation initially cannot take into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consideration the potential mitigating effects of plans that have not been fully implemented as of the date the financial statements are issued. To continue to fund the operations of the Company beyond this time period, management has developed plans, which primarily consist of raising additional capital through some combination of public or private equity offerings, debt financings, the Company’s at-the-market equity offering program, and/or potential new collaborations. There is no assurance, however, that any additional financing or any revenue-generating collaboration will be available when needed or that management of the Company will be able to obtain financing or enter into a collaboration on terms acceptable to the Company. 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The accompanying unaudited condensed consolidated financial statements have been prepared on a basis consistent with the Company’s December 31, 2021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2021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2021. The results of operations for the three-month and six-month periods ended June 30, 2022, are not necessarily indicative of the results to be expected for the entire year or any future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not limited to, the valuation of cash equivalents, the valuation and recognition of share-based compensation, inventory valuation, warranty obligations,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Accounting Policies</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Company’s significant accounting policies are described in the Company’s Annual Report on Form 10-K for the year ended December 31, 2021. The Company continually evaluates the accounting policies and estimates used in preparing the consolidated financial statements. There have been no material changes to the Company’s significant accounting policies during the six-month period ended June 30, 2022, as compared to the significant accounting policies described in the Company’s Annual Report on Form 10-K for the year ended December 31, 2021.</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Valuation of Inventory</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Inventory is stated at lower of cost or net realizable value. The Company establishes the inventory basis by determining the cost based on standard costs approximating the purchase costs on a first-in, first-out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June 30, 2022, the balance of inventory is reduced by $0.2 million for excessive and obsolete inventory.</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Revenue from Contracts with Customers</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the Company sells these products on a stand-alone basis at their respective stand-alone selling prices (“SSP”), initial customer contracts will primarily involve the bundling of products which will be delivered concurrently to the customer. In such instances, the full consideration of the contract will be recognized upon shipment of the products. The Company generally requires receipt of full payment prior to shipment, however, from time to time, payment terms may be extended to customers upon which the Company will perform a necessary credit evaluation to ensure future collectability of the outstanding balance. The Company does not believe any portion of the outstanding accounts receivable balance to be uncollectible, and has therefore not recorded an allowance against the accounts receivable balance. Refer to Note 10 for further details.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Product Warranty</w:t>
      </w:r>
    </w:p>
    <w:p>
      <w:pPr>
        <w:spacing w:after="0" w:line="122"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accrues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The warranty reserve is included within Accrued expenses on the consolidated balance sheets. Warranty expense is recorded as a component of Cost of Revenues in the consolidated statements of operations and comprehensive loss.</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Warranty accrual activity consisted of the following for the three-month and six-month periods ended June 30, 2022 and 2021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gridSpan w:val="3"/>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3"/>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Six-Month Periods Ended</w:t>
            </w:r>
          </w:p>
        </w:tc>
        <w:tc>
          <w:tcPr>
            <w:tcW w:w="920" w:type="dxa"/>
            <w:vAlign w:val="bottom"/>
          </w:tcPr>
          <w:p>
            <w:pPr>
              <w:spacing w:after="0"/>
              <w:rPr>
                <w:sz w:val="10"/>
                <w:szCs w:val="10"/>
                <w:color w:val="auto"/>
              </w:rPr>
            </w:pPr>
          </w:p>
        </w:tc>
      </w:tr>
      <w:tr>
        <w:trPr>
          <w:trHeight w:val="127"/>
        </w:trPr>
        <w:tc>
          <w:tcPr>
            <w:tcW w:w="49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920" w:type="dxa"/>
            <w:vAlign w:val="bottom"/>
            <w:tcBorders>
              <w:bottom w:val="single" w:sz="8" w:color="auto"/>
            </w:tcBorders>
          </w:tcPr>
          <w:p>
            <w:pPr>
              <w:spacing w:after="0"/>
              <w:rPr>
                <w:sz w:val="11"/>
                <w:szCs w:val="11"/>
                <w:color w:val="auto"/>
              </w:rPr>
            </w:pPr>
          </w:p>
        </w:tc>
      </w:tr>
      <w:tr>
        <w:trPr>
          <w:trHeight w:val="100"/>
        </w:trPr>
        <w:tc>
          <w:tcPr>
            <w:tcW w:w="49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ind w:right="4"/>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ind w:left="60"/>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jc w:val="right"/>
              <w:ind w:right="584"/>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ind w:left="100"/>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4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Beginning balance</w:t>
            </w:r>
          </w:p>
        </w:tc>
        <w:tc>
          <w:tcPr>
            <w:tcW w:w="900" w:type="dxa"/>
            <w:vAlign w:val="bottom"/>
            <w:shd w:val="clear" w:color="auto" w:fill="CCEEFF"/>
          </w:tcPr>
          <w:p>
            <w:pPr>
              <w:jc w:val="right"/>
              <w:ind w:right="7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97</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ind w:left="7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80</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ind w:left="74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9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Add: Accruals for warranties issued during the period</w:t>
            </w:r>
          </w:p>
        </w:tc>
        <w:tc>
          <w:tcPr>
            <w:tcW w:w="900" w:type="dxa"/>
            <w:vAlign w:val="bottom"/>
          </w:tcPr>
          <w:p>
            <w:pPr>
              <w:spacing w:after="0"/>
              <w:rPr>
                <w:sz w:val="11"/>
                <w:szCs w:val="11"/>
                <w:color w:val="auto"/>
              </w:rPr>
            </w:pPr>
          </w:p>
        </w:tc>
        <w:tc>
          <w:tcPr>
            <w:tcW w:w="580" w:type="dxa"/>
            <w:vAlign w:val="bottom"/>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25</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7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4"/>
              <w:spacing w:after="0" w:line="129" w:lineRule="exact"/>
              <w:rPr>
                <w:sz w:val="20"/>
                <w:szCs w:val="20"/>
                <w:color w:val="auto"/>
              </w:rPr>
            </w:pPr>
            <w:r>
              <w:rPr>
                <w:rFonts w:ascii="Times New Roman" w:cs="Times New Roman" w:eastAsia="Times New Roman" w:hAnsi="Times New Roman"/>
                <w:sz w:val="12"/>
                <w:szCs w:val="12"/>
                <w:color w:val="auto"/>
              </w:rPr>
              <w:t>42</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ind w:left="74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9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Less: Settlements made during the period</w:t>
            </w:r>
          </w:p>
        </w:tc>
        <w:tc>
          <w:tcPr>
            <w:tcW w:w="9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ind w:left="7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ind w:left="74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49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Ending balance</w:t>
            </w:r>
          </w:p>
        </w:tc>
        <w:tc>
          <w:tcPr>
            <w:tcW w:w="900" w:type="dxa"/>
            <w:vAlign w:val="bottom"/>
            <w:tcBorders>
              <w:top w:val="single" w:sz="8" w:color="auto"/>
              <w:bottom w:val="single" w:sz="8" w:color="auto"/>
            </w:tcBorders>
          </w:tcPr>
          <w:p>
            <w:pPr>
              <w:jc w:val="right"/>
              <w:ind w:right="7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122</w:t>
            </w:r>
          </w:p>
        </w:tc>
        <w:tc>
          <w:tcPr>
            <w:tcW w:w="1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ind w:left="7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122</w:t>
            </w:r>
          </w:p>
        </w:tc>
        <w:tc>
          <w:tcPr>
            <w:tcW w:w="16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ind w:left="74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405"/>
        </w:trPr>
        <w:tc>
          <w:tcPr>
            <w:tcW w:w="4900" w:type="dxa"/>
            <w:vAlign w:val="bottom"/>
          </w:tcPr>
          <w:p>
            <w:pPr>
              <w:spacing w:after="0"/>
              <w:rPr>
                <w:sz w:val="24"/>
                <w:szCs w:val="24"/>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10</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3"/>
        </w:trPr>
        <w:tc>
          <w:tcPr>
            <w:tcW w:w="49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Loss per Share</w:t>
      </w:r>
    </w:p>
    <w:p>
      <w:pPr>
        <w:spacing w:after="0" w:line="131"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Basic and diluted net loss per common share is the same for all periods presented because all warrants, stock options and restricted stock units outstanding are anti-dilutive.</w:t>
      </w:r>
    </w:p>
    <w:p>
      <w:pPr>
        <w:spacing w:after="0" w:line="120" w:lineRule="exact"/>
        <w:rPr>
          <w:sz w:val="20"/>
          <w:szCs w:val="20"/>
          <w:color w:val="auto"/>
        </w:rPr>
      </w:pPr>
    </w:p>
    <w:p>
      <w:pPr>
        <w:ind w:right="40" w:firstLine="301"/>
        <w:spacing w:after="0" w:line="261" w:lineRule="auto"/>
        <w:rPr>
          <w:sz w:val="20"/>
          <w:szCs w:val="20"/>
          <w:color w:val="auto"/>
        </w:rPr>
      </w:pPr>
      <w:r>
        <w:rPr>
          <w:rFonts w:ascii="Times New Roman" w:cs="Times New Roman" w:eastAsia="Times New Roman" w:hAnsi="Times New Roman"/>
          <w:sz w:val="12"/>
          <w:szCs w:val="12"/>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139"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0"/>
          <w:szCs w:val="10"/>
          <w:b w:val="1"/>
          <w:bCs w:val="1"/>
          <w:color w:val="auto"/>
        </w:rPr>
        <w:t>Six-Month Periods Ended</w:t>
      </w:r>
    </w:p>
    <w:p>
      <w:pPr>
        <w:spacing w:after="0" w:line="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0" w:type="dxa"/>
        <w:tblCellMar>
          <w:top w:w="0" w:type="dxa"/>
          <w:left w:w="0" w:type="dxa"/>
          <w:bottom w:w="0" w:type="dxa"/>
          <w:right w:w="0" w:type="dxa"/>
        </w:tblCellMar>
      </w:tblPr>
      <w:tr>
        <w:trPr>
          <w:trHeight w:val="100"/>
        </w:trPr>
        <w:tc>
          <w:tcPr>
            <w:tcW w:w="8180" w:type="dxa"/>
            <w:vAlign w:val="bottom"/>
            <w:tcBorders>
              <w:bottom w:val="single" w:sz="8" w:color="CCEEFF"/>
            </w:tcBorders>
          </w:tcPr>
          <w:p>
            <w:pPr>
              <w:spacing w:after="0"/>
              <w:rPr>
                <w:sz w:val="8"/>
                <w:szCs w:val="8"/>
                <w:color w:val="auto"/>
              </w:rPr>
            </w:pPr>
          </w:p>
        </w:tc>
        <w:tc>
          <w:tcPr>
            <w:tcW w:w="84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6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CCEEFF"/>
            </w:tcBorders>
          </w:tcPr>
          <w:p>
            <w:pPr>
              <w:spacing w:after="0"/>
              <w:rPr>
                <w:sz w:val="8"/>
                <w:szCs w:val="8"/>
                <w:color w:val="auto"/>
              </w:rPr>
            </w:pPr>
          </w:p>
        </w:tc>
        <w:tc>
          <w:tcPr>
            <w:tcW w:w="1480" w:type="dxa"/>
            <w:vAlign w:val="bottom"/>
            <w:tcBorders>
              <w:top w:val="single" w:sz="8" w:color="auto"/>
              <w:bottom w:val="single" w:sz="8" w:color="auto"/>
            </w:tcBorders>
          </w:tcPr>
          <w:p>
            <w:pPr>
              <w:jc w:val="right"/>
              <w:ind w:right="581"/>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Common stock warrants</w:t>
            </w:r>
          </w:p>
        </w:tc>
        <w:tc>
          <w:tcPr>
            <w:tcW w:w="8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7,310,917</w:t>
            </w: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600</w:t>
            </w:r>
          </w:p>
        </w:tc>
      </w:tr>
      <w:tr>
        <w:trPr>
          <w:trHeight w:val="129"/>
        </w:trPr>
        <w:tc>
          <w:tcPr>
            <w:tcW w:w="90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Common stock options</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5,608,140</w:t>
            </w:r>
          </w:p>
        </w:tc>
        <w:tc>
          <w:tcPr>
            <w:tcW w:w="18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5,827,524</w:t>
            </w:r>
          </w:p>
        </w:tc>
      </w:tr>
      <w:tr>
        <w:trPr>
          <w:trHeight w:val="129"/>
        </w:trPr>
        <w:tc>
          <w:tcPr>
            <w:tcW w:w="90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Restricted stock units</w:t>
            </w:r>
          </w:p>
        </w:tc>
        <w:tc>
          <w:tcPr>
            <w:tcW w:w="8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89,273</w:t>
            </w:r>
          </w:p>
        </w:tc>
      </w:tr>
      <w:tr>
        <w:trPr>
          <w:trHeight w:val="126"/>
        </w:trPr>
        <w:tc>
          <w:tcPr>
            <w:tcW w:w="818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w:t>
            </w:r>
          </w:p>
        </w:tc>
        <w:tc>
          <w:tcPr>
            <w:tcW w:w="84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12,919,057</w:t>
            </w:r>
          </w:p>
        </w:tc>
        <w:tc>
          <w:tcPr>
            <w:tcW w:w="180" w:type="dxa"/>
            <w:vAlign w:val="bottom"/>
          </w:tcPr>
          <w:p>
            <w:pPr>
              <w:spacing w:after="0"/>
              <w:rPr>
                <w:sz w:val="10"/>
                <w:szCs w:val="10"/>
                <w:color w:val="auto"/>
              </w:rPr>
            </w:pPr>
          </w:p>
        </w:tc>
        <w:tc>
          <w:tcPr>
            <w:tcW w:w="14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5,917,397</w:t>
            </w: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There are no recent accounting pronouncements that impact the Company’s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Fair Value of Financial Instruments</w:t>
      </w:r>
    </w:p>
    <w:p>
      <w:pPr>
        <w:spacing w:after="0" w:line="122" w:lineRule="exact"/>
        <w:rPr>
          <w:sz w:val="20"/>
          <w:szCs w:val="20"/>
          <w:color w:val="auto"/>
        </w:rPr>
      </w:pPr>
    </w:p>
    <w:p>
      <w:pPr>
        <w:jc w:val="both"/>
        <w:ind w:right="20" w:firstLine="274"/>
        <w:spacing w:after="0" w:line="261" w:lineRule="auto"/>
        <w:rPr>
          <w:sz w:val="20"/>
          <w:szCs w:val="20"/>
          <w:color w:val="auto"/>
        </w:rPr>
      </w:pPr>
      <w:r>
        <w:rPr>
          <w:rFonts w:ascii="Times New Roman" w:cs="Times New Roman" w:eastAsia="Times New Roman" w:hAnsi="Times New Roman"/>
          <w:sz w:val="12"/>
          <w:szCs w:val="12"/>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87"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87"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U.S. Treasury Securities, and asset-backed securities.</w:t>
      </w:r>
    </w:p>
    <w:p>
      <w:pPr>
        <w:spacing w:after="0" w:line="87"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following table sets forth the fair value of the Company’s financial assets measured on a recurring basis as of June 30, 2022 and December 31, 2021, respectively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Classification</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0"/>
                <w:szCs w:val="10"/>
                <w:b w:val="1"/>
                <w:bCs w:val="1"/>
                <w:color w:val="auto"/>
              </w:rPr>
              <w:t>June 30, 2022</w:t>
            </w: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ind w:left="180"/>
              <w:spacing w:after="0" w:line="100"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20" w:type="dxa"/>
            <w:vAlign w:val="bottom"/>
          </w:tcPr>
          <w:p>
            <w:pPr>
              <w:spacing w:after="0"/>
              <w:rPr>
                <w:sz w:val="8"/>
                <w:szCs w:val="8"/>
                <w:color w:val="auto"/>
              </w:rPr>
            </w:pPr>
          </w:p>
        </w:tc>
        <w:tc>
          <w:tcPr>
            <w:tcW w:w="760" w:type="dxa"/>
            <w:vAlign w:val="bottom"/>
            <w:gridSpan w:val="2"/>
          </w:tcPr>
          <w:p>
            <w:pPr>
              <w:ind w:left="140"/>
              <w:spacing w:after="0" w:line="100"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60" w:type="dxa"/>
            <w:vAlign w:val="bottom"/>
          </w:tcPr>
          <w:p>
            <w:pPr>
              <w:spacing w:after="0"/>
              <w:rPr>
                <w:sz w:val="8"/>
                <w:szCs w:val="8"/>
                <w:color w:val="auto"/>
              </w:rPr>
            </w:pPr>
          </w:p>
        </w:tc>
        <w:tc>
          <w:tcPr>
            <w:tcW w:w="64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60" w:type="dxa"/>
            <w:vAlign w:val="bottom"/>
          </w:tcPr>
          <w:p>
            <w:pPr>
              <w:spacing w:after="0"/>
              <w:rPr>
                <w:sz w:val="8"/>
                <w:szCs w:val="8"/>
                <w:color w:val="auto"/>
              </w:rPr>
            </w:pPr>
          </w:p>
        </w:tc>
        <w:tc>
          <w:tcPr>
            <w:tcW w:w="700" w:type="dxa"/>
            <w:vAlign w:val="bottom"/>
          </w:tcPr>
          <w:p>
            <w:pPr>
              <w:jc w:val="right"/>
              <w:ind w:right="231"/>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jc w:val="right"/>
              <w:ind w:right="191"/>
              <w:spacing w:after="0" w:line="100" w:lineRule="exact"/>
              <w:rPr>
                <w:sz w:val="20"/>
                <w:szCs w:val="20"/>
                <w:color w:val="auto"/>
              </w:rPr>
            </w:pPr>
            <w:r>
              <w:rPr>
                <w:rFonts w:ascii="Times New Roman" w:cs="Times New Roman" w:eastAsia="Times New Roman" w:hAnsi="Times New Roman"/>
                <w:sz w:val="10"/>
                <w:szCs w:val="10"/>
                <w:b w:val="1"/>
                <w:bCs w:val="1"/>
                <w:color w:val="auto"/>
              </w:rPr>
              <w:t>Level 1</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ind w:left="180"/>
              <w:spacing w:after="0" w:line="100" w:lineRule="exact"/>
              <w:rPr>
                <w:sz w:val="20"/>
                <w:szCs w:val="20"/>
                <w:color w:val="auto"/>
              </w:rPr>
            </w:pPr>
            <w:r>
              <w:rPr>
                <w:rFonts w:ascii="Times New Roman" w:cs="Times New Roman" w:eastAsia="Times New Roman" w:hAnsi="Times New Roman"/>
                <w:sz w:val="10"/>
                <w:szCs w:val="10"/>
                <w:b w:val="1"/>
                <w:bCs w:val="1"/>
                <w:color w:val="auto"/>
              </w:rPr>
              <w:t>Level 2</w:t>
            </w:r>
          </w:p>
        </w:tc>
        <w:tc>
          <w:tcPr>
            <w:tcW w:w="780" w:type="dxa"/>
            <w:vAlign w:val="bottom"/>
          </w:tcPr>
          <w:p>
            <w:pPr>
              <w:jc w:val="right"/>
              <w:ind w:right="11"/>
              <w:spacing w:after="0" w:line="100" w:lineRule="exact"/>
              <w:rPr>
                <w:sz w:val="20"/>
                <w:szCs w:val="20"/>
                <w:color w:val="auto"/>
              </w:rPr>
            </w:pPr>
            <w:r>
              <w:rPr>
                <w:rFonts w:ascii="Times New Roman" w:cs="Times New Roman" w:eastAsia="Times New Roman" w:hAnsi="Times New Roman"/>
                <w:sz w:val="10"/>
                <w:szCs w:val="10"/>
                <w:b w:val="1"/>
                <w:bCs w:val="1"/>
                <w:color w:val="auto"/>
              </w:rPr>
              <w:t>Level 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ind w:right="251"/>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0"/>
        </w:trPr>
        <w:tc>
          <w:tcPr>
            <w:tcW w:w="2000" w:type="dxa"/>
            <w:vAlign w:val="bottom"/>
            <w:tcBorders>
              <w:top w:val="single" w:sz="8" w:color="auto"/>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Money market funds</w:t>
            </w:r>
          </w:p>
        </w:tc>
        <w:tc>
          <w:tcPr>
            <w:tcW w:w="8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jc w:val="center"/>
              <w:spacing w:after="0" w:line="100" w:lineRule="exact"/>
              <w:rPr>
                <w:sz w:val="20"/>
                <w:szCs w:val="20"/>
                <w:color w:val="auto"/>
              </w:rPr>
            </w:pPr>
            <w:r>
              <w:rPr>
                <w:rFonts w:ascii="Times New Roman" w:cs="Times New Roman" w:eastAsia="Times New Roman" w:hAnsi="Times New Roman"/>
                <w:sz w:val="10"/>
                <w:szCs w:val="10"/>
                <w:color w:val="auto"/>
                <w:w w:val="98"/>
              </w:rPr>
              <w:t>Cash and cash equivalents</w:t>
            </w: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13,502</w:t>
            </w:r>
          </w:p>
        </w:tc>
        <w:tc>
          <w:tcPr>
            <w:tcW w:w="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1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shd w:val="clear" w:color="auto" w:fill="CCEEFF"/>
          </w:tcPr>
          <w:p>
            <w:pPr>
              <w:ind w:left="48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auto"/>
            </w:tcBorders>
            <w:shd w:val="clear" w:color="auto" w:fill="CCEEFF"/>
          </w:tcPr>
          <w:p>
            <w:pPr>
              <w:jc w:val="right"/>
              <w:ind w:right="15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13,502</w:t>
            </w: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ind w:left="62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ind w:right="67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bottom w:val="single" w:sz="8" w:color="auto"/>
            </w:tcBorders>
            <w:shd w:val="clear" w:color="auto" w:fill="CCEEFF"/>
          </w:tcPr>
          <w:p>
            <w:pPr>
              <w:ind w:left="4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0" w:type="dxa"/>
            <w:vAlign w:val="bottom"/>
          </w:tcPr>
          <w:p>
            <w:pPr>
              <w:spacing w:after="0"/>
              <w:rPr>
                <w:sz w:val="1"/>
                <w:szCs w:val="1"/>
                <w:color w:val="auto"/>
              </w:rPr>
            </w:pPr>
          </w:p>
        </w:tc>
      </w:tr>
      <w:tr>
        <w:trPr>
          <w:trHeight w:val="107"/>
        </w:trPr>
        <w:tc>
          <w:tcPr>
            <w:tcW w:w="208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Total assets measured at fair value</w:t>
            </w: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auto"/>
            </w:tcBorders>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13,502</w:t>
            </w:r>
          </w:p>
        </w:tc>
        <w:tc>
          <w:tcPr>
            <w:tcW w:w="60" w:type="dxa"/>
            <w:vAlign w:val="bottom"/>
          </w:tcPr>
          <w:p>
            <w:pPr>
              <w:spacing w:after="0"/>
              <w:rPr>
                <w:sz w:val="9"/>
                <w:szCs w:val="9"/>
                <w:color w:val="auto"/>
              </w:rPr>
            </w:pPr>
          </w:p>
        </w:tc>
        <w:tc>
          <w:tcPr>
            <w:tcW w:w="220" w:type="dxa"/>
            <w:vAlign w:val="bottom"/>
            <w:tcBorders>
              <w:bottom w:val="single" w:sz="8" w:color="auto"/>
            </w:tcBorders>
          </w:tcPr>
          <w:p>
            <w:pPr>
              <w:jc w:val="right"/>
              <w:ind w:right="11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2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ind w:left="48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9"/>
                <w:szCs w:val="9"/>
                <w:color w:val="auto"/>
              </w:rPr>
            </w:pPr>
          </w:p>
        </w:tc>
        <w:tc>
          <w:tcPr>
            <w:tcW w:w="260" w:type="dxa"/>
            <w:vAlign w:val="bottom"/>
            <w:tcBorders>
              <w:bottom w:val="single" w:sz="8" w:color="auto"/>
            </w:tcBorders>
          </w:tcPr>
          <w:p>
            <w:pPr>
              <w:jc w:val="right"/>
              <w:ind w:right="15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13,502</w:t>
            </w:r>
          </w:p>
        </w:tc>
        <w:tc>
          <w:tcPr>
            <w:tcW w:w="100" w:type="dxa"/>
            <w:vAlign w:val="bottom"/>
          </w:tcPr>
          <w:p>
            <w:pPr>
              <w:spacing w:after="0"/>
              <w:rPr>
                <w:sz w:val="9"/>
                <w:szCs w:val="9"/>
                <w:color w:val="auto"/>
              </w:rPr>
            </w:pPr>
          </w:p>
        </w:tc>
        <w:tc>
          <w:tcPr>
            <w:tcW w:w="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60" w:type="dxa"/>
            <w:vAlign w:val="bottom"/>
          </w:tcPr>
          <w:p>
            <w:pPr>
              <w:spacing w:after="0"/>
              <w:rPr>
                <w:sz w:val="9"/>
                <w:szCs w:val="9"/>
                <w:color w:val="auto"/>
              </w:rPr>
            </w:pPr>
          </w:p>
        </w:tc>
        <w:tc>
          <w:tcPr>
            <w:tcW w:w="240" w:type="dxa"/>
            <w:vAlign w:val="bottom"/>
            <w:tcBorders>
              <w:bottom w:val="single" w:sz="8" w:color="auto"/>
            </w:tcBorders>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ind w:left="62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9"/>
                <w:szCs w:val="9"/>
                <w:color w:val="auto"/>
              </w:rPr>
            </w:pPr>
          </w:p>
        </w:tc>
        <w:tc>
          <w:tcPr>
            <w:tcW w:w="780" w:type="dxa"/>
            <w:vAlign w:val="bottom"/>
            <w:tcBorders>
              <w:bottom w:val="single" w:sz="8" w:color="auto"/>
            </w:tcBorders>
          </w:tcPr>
          <w:p>
            <w:pPr>
              <w:jc w:val="right"/>
              <w:ind w:right="67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bottom w:val="single" w:sz="8" w:color="auto"/>
            </w:tcBorders>
          </w:tcPr>
          <w:p>
            <w:pPr>
              <w:ind w:left="4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 did not have any financial liabilities measured on a recurring basis as of June 30, 2022 or December 31, 2021.</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ind w:right="140" w:firstLine="301"/>
        <w:spacing w:after="0" w:line="277" w:lineRule="auto"/>
        <w:rPr>
          <w:sz w:val="20"/>
          <w:szCs w:val="20"/>
          <w:color w:val="auto"/>
        </w:rPr>
      </w:pPr>
      <w:r>
        <w:rPr>
          <w:rFonts w:ascii="Times New Roman" w:cs="Times New Roman" w:eastAsia="Times New Roman" w:hAnsi="Times New Roman"/>
          <w:sz w:val="12"/>
          <w:szCs w:val="12"/>
          <w:color w:val="auto"/>
        </w:rPr>
        <w:t>During the six-month period ended June 30, 2022, there were no transfers between Level 1, Level 2 or Level 3 assets or liabilities reported at fair value on a recurring basis and the valuation techniques used did not change compared to the Company’s established practice.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Balance Sheet Components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Inventory</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Inventory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Raw materials</w:t>
            </w:r>
          </w:p>
        </w:tc>
        <w:tc>
          <w:tcPr>
            <w:tcW w:w="320" w:type="dxa"/>
            <w:vAlign w:val="bottom"/>
            <w:shd w:val="clear" w:color="auto" w:fill="CCEEFF"/>
          </w:tcPr>
          <w:p>
            <w:pPr>
              <w:jc w:val="right"/>
              <w:ind w:right="17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3,497</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2,010</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Work in process</w:t>
            </w:r>
          </w:p>
        </w:tc>
        <w:tc>
          <w:tcPr>
            <w:tcW w:w="32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1,788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1,371</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Finished goods</w:t>
            </w:r>
          </w:p>
        </w:tc>
        <w:tc>
          <w:tcPr>
            <w:tcW w:w="3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2,586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2,443</w:t>
            </w:r>
          </w:p>
        </w:tc>
      </w:tr>
      <w:tr>
        <w:trPr>
          <w:trHeight w:val="126"/>
        </w:trPr>
        <w:tc>
          <w:tcPr>
            <w:tcW w:w="816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inventory</w:t>
            </w:r>
          </w:p>
        </w:tc>
        <w:tc>
          <w:tcPr>
            <w:tcW w:w="320" w:type="dxa"/>
            <w:vAlign w:val="bottom"/>
            <w:tcBorders>
              <w:bottom w:val="single" w:sz="8" w:color="auto"/>
            </w:tcBorders>
          </w:tcPr>
          <w:p>
            <w:pPr>
              <w:jc w:val="right"/>
              <w:ind w:right="17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7,871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5,824</w:t>
            </w:r>
          </w:p>
        </w:tc>
      </w:tr>
      <w:tr>
        <w:trPr>
          <w:trHeight w:val="266"/>
        </w:trPr>
        <w:tc>
          <w:tcPr>
            <w:tcW w:w="816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Property and Equipment, Net</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8"/>
        </w:trPr>
        <w:tc>
          <w:tcPr>
            <w:tcW w:w="81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Property and equipment, net consisted of the following (in thousands):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23"/>
        </w:trPr>
        <w:tc>
          <w:tcPr>
            <w:tcW w:w="8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Leasehold improvements</w:t>
            </w:r>
          </w:p>
        </w:tc>
        <w:tc>
          <w:tcPr>
            <w:tcW w:w="320" w:type="dxa"/>
            <w:vAlign w:val="bottom"/>
            <w:shd w:val="clear" w:color="auto" w:fill="CCEEFF"/>
          </w:tcPr>
          <w:p>
            <w:pPr>
              <w:jc w:val="right"/>
              <w:ind w:right="17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2,519</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2,519</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Laboratory equipment</w:t>
            </w:r>
          </w:p>
        </w:tc>
        <w:tc>
          <w:tcPr>
            <w:tcW w:w="32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1,333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1,019</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Furniture, fixtures, and equipment</w:t>
            </w: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932</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932</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Software</w:t>
            </w:r>
          </w:p>
        </w:tc>
        <w:tc>
          <w:tcPr>
            <w:tcW w:w="32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289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202</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Construction in progress</w:t>
            </w:r>
          </w:p>
        </w:tc>
        <w:tc>
          <w:tcPr>
            <w:tcW w:w="3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186</w:t>
            </w:r>
          </w:p>
        </w:tc>
      </w:tr>
      <w:tr>
        <w:trPr>
          <w:trHeight w:val="118"/>
        </w:trPr>
        <w:tc>
          <w:tcPr>
            <w:tcW w:w="81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5,129</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4,858</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Less: Accumulated depreciation</w:t>
            </w:r>
          </w:p>
        </w:tc>
        <w:tc>
          <w:tcPr>
            <w:tcW w:w="32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(2,743)</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(2,396)</w:t>
            </w:r>
          </w:p>
        </w:tc>
      </w:tr>
      <w:tr>
        <w:trPr>
          <w:trHeight w:val="126"/>
        </w:trPr>
        <w:tc>
          <w:tcPr>
            <w:tcW w:w="816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Property and equipment, net</w:t>
            </w:r>
          </w:p>
        </w:tc>
        <w:tc>
          <w:tcPr>
            <w:tcW w:w="320" w:type="dxa"/>
            <w:vAlign w:val="bottom"/>
            <w:tcBorders>
              <w:bottom w:val="single" w:sz="8" w:color="auto"/>
            </w:tcBorders>
          </w:tcPr>
          <w:p>
            <w:pPr>
              <w:jc w:val="right"/>
              <w:ind w:right="17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2,386</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2,462</w:t>
            </w:r>
          </w:p>
        </w:tc>
      </w:tr>
    </w:tbl>
    <w:p>
      <w:pPr>
        <w:spacing w:after="0" w:line="107" w:lineRule="exact"/>
        <w:rPr>
          <w:sz w:val="20"/>
          <w:szCs w:val="20"/>
          <w:color w:val="auto"/>
        </w:rPr>
      </w:pPr>
    </w:p>
    <w:p>
      <w:pPr>
        <w:ind w:left="300" w:right="800"/>
        <w:spacing w:after="0" w:line="456" w:lineRule="auto"/>
        <w:rPr>
          <w:sz w:val="20"/>
          <w:szCs w:val="20"/>
          <w:color w:val="auto"/>
        </w:rPr>
      </w:pPr>
      <w:r>
        <w:rPr>
          <w:rFonts w:ascii="Times New Roman" w:cs="Times New Roman" w:eastAsia="Times New Roman" w:hAnsi="Times New Roman"/>
          <w:sz w:val="12"/>
          <w:szCs w:val="12"/>
          <w:color w:val="auto"/>
        </w:rPr>
        <w:t xml:space="preserve">Depreciation expense was $0.2 million and $0.1 million for the three-month periods ended June 30, 2022 and 2021, and $0.3 million and $0.2 million for the six-month periods ended June 30, 2022 and 2021. </w:t>
      </w:r>
      <w:r>
        <w:rPr>
          <w:rFonts w:ascii="Times New Roman" w:cs="Times New Roman" w:eastAsia="Times New Roman" w:hAnsi="Times New Roman"/>
          <w:sz w:val="12"/>
          <w:szCs w:val="12"/>
          <w:b w:val="1"/>
          <w:bCs w:val="1"/>
          <w:color w:val="auto"/>
        </w:rPr>
        <w:t>Intangible Assets, Net</w:t>
      </w:r>
    </w:p>
    <w:p>
      <w:pPr>
        <w:spacing w:after="0" w:line="1"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Intangible assets, net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Acquired patents and licenses</w:t>
            </w:r>
          </w:p>
        </w:tc>
        <w:tc>
          <w:tcPr>
            <w:tcW w:w="1020" w:type="dxa"/>
            <w:vAlign w:val="bottom"/>
            <w:shd w:val="clear" w:color="auto" w:fill="CCEEFF"/>
          </w:tcPr>
          <w:p>
            <w:pPr>
              <w:jc w:val="right"/>
              <w:ind w:right="88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7,985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7,985</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Less: Accumulated amortization</w:t>
            </w:r>
          </w:p>
        </w:tc>
        <w:tc>
          <w:tcPr>
            <w:tcW w:w="1020" w:type="dxa"/>
            <w:vAlign w:val="bottom"/>
          </w:tcPr>
          <w:p>
            <w:pPr>
              <w:spacing w:after="0"/>
              <w:rPr>
                <w:sz w:val="11"/>
                <w:szCs w:val="11"/>
                <w:color w:val="auto"/>
              </w:rPr>
            </w:pPr>
          </w:p>
        </w:tc>
        <w:tc>
          <w:tcPr>
            <w:tcW w:w="5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(5,102)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(4,769)</w:t>
            </w:r>
          </w:p>
        </w:tc>
      </w:tr>
      <w:tr>
        <w:trPr>
          <w:trHeight w:val="126"/>
        </w:trPr>
        <w:tc>
          <w:tcPr>
            <w:tcW w:w="816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Intangible assets, net</w:t>
            </w:r>
          </w:p>
        </w:tc>
        <w:tc>
          <w:tcPr>
            <w:tcW w:w="1020" w:type="dxa"/>
            <w:vAlign w:val="bottom"/>
            <w:tcBorders>
              <w:top w:val="single" w:sz="8" w:color="auto"/>
              <w:bottom w:val="single" w:sz="8" w:color="auto"/>
            </w:tcBorders>
            <w:shd w:val="clear" w:color="auto" w:fill="CCEEFF"/>
          </w:tcPr>
          <w:p>
            <w:pPr>
              <w:jc w:val="right"/>
              <w:ind w:right="88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2,883</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3,216</w:t>
            </w:r>
          </w:p>
        </w:tc>
      </w:tr>
    </w:tbl>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 schedule of the amortization of intangible assets for the remainder of 2022 and the succeeding four fiscal years is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5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29"/>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2022 (remaining 6 months)</w:t>
            </w:r>
          </w:p>
        </w:tc>
        <w:tc>
          <w:tcPr>
            <w:tcW w:w="6660" w:type="dxa"/>
            <w:vAlign w:val="bottom"/>
            <w:gridSpan w:val="2"/>
            <w:shd w:val="clear" w:color="auto" w:fill="CCEEFF"/>
          </w:tcPr>
          <w:p>
            <w:pPr>
              <w:jc w:val="right"/>
              <w:ind w:right="78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332</w:t>
            </w:r>
          </w:p>
        </w:tc>
      </w:tr>
      <w:tr>
        <w:trPr>
          <w:trHeight w:val="129"/>
        </w:trPr>
        <w:tc>
          <w:tcPr>
            <w:tcW w:w="34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2023</w:t>
            </w:r>
          </w:p>
        </w:tc>
        <w:tc>
          <w:tcPr>
            <w:tcW w:w="5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665</w:t>
            </w:r>
          </w:p>
        </w:tc>
      </w:tr>
      <w:tr>
        <w:trPr>
          <w:trHeight w:val="129"/>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2024</w:t>
            </w:r>
          </w:p>
        </w:tc>
        <w:tc>
          <w:tcPr>
            <w:tcW w:w="57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665</w:t>
            </w:r>
          </w:p>
        </w:tc>
      </w:tr>
      <w:tr>
        <w:trPr>
          <w:trHeight w:val="129"/>
        </w:trPr>
        <w:tc>
          <w:tcPr>
            <w:tcW w:w="34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2025</w:t>
            </w:r>
          </w:p>
        </w:tc>
        <w:tc>
          <w:tcPr>
            <w:tcW w:w="5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665</w:t>
            </w:r>
          </w:p>
        </w:tc>
      </w:tr>
      <w:tr>
        <w:trPr>
          <w:trHeight w:val="129"/>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2026</w:t>
            </w:r>
          </w:p>
        </w:tc>
        <w:tc>
          <w:tcPr>
            <w:tcW w:w="576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556</w:t>
            </w:r>
          </w:p>
        </w:tc>
      </w:tr>
      <w:tr>
        <w:trPr>
          <w:trHeight w:val="126"/>
        </w:trPr>
        <w:tc>
          <w:tcPr>
            <w:tcW w:w="34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Total</w:t>
            </w:r>
          </w:p>
        </w:tc>
        <w:tc>
          <w:tcPr>
            <w:tcW w:w="5760" w:type="dxa"/>
            <w:vAlign w:val="bottom"/>
          </w:tcPr>
          <w:p>
            <w:pPr>
              <w:spacing w:after="0"/>
              <w:rPr>
                <w:sz w:val="10"/>
                <w:szCs w:val="10"/>
                <w:color w:val="auto"/>
              </w:rPr>
            </w:pPr>
          </w:p>
        </w:tc>
        <w:tc>
          <w:tcPr>
            <w:tcW w:w="900" w:type="dxa"/>
            <w:vAlign w:val="bottom"/>
            <w:tcBorders>
              <w:bottom w:val="single" w:sz="8" w:color="auto"/>
            </w:tcBorders>
          </w:tcPr>
          <w:p>
            <w:pPr>
              <w:jc w:val="right"/>
              <w:ind w:right="7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2,883</w:t>
            </w:r>
          </w:p>
        </w:tc>
      </w:tr>
      <w:tr>
        <w:trPr>
          <w:trHeight w:val="405"/>
        </w:trPr>
        <w:tc>
          <w:tcPr>
            <w:tcW w:w="3460" w:type="dxa"/>
            <w:vAlign w:val="bottom"/>
          </w:tcPr>
          <w:p>
            <w:pPr>
              <w:spacing w:after="0"/>
              <w:rPr>
                <w:sz w:val="24"/>
                <w:szCs w:val="24"/>
                <w:color w:val="auto"/>
              </w:rPr>
            </w:pPr>
          </w:p>
        </w:tc>
        <w:tc>
          <w:tcPr>
            <w:tcW w:w="5760" w:type="dxa"/>
            <w:vAlign w:val="bottom"/>
          </w:tcPr>
          <w:p>
            <w:pPr>
              <w:jc w:val="right"/>
              <w:ind w:right="3459"/>
              <w:spacing w:after="0"/>
              <w:rPr>
                <w:sz w:val="20"/>
                <w:szCs w:val="20"/>
                <w:color w:val="auto"/>
              </w:rPr>
            </w:pPr>
            <w:r>
              <w:rPr>
                <w:rFonts w:ascii="Times New Roman" w:cs="Times New Roman" w:eastAsia="Times New Roman" w:hAnsi="Times New Roman"/>
                <w:sz w:val="12"/>
                <w:szCs w:val="12"/>
                <w:color w:val="auto"/>
              </w:rPr>
              <w:t>12</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3"/>
        </w:trPr>
        <w:tc>
          <w:tcPr>
            <w:tcW w:w="3460" w:type="dxa"/>
            <w:vAlign w:val="bottom"/>
            <w:tcBorders>
              <w:bottom w:val="single" w:sz="8" w:color="9A9A9A"/>
            </w:tcBorders>
          </w:tcPr>
          <w:p>
            <w:pPr>
              <w:spacing w:after="0"/>
              <w:rPr>
                <w:sz w:val="18"/>
                <w:szCs w:val="18"/>
                <w:color w:val="auto"/>
              </w:rPr>
            </w:pPr>
          </w:p>
        </w:tc>
        <w:tc>
          <w:tcPr>
            <w:tcW w:w="57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Accrued Expenses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Accrued expenses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40" w:type="dxa"/>
            <w:vAlign w:val="bottom"/>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Compensation</w:t>
            </w:r>
          </w:p>
        </w:tc>
        <w:tc>
          <w:tcPr>
            <w:tcW w:w="1040" w:type="dxa"/>
            <w:vAlign w:val="bottom"/>
            <w:shd w:val="clear" w:color="auto" w:fill="CCEEFF"/>
          </w:tcPr>
          <w:p>
            <w:pPr>
              <w:jc w:val="right"/>
              <w:ind w:right="90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3,695</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2,932</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Controlled launch (Note 9)</w:t>
            </w:r>
          </w:p>
        </w:tc>
        <w:tc>
          <w:tcPr>
            <w:tcW w:w="10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267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534</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Clinical trial costs and fees</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134</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245</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Professional fees</w:t>
            </w:r>
          </w:p>
        </w:tc>
        <w:tc>
          <w:tcPr>
            <w:tcW w:w="10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85</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Warranty</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122</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80</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Other</w:t>
            </w:r>
          </w:p>
        </w:tc>
        <w:tc>
          <w:tcPr>
            <w:tcW w:w="10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255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513</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D&amp;O insurance (Note 12)</w:t>
            </w:r>
          </w:p>
        </w:tc>
        <w:tc>
          <w:tcPr>
            <w:tcW w:w="10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82</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81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Total accrued expenses</w:t>
            </w:r>
          </w:p>
        </w:tc>
        <w:tc>
          <w:tcPr>
            <w:tcW w:w="1040" w:type="dxa"/>
            <w:vAlign w:val="bottom"/>
            <w:tcBorders>
              <w:bottom w:val="single" w:sz="8" w:color="auto"/>
            </w:tcBorders>
          </w:tcPr>
          <w:p>
            <w:pPr>
              <w:jc w:val="right"/>
              <w:ind w:right="90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4,757</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4,389</w:t>
            </w:r>
          </w:p>
        </w:tc>
      </w:tr>
    </w:tbl>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Accrued compensation at June 30, 2022, includes a discrete charge of $0.2 million related to a reduction in force initiated on March 31, 2022. See Note 13 for additional details.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Goodwill</w:t>
      </w:r>
    </w:p>
    <w:p>
      <w:pPr>
        <w:spacing w:after="0" w:line="120"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Company recorded goodwill of $2.8 million in connection with the Acquisitions as the consideration paid exceeded the fair value of the net tangible assets and the intangible assets acquired.</w:t>
      </w:r>
    </w:p>
    <w:p>
      <w:pPr>
        <w:spacing w:after="0" w:line="66"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Company reviews goodwill for impairment at least annually or whenever changes in circumstances indicate that the carrying amount of goodwill may not be recoverable. Based on the Company’s annual impairment test as of December 31, 2021 the Company determined that no impairment of goodwill existed and was not aware of any indicators of impairment at such date. In addition, there were no indicators of impairment at June 30, 2022.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Stockholders’ Equity and Stock-Based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Rights Offering</w:t>
      </w:r>
    </w:p>
    <w:p>
      <w:pPr>
        <w:spacing w:after="0" w:line="150"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On June 9, 2022, the Company completed a rights offering (the “2022 Rights Offering) resulting in the sale of 7,317,072 units (the “Units”), at a price of $2.05 per Unit, with each Unit consisting of one share of the Company’s common stock, par value $0.001 per share, and one warrant (the “2022 Rights Offering Warrants”) to purchase one share of common stock. The common stock and warrants comprising the Units separated upon the closing of the 2022 Rights Offering and were issued individually. 7,317,072 shares of common stock and warrants to acquire up to an additional 7,317,072 shares of common stock were issued in the 2022 Rights Offering. The Company received aggregate gross proceeds from the 2022 Rights Offering of $15 million. If exercised, additional gross proceeds of up to $15 million may be received through the exercise of the 2022 Rights Offering Warrants issued in the 2022 Rights Offering. Each 2022 Rights Offering Warrant is exercisable for one share of the Company’s common stock at an exercise price equal to $2.05. The 2022 Rights Offering Warrants are exercisable immediately and expire on the fifth anniversary of the closing of the 2022 Rights Offering. The 2022 Rights Offering Warrants are subject to redemption by the Company for $0.01 per underlying share of common stock, on not less than 30 days written notice, if the volume weighted average price of the Company’s common stock equals or exceeds 200% of the exercise price for the warrants, subject to adjustment, per share, for 20 consecutive trading days, provided that the Company may not redeem the warrants prior to the date that is three months after the issuance date.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Placement Securities Purchase Agreement</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June 30, 2021, the Company entered into a Securities Purchase Agreement with Robert W. Duggan, the Company’s largest stockholder and Board Chairman, pursuant to which the Company issued and sold to Mr. Duggan 3,048,780 shares of the Company’s common stock, par value $0.001 per share, in a private placement (the “Private Placement”), at a price per share of $16.40, which was the market closing price on the date of the transaction. These shares were paid for through (i) the conversion of $41.0 million aggregate principal amount, together with all accrued and unpaid interest outstanding, owed to Mr. Duggan under the Loan Agreement by and between the Company and Mr. Duggan (Note 8),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 The cash proceeds of approximately $8.4 million were received by the Company in July 2021.</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At-the-Market Equity Offering</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February 4, 2021, the Company entered into a sales agreement (the “Sales Agreement”) with Stifel, Nicolaus &amp; Company, Inc. (“Stifel”) as sales agent, pursuant to which the Company may offer and sell, from time to time, through Stifel, up to $60.0 million in shares of common stock, by any method permitted by law deemed to be an “at-the-market” offering as defined in Rule 415 promulgated under the Securities Act of 1933, as amended. The Company has no obligation to make any sales of its common stock pursuant to such Sales Agreement. During the six-month period ended June 30, 2022, the Company did not issue or sell any shares of common stock under the Sales Agreement. During the six-month period ended June 30, 2021, the Company issued and sold 288,490 shares of common stock under the Sales Agreement. The shares were sold at a weighted average price of $27.73 per share for aggregate net proceeds of approximately $7.4 million, after deducting sales commissions and offering costs payable by the Company.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 Warrants</w:t>
      </w:r>
    </w:p>
    <w:p>
      <w:pPr>
        <w:spacing w:after="0" w:line="131" w:lineRule="exact"/>
        <w:rPr>
          <w:sz w:val="20"/>
          <w:szCs w:val="20"/>
          <w:color w:val="auto"/>
        </w:rPr>
      </w:pPr>
    </w:p>
    <w:p>
      <w:pPr>
        <w:jc w:val="both"/>
        <w:ind w:firstLine="336"/>
        <w:spacing w:after="0" w:line="242" w:lineRule="auto"/>
        <w:rPr>
          <w:sz w:val="20"/>
          <w:szCs w:val="20"/>
          <w:color w:val="auto"/>
        </w:rPr>
      </w:pPr>
      <w:r>
        <w:rPr>
          <w:rFonts w:ascii="Times New Roman" w:cs="Times New Roman" w:eastAsia="Times New Roman" w:hAnsi="Times New Roman"/>
          <w:sz w:val="12"/>
          <w:szCs w:val="12"/>
          <w:color w:val="auto"/>
        </w:rPr>
        <w:t>In connection with a private placement in November 2014 of the Company’s common stock, par value $0.001 per share, the Company issued warrants as compensation to the placement agent to purchase a total of 299,625 shares of its common stock at an exercise price of $2.67 per share (the “Private Placement Warrants”). The Private Placement Warrants were exercisable for a period of seven years from issuance. In March 2021, warrants to purchase 45,638 shares of common stock were net exercised, resulting in the issuance of 40,563 shares of common stock. In November 2021, the last remaining 600 Private Placement Warrants expired unexercised, resulting in no further Private Placement Warrants outstanding.</w:t>
      </w:r>
    </w:p>
    <w:p>
      <w:pPr>
        <w:spacing w:after="0" w:line="107"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2"/>
          <w:szCs w:val="12"/>
          <w:color w:val="auto"/>
        </w:rPr>
        <w:t>In connection with the closing of the Company’s initial public offering in May 2016, the Company issued warrants as compensation to its underwriters, to purchase a total of 574,985 shares of its common stock at an exercise price of $5.00 per share (the “IPO Warrants”). The IPO Warrants were exercisable for a period of five years from issuance. In March 2021, warrants to purchase 85,385 shares of common stock were net exercised, resulting in the issuance of 68,958 shares of common stock. All IPO Warrants were exercised prior to their expiration in May 2021, resulting in no further IPO Warrants outstanding.</w:t>
      </w:r>
    </w:p>
    <w:p>
      <w:pPr>
        <w:spacing w:after="0" w:line="102" w:lineRule="exact"/>
        <w:rPr>
          <w:sz w:val="20"/>
          <w:szCs w:val="20"/>
          <w:color w:val="auto"/>
        </w:rPr>
      </w:pPr>
    </w:p>
    <w:p>
      <w:pPr>
        <w:jc w:val="both"/>
        <w:ind w:firstLine="336"/>
        <w:spacing w:after="0"/>
        <w:rPr>
          <w:sz w:val="20"/>
          <w:szCs w:val="20"/>
          <w:color w:val="auto"/>
        </w:rPr>
      </w:pPr>
      <w:r>
        <w:rPr>
          <w:rFonts w:ascii="Times New Roman" w:cs="Times New Roman" w:eastAsia="Times New Roman" w:hAnsi="Times New Roman"/>
          <w:sz w:val="12"/>
          <w:szCs w:val="12"/>
          <w:color w:val="auto"/>
        </w:rPr>
        <w:t>In connection with a June 2020 rights offering, the Company issued warrants (the “2020 Rights Offering Warrants”) to purchase a total of 641,571 shares of its common stock at an exercise price of $7.01. These 2020 Rights Offering Warrants were exercisable immediately and expired on the fifth anniversary of the completion of the Rights Offering, or June 16, 2025, subject to certain redemption rights by the Company. The 2020 Rights Offering Warrants were subject to redemption by the Company, on or after December 16, 2020, six months after the issuance date, for $0.01 per warrant, with not less than 30 days written notice, if the volume weighted average price of our common stock equaled or exceeded 200% of the exercise price for the 2020 Rights Offering Warrants for 10 consecutive trading days. On December 31, 2020, the Company met the requirements for redemption of these warrants and delivered a notice of redemption to redeem all of the outstanding warrants that remained unexercised at February 5, 2021, for the redemption price of $0.01 per warrant. Pursuant to the redemption, the Company redeemed 5,139 warrants. Prior to the February 5, 2021 redemption date, 636,432 warrants were exercised, generating approximately $4.5 million of total gross proceeds to the Company. As of June 30, 2022, there were no 2020 Rights Offering Warrants outstanding.</w:t>
      </w:r>
    </w:p>
    <w:p>
      <w:pPr>
        <w:spacing w:after="0" w:line="232" w:lineRule="exact"/>
        <w:rPr>
          <w:sz w:val="20"/>
          <w:szCs w:val="20"/>
          <w:color w:val="auto"/>
        </w:rPr>
      </w:pPr>
    </w:p>
    <w:p>
      <w:pPr>
        <w:jc w:val="both"/>
        <w:ind w:firstLine="336"/>
        <w:spacing w:after="0" w:line="241" w:lineRule="auto"/>
        <w:rPr>
          <w:sz w:val="20"/>
          <w:szCs w:val="20"/>
          <w:color w:val="auto"/>
        </w:rPr>
      </w:pPr>
      <w:r>
        <w:rPr>
          <w:rFonts w:ascii="Times New Roman" w:cs="Times New Roman" w:eastAsia="Times New Roman" w:hAnsi="Times New Roman"/>
          <w:sz w:val="12"/>
          <w:szCs w:val="12"/>
          <w:color w:val="auto"/>
        </w:rPr>
        <w:t>In connection with the 2022 Rights Offering, the Company issued 2022 Rights Offering Warrants to purchase a total of 7,317,072 shares of its common stock at an exercise price of $2.05. The 2022 Rights Offering Warrants are exercisable immediately and expire on the fifth anniversary of the closing of the 2022 Rights Offering. The 2022 Rights Offering Warrants are subject to redemption by the Company for $0.01 per underlying share of common stock, on not less than 30 days written notice, if the volume weighted average price of the Company’s common stock equals or exceeds 200% of the exercise price for the warrants, subject to adjustment, per share, for 20 consecutive trading days, provided that the Company may not redeem the warrants prior to the date that is three months after the issuance date. A total of 6,155 warrants were exercised in June 2022. As of June 30, 2022, there were 7,310,917 2022 Rights Offering Warrants outstanding.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Plans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2017 Equity Incentive Plan and 2017 Inducement Equity Incentive Plan</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Board of Directors of the Company (the “Board”) previously adopted, and the Company’s stockholders approved, the Company’s 2017 Equity Incentive Plan (the “2017 Plan”).</w:t>
      </w:r>
    </w:p>
    <w:p>
      <w:pPr>
        <w:spacing w:after="0" w:line="1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jc w:val="both"/>
        <w:ind w:firstLine="336"/>
        <w:spacing w:after="0" w:line="241" w:lineRule="auto"/>
        <w:rPr>
          <w:sz w:val="20"/>
          <w:szCs w:val="20"/>
          <w:color w:val="auto"/>
        </w:rPr>
      </w:pPr>
      <w:r>
        <w:rPr>
          <w:rFonts w:ascii="Times New Roman" w:cs="Times New Roman" w:eastAsia="Times New Roman" w:hAnsi="Times New Roman"/>
          <w:sz w:val="12"/>
          <w:szCs w:val="12"/>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w:t>
      </w:r>
    </w:p>
    <w:p>
      <w:pPr>
        <w:spacing w:after="0" w:line="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the shares of common stock available for issuance under the 2017 Plan. The 2017 Plan is administered by the Board’s Compensation Committee. Effective January 1, 2022, the number of shares of common stock available under the 2017 Plan increased automatically by 1,188,657 shares pursuant to the evergreen provision of the 2017 Plan, which provides that the number of shares available to grant under the 2017 Plan will increase each year by the lesser of (i) 1,200,000 shares, (ii) 4% of the Company’s common stock outstanding at December 31 of the immediately preceding year, or (iii) such number of shares as determined by the Board. As of June 30, 2022, 2,271,900 shares of common stock remained available for issuance under the 2017 Plan.</w:t>
      </w:r>
    </w:p>
    <w:p>
      <w:pPr>
        <w:spacing w:after="0" w:line="109" w:lineRule="exact"/>
        <w:rPr>
          <w:sz w:val="20"/>
          <w:szCs w:val="20"/>
          <w:color w:val="auto"/>
        </w:rPr>
      </w:pPr>
    </w:p>
    <w:p>
      <w:pPr>
        <w:jc w:val="both"/>
        <w:ind w:firstLine="336"/>
        <w:spacing w:after="0" w:line="261" w:lineRule="auto"/>
        <w:rPr>
          <w:sz w:val="20"/>
          <w:szCs w:val="20"/>
          <w:color w:val="auto"/>
        </w:rPr>
      </w:pPr>
      <w:r>
        <w:rPr>
          <w:rFonts w:ascii="Times New Roman" w:cs="Times New Roman" w:eastAsia="Times New Roman" w:hAnsi="Times New Roman"/>
          <w:sz w:val="12"/>
          <w:szCs w:val="12"/>
          <w:color w:val="auto"/>
        </w:rPr>
        <w:t>In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96" w:lineRule="exact"/>
        <w:rPr>
          <w:sz w:val="20"/>
          <w:szCs w:val="20"/>
          <w:color w:val="auto"/>
        </w:rPr>
      </w:pPr>
    </w:p>
    <w:p>
      <w:pPr>
        <w:jc w:val="both"/>
        <w:ind w:firstLine="336"/>
        <w:spacing w:after="0" w:line="238" w:lineRule="auto"/>
        <w:rPr>
          <w:sz w:val="20"/>
          <w:szCs w:val="20"/>
          <w:color w:val="auto"/>
        </w:rPr>
      </w:pPr>
      <w:r>
        <w:rPr>
          <w:rFonts w:ascii="Times New Roman" w:cs="Times New Roman" w:eastAsia="Times New Roman" w:hAnsi="Times New Roman"/>
          <w:sz w:val="12"/>
          <w:szCs w:val="12"/>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as non-employee directors of the Company prior to the Inducement Plan’s adoption date. In May 2021, the Board approved an amendment to the Inducement Plan to reserve an additional 1,000,000 shares of the Company’s common stock for issuance pursuant to the Inducement Plan. As of June 30, 2022, 793,139 shares of common stock remained available for issuance under the Inducement Plan.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summary of stock option activity under the 2015 Plan, 2017 Plan and Inducement Plan for the six-months ended June 30, 2022 is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40" w:type="dxa"/>
            <w:vAlign w:val="bottom"/>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1940" w:type="dxa"/>
            <w:vAlign w:val="bottom"/>
            <w:tcBorders>
              <w:bottom w:val="single" w:sz="8" w:color="auto"/>
            </w:tcBorders>
          </w:tcPr>
          <w:p>
            <w:pPr>
              <w:spacing w:after="0"/>
              <w:rPr>
                <w:sz w:val="11"/>
                <w:szCs w:val="11"/>
                <w:color w:val="auto"/>
              </w:rPr>
            </w:pPr>
          </w:p>
        </w:tc>
      </w:tr>
      <w:tr>
        <w:trPr>
          <w:trHeight w:val="83"/>
        </w:trPr>
        <w:tc>
          <w:tcPr>
            <w:tcW w:w="53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940" w:type="dxa"/>
            <w:vAlign w:val="bottom"/>
          </w:tcPr>
          <w:p>
            <w:pPr>
              <w:jc w:val="center"/>
              <w:ind w:right="366"/>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11"/>
        </w:trPr>
        <w:tc>
          <w:tcPr>
            <w:tcW w:w="5340" w:type="dxa"/>
            <w:vAlign w:val="bottom"/>
          </w:tcPr>
          <w:p>
            <w:pPr>
              <w:spacing w:after="0"/>
              <w:rPr>
                <w:sz w:val="9"/>
                <w:szCs w:val="9"/>
                <w:color w:val="auto"/>
              </w:rPr>
            </w:pPr>
          </w:p>
        </w:tc>
        <w:tc>
          <w:tcPr>
            <w:tcW w:w="2080" w:type="dxa"/>
            <w:vAlign w:val="bottom"/>
          </w:tcPr>
          <w:p>
            <w:pPr>
              <w:ind w:left="1360"/>
              <w:spacing w:after="0" w:line="111" w:lineRule="exact"/>
              <w:rPr>
                <w:sz w:val="20"/>
                <w:szCs w:val="20"/>
                <w:color w:val="auto"/>
              </w:rPr>
            </w:pPr>
            <w:r>
              <w:rPr>
                <w:rFonts w:ascii="Times New Roman" w:cs="Times New Roman" w:eastAsia="Times New Roman" w:hAnsi="Times New Roman"/>
                <w:sz w:val="10"/>
                <w:szCs w:val="10"/>
                <w:b w:val="1"/>
                <w:bCs w:val="1"/>
                <w:color w:val="auto"/>
              </w:rPr>
              <w:t>Number</w:t>
            </w: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40" w:type="dxa"/>
            <w:vAlign w:val="bottom"/>
          </w:tcPr>
          <w:p>
            <w:pPr>
              <w:jc w:val="center"/>
              <w:ind w:right="346"/>
              <w:spacing w:after="0" w:line="111" w:lineRule="exact"/>
              <w:rPr>
                <w:sz w:val="20"/>
                <w:szCs w:val="20"/>
                <w:color w:val="auto"/>
              </w:rPr>
            </w:pPr>
            <w:r>
              <w:rPr>
                <w:rFonts w:ascii="Times New Roman" w:cs="Times New Roman" w:eastAsia="Times New Roman" w:hAnsi="Times New Roman"/>
                <w:sz w:val="10"/>
                <w:szCs w:val="10"/>
                <w:b w:val="1"/>
                <w:bCs w:val="1"/>
                <w:color w:val="auto"/>
              </w:rPr>
              <w:t>average</w:t>
            </w:r>
          </w:p>
        </w:tc>
      </w:tr>
      <w:tr>
        <w:trPr>
          <w:trHeight w:val="127"/>
        </w:trPr>
        <w:tc>
          <w:tcPr>
            <w:tcW w:w="5340" w:type="dxa"/>
            <w:vAlign w:val="bottom"/>
            <w:tcBorders>
              <w:bottom w:val="single" w:sz="8" w:color="CCEEFF"/>
            </w:tcBorders>
          </w:tcPr>
          <w:p>
            <w:pPr>
              <w:spacing w:after="0"/>
              <w:rPr>
                <w:sz w:val="11"/>
                <w:szCs w:val="11"/>
                <w:color w:val="auto"/>
              </w:rPr>
            </w:pPr>
          </w:p>
        </w:tc>
        <w:tc>
          <w:tcPr>
            <w:tcW w:w="20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jc w:val="center"/>
              <w:ind w:right="346"/>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r>
      <w:tr>
        <w:trPr>
          <w:trHeight w:val="118"/>
        </w:trPr>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2021</w:t>
            </w:r>
          </w:p>
        </w:tc>
        <w:tc>
          <w:tcPr>
            <w:tcW w:w="20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5,996,813</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15.77</w:t>
            </w:r>
          </w:p>
        </w:tc>
      </w:tr>
      <w:tr>
        <w:trPr>
          <w:trHeight w:val="129"/>
        </w:trPr>
        <w:tc>
          <w:tcPr>
            <w:tcW w:w="74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986,600</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9"/>
        </w:trPr>
        <w:tc>
          <w:tcPr>
            <w:tcW w:w="74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(1,023,018)</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(352,255)</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6"/>
        </w:trPr>
        <w:tc>
          <w:tcPr>
            <w:tcW w:w="53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June 30, 2022</w:t>
            </w:r>
          </w:p>
        </w:tc>
        <w:tc>
          <w:tcPr>
            <w:tcW w:w="208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5,608,140</w:t>
            </w:r>
          </w:p>
        </w:tc>
        <w:tc>
          <w:tcPr>
            <w:tcW w:w="920" w:type="dxa"/>
            <w:vAlign w:val="bottom"/>
            <w:tcBorders>
              <w:bottom w:val="single" w:sz="8" w:color="CCEEFF"/>
            </w:tcBorders>
            <w:gridSpan w:val="2"/>
          </w:tcPr>
          <w:p>
            <w:pPr>
              <w:jc w:val="right"/>
              <w:ind w:right="644"/>
              <w:spacing w:after="0" w:line="118" w:lineRule="exact"/>
              <w:rPr>
                <w:sz w:val="20"/>
                <w:szCs w:val="20"/>
                <w:color w:val="auto"/>
              </w:rPr>
            </w:pPr>
            <w:r>
              <w:rPr>
                <w:rFonts w:ascii="Times New Roman" w:cs="Times New Roman" w:eastAsia="Times New Roman" w:hAnsi="Times New Roman"/>
                <w:sz w:val="12"/>
                <w:szCs w:val="12"/>
                <w:color w:val="auto"/>
              </w:rPr>
              <w:t>$</w:t>
            </w:r>
          </w:p>
        </w:tc>
        <w:tc>
          <w:tcPr>
            <w:tcW w:w="194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14.05</w:t>
            </w:r>
          </w:p>
        </w:tc>
      </w:tr>
      <w:tr>
        <w:trPr>
          <w:trHeight w:val="137"/>
        </w:trPr>
        <w:tc>
          <w:tcPr>
            <w:tcW w:w="53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June 30, 2022</w:t>
            </w:r>
          </w:p>
        </w:tc>
        <w:tc>
          <w:tcPr>
            <w:tcW w:w="20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3,473,416</w:t>
            </w:r>
          </w:p>
        </w:tc>
        <w:tc>
          <w:tcPr>
            <w:tcW w:w="920" w:type="dxa"/>
            <w:vAlign w:val="bottom"/>
            <w:tcBorders>
              <w:bottom w:val="single" w:sz="8" w:color="CCEEFF"/>
            </w:tcBorders>
            <w:gridSpan w:val="2"/>
            <w:shd w:val="clear" w:color="auto" w:fill="CCEEFF"/>
          </w:tcPr>
          <w:p>
            <w:pPr>
              <w:jc w:val="right"/>
              <w:ind w:right="6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94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16.09</w:t>
            </w:r>
          </w:p>
        </w:tc>
      </w:tr>
    </w:tbl>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Time-based Options</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 summary of the time-based stock option activity under the 2015 Plan, 2017 Plan and Inducement Plan for the six-months ended June 30, 2022 is presented below: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24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1680" w:type="dxa"/>
            <w:vAlign w:val="bottom"/>
            <w:tcBorders>
              <w:bottom w:val="single" w:sz="8" w:color="auto"/>
            </w:tcBorders>
          </w:tcPr>
          <w:p>
            <w:pPr>
              <w:spacing w:after="0"/>
              <w:rPr>
                <w:sz w:val="11"/>
                <w:szCs w:val="11"/>
                <w:color w:val="auto"/>
              </w:rPr>
            </w:pPr>
          </w:p>
        </w:tc>
      </w:tr>
      <w:tr>
        <w:trPr>
          <w:trHeight w:val="83"/>
        </w:trPr>
        <w:tc>
          <w:tcPr>
            <w:tcW w:w="6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jc w:val="center"/>
              <w:ind w:right="466"/>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11"/>
        </w:trPr>
        <w:tc>
          <w:tcPr>
            <w:tcW w:w="6240" w:type="dxa"/>
            <w:vAlign w:val="bottom"/>
          </w:tcPr>
          <w:p>
            <w:pPr>
              <w:spacing w:after="0"/>
              <w:rPr>
                <w:sz w:val="9"/>
                <w:szCs w:val="9"/>
                <w:color w:val="auto"/>
              </w:rPr>
            </w:pPr>
          </w:p>
        </w:tc>
        <w:tc>
          <w:tcPr>
            <w:tcW w:w="1460" w:type="dxa"/>
            <w:vAlign w:val="bottom"/>
          </w:tcPr>
          <w:p>
            <w:pPr>
              <w:ind w:left="900"/>
              <w:spacing w:after="0" w:line="111" w:lineRule="exact"/>
              <w:rPr>
                <w:sz w:val="20"/>
                <w:szCs w:val="20"/>
                <w:color w:val="auto"/>
              </w:rPr>
            </w:pPr>
            <w:r>
              <w:rPr>
                <w:rFonts w:ascii="Times New Roman" w:cs="Times New Roman" w:eastAsia="Times New Roman" w:hAnsi="Times New Roman"/>
                <w:sz w:val="10"/>
                <w:szCs w:val="10"/>
                <w:b w:val="1"/>
                <w:bCs w:val="1"/>
                <w:color w:val="auto"/>
              </w:rPr>
              <w:t>Number</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jc w:val="center"/>
              <w:ind w:right="486"/>
              <w:spacing w:after="0" w:line="111" w:lineRule="exact"/>
              <w:rPr>
                <w:sz w:val="20"/>
                <w:szCs w:val="20"/>
                <w:color w:val="auto"/>
              </w:rPr>
            </w:pPr>
            <w:r>
              <w:rPr>
                <w:rFonts w:ascii="Times New Roman" w:cs="Times New Roman" w:eastAsia="Times New Roman" w:hAnsi="Times New Roman"/>
                <w:sz w:val="10"/>
                <w:szCs w:val="10"/>
                <w:b w:val="1"/>
                <w:bCs w:val="1"/>
                <w:color w:val="auto"/>
              </w:rPr>
              <w:t>average</w:t>
            </w:r>
          </w:p>
        </w:tc>
      </w:tr>
      <w:tr>
        <w:trPr>
          <w:trHeight w:val="127"/>
        </w:trPr>
        <w:tc>
          <w:tcPr>
            <w:tcW w:w="624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720" w:type="dxa"/>
            <w:vAlign w:val="bottom"/>
            <w:tcBorders>
              <w:bottom w:val="single" w:sz="8" w:color="auto"/>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center"/>
              <w:ind w:right="486"/>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r>
      <w:tr>
        <w:trPr>
          <w:trHeight w:val="118"/>
        </w:trPr>
        <w:tc>
          <w:tcPr>
            <w:tcW w:w="62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2021</w:t>
            </w:r>
          </w:p>
        </w:tc>
        <w:tc>
          <w:tcPr>
            <w:tcW w:w="14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4,796,716</w:t>
            </w:r>
          </w:p>
        </w:tc>
        <w:tc>
          <w:tcPr>
            <w:tcW w:w="680" w:type="dxa"/>
            <w:vAlign w:val="bottom"/>
            <w:shd w:val="clear" w:color="auto" w:fill="CCEEFF"/>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16.44</w:t>
            </w: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786,600</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(277,018)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(285,380)</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6"/>
        </w:trPr>
        <w:tc>
          <w:tcPr>
            <w:tcW w:w="62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June 30, 2022</w:t>
            </w:r>
          </w:p>
        </w:tc>
        <w:tc>
          <w:tcPr>
            <w:tcW w:w="14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5,020,918</w:t>
            </w:r>
          </w:p>
        </w:tc>
        <w:tc>
          <w:tcPr>
            <w:tcW w:w="680" w:type="dxa"/>
            <w:vAlign w:val="bottom"/>
            <w:tcBorders>
              <w:bottom w:val="single" w:sz="8" w:color="CCEEFF"/>
            </w:tcBorders>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14.47</w:t>
            </w:r>
          </w:p>
        </w:tc>
      </w:tr>
      <w:tr>
        <w:trPr>
          <w:trHeight w:val="137"/>
        </w:trPr>
        <w:tc>
          <w:tcPr>
            <w:tcW w:w="62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June 30, 2022</w:t>
            </w:r>
          </w:p>
        </w:tc>
        <w:tc>
          <w:tcPr>
            <w:tcW w:w="14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3,217,744</w:t>
            </w:r>
          </w:p>
        </w:tc>
        <w:tc>
          <w:tcPr>
            <w:tcW w:w="680" w:type="dxa"/>
            <w:vAlign w:val="bottom"/>
            <w:tcBorders>
              <w:bottom w:val="single" w:sz="8" w:color="CCEEFF"/>
            </w:tcBorders>
            <w:shd w:val="clear" w:color="auto" w:fill="CCEEFF"/>
          </w:tcPr>
          <w:p>
            <w:pPr>
              <w:jc w:val="right"/>
              <w:ind w:right="2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16.43</w:t>
            </w:r>
          </w:p>
        </w:tc>
      </w:tr>
    </w:tbl>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Performance Options</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Certain stock options awarded to the Company’s executives and other key employees contain performance conditions related to certain financial measures and achievements of strategic/operational milestones. The options will vest and become exercisable once the specific performance condition is fulfilled.</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 summary of the performance option activity under the 2017 Plan and Inducement Plan for the six-months ended June 30, 2022 is presented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24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1680" w:type="dxa"/>
            <w:vAlign w:val="bottom"/>
            <w:tcBorders>
              <w:bottom w:val="single" w:sz="8" w:color="auto"/>
            </w:tcBorders>
          </w:tcPr>
          <w:p>
            <w:pPr>
              <w:spacing w:after="0"/>
              <w:rPr>
                <w:sz w:val="11"/>
                <w:szCs w:val="11"/>
                <w:color w:val="auto"/>
              </w:rPr>
            </w:pPr>
          </w:p>
        </w:tc>
      </w:tr>
      <w:tr>
        <w:trPr>
          <w:trHeight w:val="83"/>
        </w:trPr>
        <w:tc>
          <w:tcPr>
            <w:tcW w:w="6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jc w:val="center"/>
              <w:ind w:right="466"/>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11"/>
        </w:trPr>
        <w:tc>
          <w:tcPr>
            <w:tcW w:w="6240" w:type="dxa"/>
            <w:vAlign w:val="bottom"/>
          </w:tcPr>
          <w:p>
            <w:pPr>
              <w:spacing w:after="0"/>
              <w:rPr>
                <w:sz w:val="9"/>
                <w:szCs w:val="9"/>
                <w:color w:val="auto"/>
              </w:rPr>
            </w:pPr>
          </w:p>
        </w:tc>
        <w:tc>
          <w:tcPr>
            <w:tcW w:w="1460" w:type="dxa"/>
            <w:vAlign w:val="bottom"/>
          </w:tcPr>
          <w:p>
            <w:pPr>
              <w:ind w:left="900"/>
              <w:spacing w:after="0" w:line="111" w:lineRule="exact"/>
              <w:rPr>
                <w:sz w:val="20"/>
                <w:szCs w:val="20"/>
                <w:color w:val="auto"/>
              </w:rPr>
            </w:pPr>
            <w:r>
              <w:rPr>
                <w:rFonts w:ascii="Times New Roman" w:cs="Times New Roman" w:eastAsia="Times New Roman" w:hAnsi="Times New Roman"/>
                <w:sz w:val="10"/>
                <w:szCs w:val="10"/>
                <w:b w:val="1"/>
                <w:bCs w:val="1"/>
                <w:color w:val="auto"/>
              </w:rPr>
              <w:t>Number</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jc w:val="center"/>
              <w:ind w:right="486"/>
              <w:spacing w:after="0" w:line="111" w:lineRule="exact"/>
              <w:rPr>
                <w:sz w:val="20"/>
                <w:szCs w:val="20"/>
                <w:color w:val="auto"/>
              </w:rPr>
            </w:pPr>
            <w:r>
              <w:rPr>
                <w:rFonts w:ascii="Times New Roman" w:cs="Times New Roman" w:eastAsia="Times New Roman" w:hAnsi="Times New Roman"/>
                <w:sz w:val="10"/>
                <w:szCs w:val="10"/>
                <w:b w:val="1"/>
                <w:bCs w:val="1"/>
                <w:color w:val="auto"/>
              </w:rPr>
              <w:t>average</w:t>
            </w:r>
          </w:p>
        </w:tc>
      </w:tr>
      <w:tr>
        <w:trPr>
          <w:trHeight w:val="127"/>
        </w:trPr>
        <w:tc>
          <w:tcPr>
            <w:tcW w:w="624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720" w:type="dxa"/>
            <w:vAlign w:val="bottom"/>
            <w:tcBorders>
              <w:bottom w:val="single" w:sz="8" w:color="auto"/>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center"/>
              <w:ind w:right="486"/>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r>
      <w:tr>
        <w:trPr>
          <w:trHeight w:val="118"/>
        </w:trPr>
        <w:tc>
          <w:tcPr>
            <w:tcW w:w="62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2021</w:t>
            </w:r>
          </w:p>
        </w:tc>
        <w:tc>
          <w:tcPr>
            <w:tcW w:w="14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1,200,097</w:t>
            </w:r>
          </w:p>
        </w:tc>
        <w:tc>
          <w:tcPr>
            <w:tcW w:w="680" w:type="dxa"/>
            <w:vAlign w:val="bottom"/>
            <w:shd w:val="clear" w:color="auto" w:fill="CCEEFF"/>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13.11</w:t>
            </w: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200,000</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(746,000)</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(66,875)</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6"/>
        </w:trPr>
        <w:tc>
          <w:tcPr>
            <w:tcW w:w="62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June 30, 2022</w:t>
            </w:r>
          </w:p>
        </w:tc>
        <w:tc>
          <w:tcPr>
            <w:tcW w:w="14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587,222</w:t>
            </w:r>
          </w:p>
        </w:tc>
        <w:tc>
          <w:tcPr>
            <w:tcW w:w="680" w:type="dxa"/>
            <w:vAlign w:val="bottom"/>
            <w:tcBorders>
              <w:bottom w:val="single" w:sz="8" w:color="CCEEFF"/>
            </w:tcBorders>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10.44</w:t>
            </w:r>
          </w:p>
        </w:tc>
      </w:tr>
      <w:tr>
        <w:trPr>
          <w:trHeight w:val="137"/>
        </w:trPr>
        <w:tc>
          <w:tcPr>
            <w:tcW w:w="62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June 30, 2022</w:t>
            </w:r>
          </w:p>
        </w:tc>
        <w:tc>
          <w:tcPr>
            <w:tcW w:w="14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255,672</w:t>
            </w:r>
          </w:p>
        </w:tc>
        <w:tc>
          <w:tcPr>
            <w:tcW w:w="680" w:type="dxa"/>
            <w:vAlign w:val="bottom"/>
            <w:tcBorders>
              <w:bottom w:val="single" w:sz="8" w:color="CCEEFF"/>
            </w:tcBorders>
            <w:shd w:val="clear" w:color="auto" w:fill="CCEEFF"/>
          </w:tcPr>
          <w:p>
            <w:pPr>
              <w:jc w:val="right"/>
              <w:ind w:right="2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11.88</w:t>
            </w:r>
          </w:p>
        </w:tc>
      </w:tr>
    </w:tbl>
    <w:p>
      <w:pPr>
        <w:spacing w:after="0" w:line="107"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2"/>
          <w:szCs w:val="12"/>
          <w:color w:val="auto"/>
        </w:rPr>
        <w:t>The Company estimates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20" w:type="dxa"/>
            <w:vAlign w:val="bottom"/>
          </w:tcPr>
          <w:p>
            <w:pPr>
              <w:spacing w:after="0"/>
              <w:rPr>
                <w:sz w:val="11"/>
                <w:szCs w:val="11"/>
                <w:color w:val="auto"/>
              </w:rPr>
            </w:pPr>
          </w:p>
        </w:tc>
        <w:tc>
          <w:tcPr>
            <w:tcW w:w="3680" w:type="dxa"/>
            <w:vAlign w:val="bottom"/>
            <w:gridSpan w:val="4"/>
          </w:tcPr>
          <w:p>
            <w:pPr>
              <w:ind w:left="940"/>
              <w:spacing w:after="0"/>
              <w:rPr>
                <w:sz w:val="20"/>
                <w:szCs w:val="20"/>
                <w:color w:val="auto"/>
              </w:rPr>
            </w:pPr>
            <w:r>
              <w:rPr>
                <w:rFonts w:ascii="Times New Roman" w:cs="Times New Roman" w:eastAsia="Times New Roman" w:hAnsi="Times New Roman"/>
                <w:sz w:val="10"/>
                <w:szCs w:val="10"/>
                <w:b w:val="1"/>
                <w:bCs w:val="1"/>
                <w:color w:val="auto"/>
              </w:rPr>
              <w:t>Three-Month Periods Ended June 30,</w:t>
            </w:r>
          </w:p>
        </w:tc>
        <w:tc>
          <w:tcPr>
            <w:tcW w:w="640" w:type="dxa"/>
            <w:vAlign w:val="bottom"/>
          </w:tcPr>
          <w:p>
            <w:pPr>
              <w:spacing w:after="0"/>
              <w:rPr>
                <w:sz w:val="11"/>
                <w:szCs w:val="11"/>
                <w:color w:val="auto"/>
              </w:rPr>
            </w:pPr>
          </w:p>
        </w:tc>
        <w:tc>
          <w:tcPr>
            <w:tcW w:w="2760" w:type="dxa"/>
            <w:vAlign w:val="bottom"/>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rPr>
              <w:t>Six-Month Periods Ended June 30,</w:t>
            </w:r>
          </w:p>
        </w:tc>
      </w:tr>
      <w:tr>
        <w:trPr>
          <w:trHeight w:val="100"/>
        </w:trPr>
        <w:tc>
          <w:tcPr>
            <w:tcW w:w="4220" w:type="dxa"/>
            <w:vAlign w:val="bottom"/>
            <w:tcBorders>
              <w:bottom w:val="single" w:sz="8" w:color="CCEEFF"/>
            </w:tcBorders>
          </w:tcPr>
          <w:p>
            <w:pPr>
              <w:spacing w:after="0"/>
              <w:rPr>
                <w:sz w:val="8"/>
                <w:szCs w:val="8"/>
                <w:color w:val="auto"/>
              </w:rPr>
            </w:pPr>
          </w:p>
        </w:tc>
        <w:tc>
          <w:tcPr>
            <w:tcW w:w="1480" w:type="dxa"/>
            <w:vAlign w:val="bottom"/>
            <w:tcBorders>
              <w:top w:val="single" w:sz="8" w:color="auto"/>
              <w:bottom w:val="single" w:sz="8" w:color="auto"/>
            </w:tcBorders>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480" w:type="dxa"/>
            <w:vAlign w:val="bottom"/>
            <w:tcBorders>
              <w:top w:val="single" w:sz="8" w:color="auto"/>
              <w:bottom w:val="single" w:sz="8" w:color="CCEEFF"/>
            </w:tcBorders>
          </w:tcPr>
          <w:p>
            <w:pPr>
              <w:spacing w:after="0"/>
              <w:rPr>
                <w:sz w:val="8"/>
                <w:szCs w:val="8"/>
                <w:color w:val="auto"/>
              </w:rPr>
            </w:pPr>
          </w:p>
        </w:tc>
        <w:tc>
          <w:tcPr>
            <w:tcW w:w="1480" w:type="dxa"/>
            <w:vAlign w:val="bottom"/>
            <w:tcBorders>
              <w:top w:val="single" w:sz="8" w:color="auto"/>
              <w:bottom w:val="single" w:sz="8" w:color="auto"/>
            </w:tcBorders>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40" w:type="dxa"/>
            <w:vAlign w:val="bottom"/>
            <w:tcBorders>
              <w:bottom w:val="single" w:sz="8" w:color="CCEEFF"/>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center"/>
              <w:ind w:right="583"/>
              <w:spacing w:after="0" w:line="100"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460" w:type="dxa"/>
            <w:vAlign w:val="bottom"/>
            <w:tcBorders>
              <w:top w:val="single" w:sz="8" w:color="auto"/>
              <w:bottom w:val="single" w:sz="8" w:color="CCEEFF"/>
            </w:tcBorders>
          </w:tcPr>
          <w:p>
            <w:pPr>
              <w:spacing w:after="0"/>
              <w:rPr>
                <w:sz w:val="8"/>
                <w:szCs w:val="8"/>
                <w:color w:val="auto"/>
              </w:rPr>
            </w:pPr>
          </w:p>
        </w:tc>
        <w:tc>
          <w:tcPr>
            <w:tcW w:w="1480" w:type="dxa"/>
            <w:vAlign w:val="bottom"/>
            <w:tcBorders>
              <w:top w:val="single" w:sz="8" w:color="auto"/>
              <w:bottom w:val="single" w:sz="8" w:color="auto"/>
            </w:tcBorders>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42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Expected term in years</w:t>
            </w:r>
          </w:p>
        </w:tc>
        <w:tc>
          <w:tcPr>
            <w:tcW w:w="14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5.3 - 6.3</w:t>
            </w:r>
          </w:p>
        </w:tc>
        <w:tc>
          <w:tcPr>
            <w:tcW w:w="480" w:type="dxa"/>
            <w:vAlign w:val="bottom"/>
            <w:shd w:val="clear" w:color="auto" w:fill="CCEEFF"/>
          </w:tcPr>
          <w:p>
            <w:pPr>
              <w:spacing w:after="0"/>
              <w:rPr>
                <w:sz w:val="10"/>
                <w:szCs w:val="10"/>
                <w:color w:val="auto"/>
              </w:rPr>
            </w:pPr>
          </w:p>
        </w:tc>
        <w:tc>
          <w:tcPr>
            <w:tcW w:w="14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5.3 - 6.1</w:t>
            </w:r>
          </w:p>
        </w:tc>
        <w:tc>
          <w:tcPr>
            <w:tcW w:w="24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5.3 - 6.8</w:t>
            </w: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5.3 - 6.1</w:t>
            </w:r>
          </w:p>
        </w:tc>
      </w:tr>
      <w:tr>
        <w:trPr>
          <w:trHeight w:val="129"/>
        </w:trPr>
        <w:tc>
          <w:tcPr>
            <w:tcW w:w="42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Expected volatility</w:t>
            </w: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88%</w:t>
            </w:r>
          </w:p>
        </w:tc>
        <w:tc>
          <w:tcPr>
            <w:tcW w:w="48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rPr>
              <w:t>78%</w:t>
            </w:r>
          </w:p>
        </w:tc>
        <w:tc>
          <w:tcPr>
            <w:tcW w:w="2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83</w:t>
            </w:r>
          </w:p>
        </w:tc>
        <w:tc>
          <w:tcPr>
            <w:tcW w:w="8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- 88%</w:t>
            </w:r>
          </w:p>
        </w:tc>
        <w:tc>
          <w:tcPr>
            <w:tcW w:w="4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rPr>
              <w:t>78%</w:t>
            </w:r>
          </w:p>
        </w:tc>
      </w:tr>
      <w:tr>
        <w:trPr>
          <w:trHeight w:val="129"/>
        </w:trPr>
        <w:tc>
          <w:tcPr>
            <w:tcW w:w="4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Risk-free interest rate</w:t>
            </w: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3.0%</w:t>
            </w: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0.9 - 1.0%</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w:t>
            </w:r>
          </w:p>
        </w:tc>
        <w:tc>
          <w:tcPr>
            <w:tcW w:w="8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- 3.0%</w:t>
            </w:r>
          </w:p>
        </w:tc>
        <w:tc>
          <w:tcPr>
            <w:tcW w:w="46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0.9 - 1.1%</w:t>
            </w:r>
          </w:p>
        </w:tc>
      </w:tr>
      <w:tr>
        <w:trPr>
          <w:trHeight w:val="159"/>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960" w:type="dxa"/>
            <w:vAlign w:val="bottom"/>
            <w:gridSpan w:val="2"/>
          </w:tcPr>
          <w:p>
            <w:pPr>
              <w:jc w:val="center"/>
              <w:ind w:right="480"/>
              <w:spacing w:after="0"/>
              <w:rPr>
                <w:sz w:val="20"/>
                <w:szCs w:val="20"/>
                <w:color w:val="auto"/>
              </w:rPr>
            </w:pPr>
            <w:r>
              <w:rPr>
                <w:rFonts w:ascii="Calibri" w:cs="Calibri" w:eastAsia="Calibri" w:hAnsi="Calibri"/>
                <w:sz w:val="12"/>
                <w:szCs w:val="12"/>
                <w:color w:val="auto"/>
              </w:rPr>
              <w:t>—</w:t>
            </w:r>
          </w:p>
        </w:tc>
        <w:tc>
          <w:tcPr>
            <w:tcW w:w="1720" w:type="dxa"/>
            <w:vAlign w:val="bottom"/>
            <w:gridSpan w:val="2"/>
          </w:tcPr>
          <w:p>
            <w:pPr>
              <w:jc w:val="center"/>
              <w:ind w:right="240"/>
              <w:spacing w:after="0"/>
              <w:rPr>
                <w:sz w:val="20"/>
                <w:szCs w:val="20"/>
                <w:color w:val="auto"/>
              </w:rPr>
            </w:pPr>
            <w:r>
              <w:rPr>
                <w:rFonts w:ascii="Calibri" w:cs="Calibri" w:eastAsia="Calibri" w:hAnsi="Calibri"/>
                <w:sz w:val="12"/>
                <w:szCs w:val="12"/>
                <w:color w:val="auto"/>
              </w:rPr>
              <w:t>—</w:t>
            </w:r>
          </w:p>
        </w:tc>
        <w:tc>
          <w:tcPr>
            <w:tcW w:w="640" w:type="dxa"/>
            <w:vAlign w:val="bottom"/>
          </w:tcPr>
          <w:p>
            <w:pPr>
              <w:spacing w:after="0"/>
              <w:rPr>
                <w:sz w:val="13"/>
                <w:szCs w:val="13"/>
                <w:color w:val="auto"/>
              </w:rPr>
            </w:pPr>
          </w:p>
        </w:tc>
        <w:tc>
          <w:tcPr>
            <w:tcW w:w="1280" w:type="dxa"/>
            <w:vAlign w:val="bottom"/>
            <w:gridSpan w:val="2"/>
          </w:tcPr>
          <w:p>
            <w:pPr>
              <w:jc w:val="center"/>
              <w:ind w:right="1100"/>
              <w:spacing w:after="0"/>
              <w:rPr>
                <w:sz w:val="20"/>
                <w:szCs w:val="20"/>
                <w:color w:val="auto"/>
              </w:rPr>
            </w:pPr>
            <w:r>
              <w:rPr>
                <w:rFonts w:ascii="Calibri" w:cs="Calibri" w:eastAsia="Calibri" w:hAnsi="Calibri"/>
                <w:sz w:val="12"/>
                <w:szCs w:val="12"/>
                <w:color w:val="auto"/>
                <w:w w:val="91"/>
              </w:rPr>
              <w:t>—</w:t>
            </w:r>
          </w:p>
        </w:tc>
        <w:tc>
          <w:tcPr>
            <w:tcW w:w="1480" w:type="dxa"/>
            <w:vAlign w:val="bottom"/>
          </w:tcPr>
          <w:p>
            <w:pPr>
              <w:jc w:val="center"/>
              <w:spacing w:after="0"/>
              <w:rPr>
                <w:sz w:val="20"/>
                <w:szCs w:val="20"/>
                <w:color w:val="auto"/>
              </w:rPr>
            </w:pPr>
            <w:r>
              <w:rPr>
                <w:rFonts w:ascii="Calibri" w:cs="Calibri" w:eastAsia="Calibri" w:hAnsi="Calibri"/>
                <w:sz w:val="12"/>
                <w:szCs w:val="12"/>
                <w:color w:val="auto"/>
              </w:rPr>
              <w:t>—</w:t>
            </w:r>
          </w:p>
        </w:tc>
      </w:tr>
    </w:tbl>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2017 Employee Stock Purchase Plan</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Board previously adopted and the stockholders approved the Company’s 2017 Employee Stock Purchase Plan (the “2017 ESPP”).</w:t>
      </w:r>
    </w:p>
    <w:p>
      <w:pPr>
        <w:spacing w:after="0" w:line="129" w:lineRule="exact"/>
        <w:rPr>
          <w:sz w:val="20"/>
          <w:szCs w:val="20"/>
          <w:color w:val="auto"/>
        </w:rPr>
      </w:pPr>
    </w:p>
    <w:p>
      <w:pPr>
        <w:jc w:val="both"/>
        <w:ind w:firstLine="336"/>
        <w:spacing w:after="0"/>
        <w:rPr>
          <w:sz w:val="20"/>
          <w:szCs w:val="20"/>
          <w:color w:val="auto"/>
        </w:rPr>
      </w:pPr>
      <w:r>
        <w:rPr>
          <w:rFonts w:ascii="Times New Roman" w:cs="Times New Roman" w:eastAsia="Times New Roman" w:hAnsi="Times New Roman"/>
          <w:sz w:val="12"/>
          <w:szCs w:val="12"/>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The Board waived the evergreen provision for 2022 and no additional shares were reserved under the 2017 ESPP. During the three- and six-month periods ended June 30, 2022, the Company issued 85,844 shares of common stock under the 2017 ESPP. As of June 30, 2022, 563,252 shares of common stock remained available for issuance under the 2017 ESPP.</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jc w:val="both"/>
        <w:ind w:firstLine="336"/>
        <w:spacing w:after="0" w:line="243" w:lineRule="auto"/>
        <w:rPr>
          <w:sz w:val="20"/>
          <w:szCs w:val="20"/>
          <w:color w:val="auto"/>
        </w:rPr>
      </w:pPr>
      <w:r>
        <w:rPr>
          <w:rFonts w:ascii="Times New Roman" w:cs="Times New Roman" w:eastAsia="Times New Roman" w:hAnsi="Times New Roman"/>
          <w:sz w:val="12"/>
          <w:szCs w:val="12"/>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6"/>
          </w:tcPr>
          <w:p>
            <w:pPr>
              <w:jc w:val="right"/>
              <w:ind w:right="883"/>
              <w:spacing w:after="0"/>
              <w:rPr>
                <w:sz w:val="20"/>
                <w:szCs w:val="20"/>
                <w:color w:val="auto"/>
              </w:rPr>
            </w:pPr>
            <w:r>
              <w:rPr>
                <w:rFonts w:ascii="Times New Roman" w:cs="Times New Roman" w:eastAsia="Times New Roman" w:hAnsi="Times New Roman"/>
                <w:sz w:val="10"/>
                <w:szCs w:val="10"/>
                <w:b w:val="1"/>
                <w:bCs w:val="1"/>
                <w:color w:val="auto"/>
              </w:rPr>
              <w:t>Three-Month Periods Ended June 30,</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6"/>
          </w:tcPr>
          <w:p>
            <w:pPr>
              <w:jc w:val="right"/>
              <w:ind w:right="542"/>
              <w:spacing w:after="0"/>
              <w:rPr>
                <w:sz w:val="20"/>
                <w:szCs w:val="20"/>
                <w:color w:val="auto"/>
              </w:rPr>
            </w:pPr>
            <w:r>
              <w:rPr>
                <w:rFonts w:ascii="Times New Roman" w:cs="Times New Roman" w:eastAsia="Times New Roman" w:hAnsi="Times New Roman"/>
                <w:sz w:val="10"/>
                <w:szCs w:val="10"/>
                <w:b w:val="1"/>
                <w:bCs w:val="1"/>
                <w:color w:val="auto"/>
              </w:rPr>
              <w:t>Six-Month Periods Ended June 30,</w:t>
            </w:r>
          </w:p>
        </w:tc>
        <w:tc>
          <w:tcPr>
            <w:tcW w:w="380" w:type="dxa"/>
            <w:vAlign w:val="bottom"/>
            <w:tcBorders>
              <w:bottom w:val="single" w:sz="8" w:color="auto"/>
            </w:tcBorders>
          </w:tcPr>
          <w:p>
            <w:pPr>
              <w:spacing w:after="0"/>
              <w:rPr>
                <w:sz w:val="11"/>
                <w:szCs w:val="11"/>
                <w:color w:val="auto"/>
              </w:rPr>
            </w:pPr>
          </w:p>
        </w:tc>
      </w:tr>
      <w:tr>
        <w:trPr>
          <w:trHeight w:val="100"/>
        </w:trPr>
        <w:tc>
          <w:tcPr>
            <w:tcW w:w="42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jc w:val="center"/>
              <w:ind w:right="286"/>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center"/>
              <w:ind w:right="323"/>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jc w:val="center"/>
              <w:ind w:left="42"/>
              <w:spacing w:after="0" w:line="100"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100" w:type="dxa"/>
            <w:vAlign w:val="bottom"/>
            <w:tcBorders>
              <w:bottom w:val="single" w:sz="8" w:color="auto"/>
            </w:tcBorders>
            <w:gridSpan w:val="2"/>
          </w:tcPr>
          <w:p>
            <w:pPr>
              <w:jc w:val="center"/>
              <w:ind w:left="323"/>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380" w:type="dxa"/>
            <w:vAlign w:val="bottom"/>
            <w:tcBorders>
              <w:bottom w:val="single" w:sz="8" w:color="auto"/>
            </w:tcBorders>
          </w:tcPr>
          <w:p>
            <w:pPr>
              <w:spacing w:after="0"/>
              <w:rPr>
                <w:sz w:val="8"/>
                <w:szCs w:val="8"/>
                <w:color w:val="auto"/>
              </w:rPr>
            </w:pPr>
          </w:p>
        </w:tc>
      </w:tr>
      <w:tr>
        <w:trPr>
          <w:trHeight w:val="118"/>
        </w:trPr>
        <w:tc>
          <w:tcPr>
            <w:tcW w:w="42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Expected term in years</w:t>
            </w:r>
          </w:p>
        </w:tc>
        <w:tc>
          <w:tcPr>
            <w:tcW w:w="34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center"/>
              <w:ind w:right="286"/>
              <w:spacing w:after="0" w:line="118" w:lineRule="exact"/>
              <w:rPr>
                <w:sz w:val="20"/>
                <w:szCs w:val="20"/>
                <w:color w:val="auto"/>
              </w:rPr>
            </w:pPr>
            <w:r>
              <w:rPr>
                <w:rFonts w:ascii="Times New Roman" w:cs="Times New Roman" w:eastAsia="Times New Roman" w:hAnsi="Times New Roman"/>
                <w:sz w:val="12"/>
                <w:szCs w:val="12"/>
                <w:color w:val="auto"/>
                <w:w w:val="99"/>
              </w:rPr>
              <w:t>0.5 - 1.0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jc w:val="center"/>
              <w:ind w:right="323"/>
              <w:spacing w:after="0" w:line="118" w:lineRule="exact"/>
              <w:rPr>
                <w:sz w:val="20"/>
                <w:szCs w:val="20"/>
                <w:color w:val="auto"/>
              </w:rPr>
            </w:pPr>
            <w:r>
              <w:rPr>
                <w:rFonts w:ascii="Times New Roman" w:cs="Times New Roman" w:eastAsia="Times New Roman" w:hAnsi="Times New Roman"/>
                <w:sz w:val="12"/>
                <w:szCs w:val="12"/>
                <w:color w:val="auto"/>
                <w:w w:val="99"/>
              </w:rPr>
              <w:t>0.5 - 1.0</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center"/>
              <w:ind w:left="42"/>
              <w:spacing w:after="0" w:line="118" w:lineRule="exact"/>
              <w:rPr>
                <w:sz w:val="20"/>
                <w:szCs w:val="20"/>
                <w:color w:val="auto"/>
              </w:rPr>
            </w:pPr>
            <w:r>
              <w:rPr>
                <w:rFonts w:ascii="Times New Roman" w:cs="Times New Roman" w:eastAsia="Times New Roman" w:hAnsi="Times New Roman"/>
                <w:sz w:val="12"/>
                <w:szCs w:val="12"/>
                <w:color w:val="auto"/>
              </w:rPr>
              <w:t>0.5 - 1.0</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left="323"/>
              <w:spacing w:after="0" w:line="118" w:lineRule="exact"/>
              <w:rPr>
                <w:sz w:val="20"/>
                <w:szCs w:val="20"/>
                <w:color w:val="auto"/>
              </w:rPr>
            </w:pPr>
            <w:r>
              <w:rPr>
                <w:rFonts w:ascii="Times New Roman" w:cs="Times New Roman" w:eastAsia="Times New Roman" w:hAnsi="Times New Roman"/>
                <w:sz w:val="12"/>
                <w:szCs w:val="12"/>
                <w:color w:val="auto"/>
                <w:w w:val="99"/>
              </w:rPr>
              <w:t>0.5 - 1.0</w:t>
            </w:r>
          </w:p>
        </w:tc>
        <w:tc>
          <w:tcPr>
            <w:tcW w:w="380" w:type="dxa"/>
            <w:vAlign w:val="bottom"/>
            <w:shd w:val="clear" w:color="auto" w:fill="CCEEFF"/>
          </w:tcPr>
          <w:p>
            <w:pPr>
              <w:spacing w:after="0"/>
              <w:rPr>
                <w:sz w:val="10"/>
                <w:szCs w:val="10"/>
                <w:color w:val="auto"/>
              </w:rPr>
            </w:pPr>
          </w:p>
        </w:tc>
      </w:tr>
      <w:tr>
        <w:trPr>
          <w:trHeight w:val="129"/>
        </w:trPr>
        <w:tc>
          <w:tcPr>
            <w:tcW w:w="45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Expected volatility</w:t>
            </w:r>
          </w:p>
        </w:tc>
        <w:tc>
          <w:tcPr>
            <w:tcW w:w="1140" w:type="dxa"/>
            <w:vAlign w:val="bottom"/>
            <w:gridSpan w:val="2"/>
          </w:tcPr>
          <w:p>
            <w:pPr>
              <w:jc w:val="center"/>
              <w:ind w:right="306"/>
              <w:spacing w:after="0" w:line="129" w:lineRule="exact"/>
              <w:rPr>
                <w:sz w:val="20"/>
                <w:szCs w:val="20"/>
                <w:color w:val="auto"/>
              </w:rPr>
            </w:pPr>
            <w:r>
              <w:rPr>
                <w:rFonts w:ascii="Times New Roman" w:cs="Times New Roman" w:eastAsia="Times New Roman" w:hAnsi="Times New Roman"/>
                <w:sz w:val="12"/>
                <w:szCs w:val="12"/>
                <w:color w:val="auto"/>
                <w:w w:val="99"/>
              </w:rPr>
              <w:t>83%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323"/>
              <w:spacing w:after="0" w:line="129" w:lineRule="exact"/>
              <w:rPr>
                <w:sz w:val="20"/>
                <w:szCs w:val="20"/>
                <w:color w:val="auto"/>
              </w:rPr>
            </w:pPr>
            <w:r>
              <w:rPr>
                <w:rFonts w:ascii="Times New Roman" w:cs="Times New Roman" w:eastAsia="Times New Roman" w:hAnsi="Times New Roman"/>
                <w:sz w:val="12"/>
                <w:szCs w:val="12"/>
                <w:color w:val="auto"/>
              </w:rPr>
              <w:t>78%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left="42"/>
              <w:spacing w:after="0" w:line="129" w:lineRule="exact"/>
              <w:rPr>
                <w:sz w:val="20"/>
                <w:szCs w:val="20"/>
                <w:color w:val="auto"/>
              </w:rPr>
            </w:pPr>
            <w:r>
              <w:rPr>
                <w:rFonts w:ascii="Times New Roman" w:cs="Times New Roman" w:eastAsia="Times New Roman" w:hAnsi="Times New Roman"/>
                <w:sz w:val="12"/>
                <w:szCs w:val="12"/>
                <w:color w:val="auto"/>
                <w:w w:val="99"/>
              </w:rPr>
              <w:t>83%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left="323"/>
              <w:spacing w:after="0" w:line="129" w:lineRule="exact"/>
              <w:rPr>
                <w:sz w:val="20"/>
                <w:szCs w:val="20"/>
                <w:color w:val="auto"/>
              </w:rPr>
            </w:pPr>
            <w:r>
              <w:rPr>
                <w:rFonts w:ascii="Times New Roman" w:cs="Times New Roman" w:eastAsia="Times New Roman" w:hAnsi="Times New Roman"/>
                <w:sz w:val="12"/>
                <w:szCs w:val="12"/>
                <w:color w:val="auto"/>
              </w:rPr>
              <w:t>78%</w:t>
            </w:r>
          </w:p>
        </w:tc>
        <w:tc>
          <w:tcPr>
            <w:tcW w:w="380" w:type="dxa"/>
            <w:vAlign w:val="bottom"/>
          </w:tcPr>
          <w:p>
            <w:pPr>
              <w:spacing w:after="0"/>
              <w:rPr>
                <w:sz w:val="11"/>
                <w:szCs w:val="11"/>
                <w:color w:val="auto"/>
              </w:rPr>
            </w:pPr>
          </w:p>
        </w:tc>
      </w:tr>
      <w:tr>
        <w:trPr>
          <w:trHeight w:val="129"/>
        </w:trPr>
        <w:tc>
          <w:tcPr>
            <w:tcW w:w="45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Risk-free interest rate</w:t>
            </w:r>
          </w:p>
        </w:tc>
        <w:tc>
          <w:tcPr>
            <w:tcW w:w="1140" w:type="dxa"/>
            <w:vAlign w:val="bottom"/>
            <w:gridSpan w:val="2"/>
            <w:shd w:val="clear" w:color="auto" w:fill="CCEEFF"/>
          </w:tcPr>
          <w:p>
            <w:pPr>
              <w:jc w:val="center"/>
              <w:ind w:right="286"/>
              <w:spacing w:after="0" w:line="129" w:lineRule="exact"/>
              <w:rPr>
                <w:sz w:val="20"/>
                <w:szCs w:val="20"/>
                <w:color w:val="auto"/>
              </w:rPr>
            </w:pPr>
            <w:r>
              <w:rPr>
                <w:rFonts w:ascii="Times New Roman" w:cs="Times New Roman" w:eastAsia="Times New Roman" w:hAnsi="Times New Roman"/>
                <w:sz w:val="12"/>
                <w:szCs w:val="12"/>
                <w:color w:val="auto"/>
              </w:rPr>
              <w:t>0.6 - 0.9%</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jc w:val="center"/>
              <w:ind w:right="323"/>
              <w:spacing w:after="0" w:line="129" w:lineRule="exact"/>
              <w:rPr>
                <w:sz w:val="20"/>
                <w:szCs w:val="20"/>
                <w:color w:val="auto"/>
              </w:rPr>
            </w:pPr>
            <w:r>
              <w:rPr>
                <w:rFonts w:ascii="Times New Roman" w:cs="Times New Roman" w:eastAsia="Times New Roman" w:hAnsi="Times New Roman"/>
                <w:sz w:val="12"/>
                <w:szCs w:val="12"/>
                <w:color w:val="auto"/>
              </w:rPr>
              <w:t>0.07 - 0.08%</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left="42"/>
              <w:spacing w:after="0" w:line="129" w:lineRule="exact"/>
              <w:rPr>
                <w:sz w:val="20"/>
                <w:szCs w:val="20"/>
                <w:color w:val="auto"/>
              </w:rPr>
            </w:pPr>
            <w:r>
              <w:rPr>
                <w:rFonts w:ascii="Times New Roman" w:cs="Times New Roman" w:eastAsia="Times New Roman" w:hAnsi="Times New Roman"/>
                <w:sz w:val="12"/>
                <w:szCs w:val="12"/>
                <w:color w:val="auto"/>
                <w:w w:val="99"/>
              </w:rPr>
              <w:t>0.6 - 0.9%</w:t>
            </w: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left="323"/>
              <w:spacing w:after="0" w:line="129" w:lineRule="exact"/>
              <w:rPr>
                <w:sz w:val="20"/>
                <w:szCs w:val="20"/>
                <w:color w:val="auto"/>
              </w:rPr>
            </w:pPr>
            <w:r>
              <w:rPr>
                <w:rFonts w:ascii="Times New Roman" w:cs="Times New Roman" w:eastAsia="Times New Roman" w:hAnsi="Times New Roman"/>
                <w:sz w:val="12"/>
                <w:szCs w:val="12"/>
                <w:color w:val="auto"/>
                <w:w w:val="99"/>
              </w:rPr>
              <w:t>0.07 - 0.1%</w:t>
            </w:r>
          </w:p>
        </w:tc>
        <w:tc>
          <w:tcPr>
            <w:tcW w:w="380" w:type="dxa"/>
            <w:vAlign w:val="bottom"/>
            <w:shd w:val="clear" w:color="auto" w:fill="CCEEFF"/>
          </w:tcPr>
          <w:p>
            <w:pPr>
              <w:spacing w:after="0"/>
              <w:rPr>
                <w:sz w:val="11"/>
                <w:szCs w:val="11"/>
                <w:color w:val="auto"/>
              </w:rPr>
            </w:pPr>
          </w:p>
        </w:tc>
      </w:tr>
      <w:tr>
        <w:trPr>
          <w:trHeight w:val="159"/>
        </w:trPr>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340" w:type="dxa"/>
            <w:vAlign w:val="bottom"/>
          </w:tcPr>
          <w:p>
            <w:pPr>
              <w:spacing w:after="0"/>
              <w:rPr>
                <w:sz w:val="13"/>
                <w:szCs w:val="13"/>
                <w:color w:val="auto"/>
              </w:rPr>
            </w:pPr>
          </w:p>
        </w:tc>
        <w:tc>
          <w:tcPr>
            <w:tcW w:w="900" w:type="dxa"/>
            <w:vAlign w:val="bottom"/>
            <w:gridSpan w:val="2"/>
          </w:tcPr>
          <w:p>
            <w:pPr>
              <w:jc w:val="center"/>
              <w:ind w:right="780"/>
              <w:spacing w:after="0"/>
              <w:rPr>
                <w:sz w:val="20"/>
                <w:szCs w:val="20"/>
                <w:color w:val="auto"/>
              </w:rPr>
            </w:pPr>
            <w:r>
              <w:rPr>
                <w:rFonts w:ascii="Calibri" w:cs="Calibri" w:eastAsia="Calibri" w:hAnsi="Calibri"/>
                <w:sz w:val="12"/>
                <w:szCs w:val="12"/>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323"/>
              <w:spacing w:after="0"/>
              <w:rPr>
                <w:sz w:val="20"/>
                <w:szCs w:val="20"/>
                <w:color w:val="auto"/>
              </w:rPr>
            </w:pPr>
            <w:r>
              <w:rPr>
                <w:rFonts w:ascii="Calibri" w:cs="Calibri" w:eastAsia="Calibri" w:hAnsi="Calibri"/>
                <w:sz w:val="12"/>
                <w:szCs w:val="12"/>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26"/>
              <w:spacing w:after="0"/>
              <w:rPr>
                <w:sz w:val="20"/>
                <w:szCs w:val="20"/>
                <w:color w:val="auto"/>
              </w:rPr>
            </w:pPr>
            <w:r>
              <w:rPr>
                <w:rFonts w:ascii="Calibri" w:cs="Calibri" w:eastAsia="Calibri" w:hAnsi="Calibri"/>
                <w:sz w:val="12"/>
                <w:szCs w:val="12"/>
                <w:color w:val="auto"/>
                <w:w w:val="91"/>
              </w:rPr>
              <w:t>—</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jc w:val="center"/>
              <w:ind w:left="302"/>
              <w:spacing w:after="0"/>
              <w:rPr>
                <w:sz w:val="20"/>
                <w:szCs w:val="20"/>
                <w:color w:val="auto"/>
              </w:rPr>
            </w:pPr>
            <w:r>
              <w:rPr>
                <w:rFonts w:ascii="Calibri" w:cs="Calibri" w:eastAsia="Calibri" w:hAnsi="Calibri"/>
                <w:sz w:val="12"/>
                <w:szCs w:val="12"/>
                <w:color w:val="auto"/>
              </w:rPr>
              <w:t>—</w:t>
            </w:r>
          </w:p>
        </w:tc>
        <w:tc>
          <w:tcPr>
            <w:tcW w:w="380" w:type="dxa"/>
            <w:vAlign w:val="bottom"/>
          </w:tcPr>
          <w:p>
            <w:pPr>
              <w:spacing w:after="0"/>
              <w:rPr>
                <w:sz w:val="13"/>
                <w:szCs w:val="13"/>
                <w:color w:val="auto"/>
              </w:rPr>
            </w:pPr>
          </w:p>
        </w:tc>
      </w:tr>
      <w:tr>
        <w:trPr>
          <w:trHeight w:val="245"/>
        </w:trPr>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58"/>
        </w:trPr>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Total stock-based compensation expense consisted of the following (in thousands):</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123"/>
        </w:trPr>
        <w:tc>
          <w:tcPr>
            <w:tcW w:w="4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4"/>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0" w:type="dxa"/>
            <w:vAlign w:val="bottom"/>
            <w:gridSpan w:val="5"/>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Six-Month Periods Ended</w:t>
            </w:r>
          </w:p>
        </w:tc>
        <w:tc>
          <w:tcPr>
            <w:tcW w:w="380" w:type="dxa"/>
            <w:vAlign w:val="bottom"/>
          </w:tcPr>
          <w:p>
            <w:pPr>
              <w:spacing w:after="0"/>
              <w:rPr>
                <w:sz w:val="10"/>
                <w:szCs w:val="10"/>
                <w:color w:val="auto"/>
              </w:rPr>
            </w:pPr>
          </w:p>
        </w:tc>
      </w:tr>
      <w:tr>
        <w:trPr>
          <w:trHeight w:val="127"/>
        </w:trPr>
        <w:tc>
          <w:tcPr>
            <w:tcW w:w="4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963"/>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942"/>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80" w:type="dxa"/>
            <w:vAlign w:val="bottom"/>
            <w:tcBorders>
              <w:bottom w:val="single" w:sz="8" w:color="auto"/>
            </w:tcBorders>
          </w:tcPr>
          <w:p>
            <w:pPr>
              <w:spacing w:after="0"/>
              <w:rPr>
                <w:sz w:val="11"/>
                <w:szCs w:val="11"/>
                <w:color w:val="auto"/>
              </w:rPr>
            </w:pPr>
          </w:p>
        </w:tc>
      </w:tr>
      <w:tr>
        <w:trPr>
          <w:trHeight w:val="100"/>
        </w:trPr>
        <w:tc>
          <w:tcPr>
            <w:tcW w:w="4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2"/>
          </w:tcPr>
          <w:p>
            <w:pPr>
              <w:jc w:val="right"/>
              <w:ind w:right="60"/>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jc w:val="right"/>
              <w:ind w:right="203"/>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right"/>
              <w:ind w:right="2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right"/>
              <w:ind w:right="202"/>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Pr>
          <w:p>
            <w:pPr>
              <w:spacing w:after="0"/>
              <w:rPr>
                <w:sz w:val="8"/>
                <w:szCs w:val="8"/>
                <w:color w:val="auto"/>
              </w:rPr>
            </w:pPr>
          </w:p>
        </w:tc>
      </w:tr>
      <w:tr>
        <w:trPr>
          <w:trHeight w:val="118"/>
        </w:trPr>
        <w:tc>
          <w:tcPr>
            <w:tcW w:w="4560" w:type="dxa"/>
            <w:vAlign w:val="bottom"/>
            <w:tcBorders>
              <w:top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Cost of revenues</w:t>
            </w:r>
          </w:p>
        </w:tc>
        <w:tc>
          <w:tcPr>
            <w:tcW w:w="3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ind w:right="6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jc w:val="right"/>
              <w:ind w:right="11"/>
              <w:spacing w:after="0" w:line="118" w:lineRule="exact"/>
              <w:rPr>
                <w:sz w:val="20"/>
                <w:szCs w:val="20"/>
                <w:color w:val="auto"/>
              </w:rPr>
            </w:pPr>
            <w:r>
              <w:rPr>
                <w:rFonts w:ascii="Times New Roman" w:cs="Times New Roman" w:eastAsia="Times New Roman" w:hAnsi="Times New Roman"/>
                <w:sz w:val="12"/>
                <w:szCs w:val="12"/>
                <w:color w:val="auto"/>
              </w:rPr>
              <w:t>90</w:t>
            </w:r>
          </w:p>
        </w:tc>
        <w:tc>
          <w:tcPr>
            <w:tcW w:w="18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ind w:right="98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gridSpan w:val="2"/>
            <w:shd w:val="clear" w:color="auto" w:fill="CCEEFF"/>
          </w:tcPr>
          <w:p>
            <w:pPr>
              <w:jc w:val="right"/>
              <w:ind w:right="11"/>
              <w:spacing w:after="0" w:line="118" w:lineRule="exact"/>
              <w:rPr>
                <w:sz w:val="20"/>
                <w:szCs w:val="20"/>
                <w:color w:val="auto"/>
              </w:rPr>
            </w:pPr>
            <w:r>
              <w:rPr>
                <w:rFonts w:ascii="Times New Roman" w:cs="Times New Roman" w:eastAsia="Times New Roman" w:hAnsi="Times New Roman"/>
                <w:sz w:val="12"/>
                <w:szCs w:val="12"/>
                <w:color w:val="auto"/>
              </w:rPr>
              <w:t>180</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right"/>
              <w:ind w:right="962"/>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5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1"/>
              <w:spacing w:after="0" w:line="129" w:lineRule="exact"/>
              <w:rPr>
                <w:sz w:val="20"/>
                <w:szCs w:val="20"/>
                <w:color w:val="auto"/>
              </w:rPr>
            </w:pPr>
            <w:r>
              <w:rPr>
                <w:rFonts w:ascii="Times New Roman" w:cs="Times New Roman" w:eastAsia="Times New Roman" w:hAnsi="Times New Roman"/>
                <w:sz w:val="12"/>
                <w:szCs w:val="12"/>
                <w:color w:val="auto"/>
              </w:rPr>
              <w:t>496</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1,002</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gridSpan w:val="2"/>
          </w:tcPr>
          <w:p>
            <w:pPr>
              <w:jc w:val="right"/>
              <w:ind w:right="11"/>
              <w:spacing w:after="0" w:line="129" w:lineRule="exact"/>
              <w:rPr>
                <w:sz w:val="20"/>
                <w:szCs w:val="20"/>
                <w:color w:val="auto"/>
              </w:rPr>
            </w:pPr>
            <w:r>
              <w:rPr>
                <w:rFonts w:ascii="Times New Roman" w:cs="Times New Roman" w:eastAsia="Times New Roman" w:hAnsi="Times New Roman"/>
                <w:sz w:val="12"/>
                <w:szCs w:val="12"/>
                <w:color w:val="auto"/>
              </w:rPr>
              <w:t>953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4,168</w:t>
            </w:r>
          </w:p>
        </w:tc>
      </w:tr>
      <w:tr>
        <w:trPr>
          <w:trHeight w:val="129"/>
        </w:trPr>
        <w:tc>
          <w:tcPr>
            <w:tcW w:w="45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Sales and marketing</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1"/>
              <w:spacing w:after="0" w:line="129" w:lineRule="exact"/>
              <w:rPr>
                <w:sz w:val="20"/>
                <w:szCs w:val="20"/>
                <w:color w:val="auto"/>
              </w:rPr>
            </w:pPr>
            <w:r>
              <w:rPr>
                <w:rFonts w:ascii="Times New Roman" w:cs="Times New Roman" w:eastAsia="Times New Roman" w:hAnsi="Times New Roman"/>
                <w:sz w:val="12"/>
                <w:szCs w:val="12"/>
                <w:color w:val="auto"/>
              </w:rPr>
              <w:t>362</w:t>
            </w: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500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1"/>
              <w:spacing w:after="0" w:line="129" w:lineRule="exact"/>
              <w:rPr>
                <w:sz w:val="20"/>
                <w:szCs w:val="20"/>
                <w:color w:val="auto"/>
              </w:rPr>
            </w:pPr>
            <w:r>
              <w:rPr>
                <w:rFonts w:ascii="Times New Roman" w:cs="Times New Roman" w:eastAsia="Times New Roman" w:hAnsi="Times New Roman"/>
                <w:sz w:val="12"/>
                <w:szCs w:val="12"/>
                <w:color w:val="auto"/>
              </w:rPr>
              <w:t>816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2,261</w:t>
            </w:r>
          </w:p>
        </w:tc>
      </w:tr>
      <w:tr>
        <w:trPr>
          <w:trHeight w:val="129"/>
        </w:trPr>
        <w:tc>
          <w:tcPr>
            <w:tcW w:w="456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3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11"/>
              <w:spacing w:after="0" w:line="129" w:lineRule="exact"/>
              <w:rPr>
                <w:sz w:val="20"/>
                <w:szCs w:val="20"/>
                <w:color w:val="auto"/>
              </w:rPr>
            </w:pPr>
            <w:r>
              <w:rPr>
                <w:rFonts w:ascii="Times New Roman" w:cs="Times New Roman" w:eastAsia="Times New Roman" w:hAnsi="Times New Roman"/>
                <w:sz w:val="12"/>
                <w:szCs w:val="12"/>
                <w:color w:val="auto"/>
              </w:rPr>
              <w:t>765</w:t>
            </w:r>
          </w:p>
        </w:tc>
        <w:tc>
          <w:tcPr>
            <w:tcW w:w="1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946</w:t>
            </w:r>
          </w:p>
        </w:tc>
        <w:tc>
          <w:tcPr>
            <w:tcW w:w="1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1"/>
              <w:spacing w:after="0" w:line="129" w:lineRule="exact"/>
              <w:rPr>
                <w:sz w:val="20"/>
                <w:szCs w:val="20"/>
                <w:color w:val="auto"/>
              </w:rPr>
            </w:pPr>
            <w:r>
              <w:rPr>
                <w:rFonts w:ascii="Times New Roman" w:cs="Times New Roman" w:eastAsia="Times New Roman" w:hAnsi="Times New Roman"/>
                <w:sz w:val="12"/>
                <w:szCs w:val="12"/>
                <w:color w:val="auto"/>
              </w:rPr>
              <w:t>1,771</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2,984</w:t>
            </w:r>
          </w:p>
        </w:tc>
      </w:tr>
      <w:tr>
        <w:trPr>
          <w:trHeight w:val="126"/>
        </w:trPr>
        <w:tc>
          <w:tcPr>
            <w:tcW w:w="4560" w:type="dxa"/>
            <w:vAlign w:val="bottom"/>
            <w:tcBorders>
              <w:bottom w:val="single" w:sz="8" w:color="CCEEFF"/>
            </w:tcBorders>
            <w:gridSpan w:val="2"/>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3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6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gridSpan w:val="2"/>
            <w:shd w:val="clear" w:color="auto" w:fill="CCEEFF"/>
          </w:tcPr>
          <w:p>
            <w:pPr>
              <w:jc w:val="right"/>
              <w:ind w:right="11"/>
              <w:spacing w:after="0" w:line="118" w:lineRule="exact"/>
              <w:rPr>
                <w:sz w:val="20"/>
                <w:szCs w:val="20"/>
                <w:color w:val="auto"/>
              </w:rPr>
            </w:pPr>
            <w:r>
              <w:rPr>
                <w:rFonts w:ascii="Times New Roman" w:cs="Times New Roman" w:eastAsia="Times New Roman" w:hAnsi="Times New Roman"/>
                <w:sz w:val="12"/>
                <w:szCs w:val="12"/>
                <w:color w:val="auto"/>
              </w:rPr>
              <w:t>1,713</w:t>
            </w:r>
          </w:p>
        </w:tc>
        <w:tc>
          <w:tcPr>
            <w:tcW w:w="18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ind w:right="98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2,448</w:t>
            </w:r>
          </w:p>
        </w:tc>
        <w:tc>
          <w:tcPr>
            <w:tcW w:w="1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shd w:val="clear" w:color="auto" w:fill="CCEEFF"/>
          </w:tcPr>
          <w:p>
            <w:pPr>
              <w:jc w:val="right"/>
              <w:ind w:right="11"/>
              <w:spacing w:after="0" w:line="118" w:lineRule="exact"/>
              <w:rPr>
                <w:sz w:val="20"/>
                <w:szCs w:val="20"/>
                <w:color w:val="auto"/>
              </w:rPr>
            </w:pPr>
            <w:r>
              <w:rPr>
                <w:rFonts w:ascii="Times New Roman" w:cs="Times New Roman" w:eastAsia="Times New Roman" w:hAnsi="Times New Roman"/>
                <w:sz w:val="12"/>
                <w:szCs w:val="12"/>
                <w:color w:val="auto"/>
              </w:rPr>
              <w:t>3,720</w:t>
            </w:r>
          </w:p>
        </w:tc>
        <w:tc>
          <w:tcPr>
            <w:tcW w:w="1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962"/>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9,413</w:t>
            </w:r>
          </w:p>
        </w:tc>
      </w:tr>
    </w:tbl>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June 30, 2022, not all of the performance conditions of the performance options are probable to be achieved. Compensation expense has only been recognized for those conditions that are assumed to be probable.</w:t>
      </w:r>
    </w:p>
    <w:p>
      <w:pPr>
        <w:spacing w:after="0" w:line="129"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2"/>
          <w:szCs w:val="12"/>
          <w:color w:val="auto"/>
        </w:rPr>
        <w:t>In February 2021, the Compensation Committee approved of a modification to certain vesting conditions of outstanding Performance Options. The Company had not recognized any compensation expense in relation to these Performance Options as the performance condition was previously deemed to be improbable. However, upon modification those specific performance conditions are now deemed probable and fully vested. As such, during the three-month period ended March 31, 2021, the full expense in relation to the amended performance conditions was recognized resulting in $4.2 million of additional stock-compensation expense.</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Total stock-based compensation expense by type was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gridSpan w:val="3"/>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3"/>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Six-Month Periods Ended</w:t>
            </w:r>
          </w:p>
        </w:tc>
        <w:tc>
          <w:tcPr>
            <w:tcW w:w="920" w:type="dxa"/>
            <w:vAlign w:val="bottom"/>
          </w:tcPr>
          <w:p>
            <w:pPr>
              <w:spacing w:after="0"/>
              <w:rPr>
                <w:sz w:val="11"/>
                <w:szCs w:val="11"/>
                <w:color w:val="auto"/>
              </w:rPr>
            </w:pPr>
          </w:p>
        </w:tc>
      </w:tr>
      <w:tr>
        <w:trPr>
          <w:trHeight w:val="127"/>
        </w:trPr>
        <w:tc>
          <w:tcPr>
            <w:tcW w:w="49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920" w:type="dxa"/>
            <w:vAlign w:val="bottom"/>
            <w:tcBorders>
              <w:bottom w:val="single" w:sz="8" w:color="auto"/>
            </w:tcBorders>
          </w:tcPr>
          <w:p>
            <w:pPr>
              <w:spacing w:after="0"/>
              <w:rPr>
                <w:sz w:val="11"/>
                <w:szCs w:val="11"/>
                <w:color w:val="auto"/>
              </w:rPr>
            </w:pPr>
          </w:p>
        </w:tc>
      </w:tr>
      <w:tr>
        <w:trPr>
          <w:trHeight w:val="109"/>
        </w:trPr>
        <w:tc>
          <w:tcPr>
            <w:tcW w:w="4900" w:type="dxa"/>
            <w:vAlign w:val="bottom"/>
            <w:tcBorders>
              <w:bottom w:val="single" w:sz="8" w:color="CCEEFF"/>
            </w:tcBorders>
          </w:tcPr>
          <w:p>
            <w:pPr>
              <w:spacing w:after="0"/>
              <w:rPr>
                <w:sz w:val="9"/>
                <w:szCs w:val="9"/>
                <w:color w:val="auto"/>
              </w:rPr>
            </w:pPr>
          </w:p>
        </w:tc>
        <w:tc>
          <w:tcPr>
            <w:tcW w:w="900" w:type="dxa"/>
            <w:vAlign w:val="bottom"/>
            <w:tcBorders>
              <w:bottom w:val="single" w:sz="8" w:color="auto"/>
            </w:tcBorders>
          </w:tcPr>
          <w:p>
            <w:pPr>
              <w:jc w:val="right"/>
              <w:ind w:right="4"/>
              <w:spacing w:after="0" w:line="109" w:lineRule="exact"/>
              <w:rPr>
                <w:sz w:val="20"/>
                <w:szCs w:val="20"/>
                <w:color w:val="auto"/>
              </w:rPr>
            </w:pPr>
            <w:r>
              <w:rPr>
                <w:rFonts w:ascii="Times New Roman" w:cs="Times New Roman" w:eastAsia="Times New Roman" w:hAnsi="Times New Roman"/>
                <w:sz w:val="10"/>
                <w:szCs w:val="10"/>
                <w:b w:val="1"/>
                <w:bCs w:val="1"/>
                <w:color w:val="auto"/>
              </w:rPr>
              <w:t>2022</w:t>
            </w:r>
          </w:p>
        </w:tc>
        <w:tc>
          <w:tcPr>
            <w:tcW w:w="58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81"/>
              <w:spacing w:after="0" w:line="109"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ind w:right="584"/>
              <w:spacing w:after="0" w:line="109"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581"/>
              <w:spacing w:after="0" w:line="109"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4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Time-based options</w:t>
            </w:r>
          </w:p>
        </w:tc>
        <w:tc>
          <w:tcPr>
            <w:tcW w:w="900" w:type="dxa"/>
            <w:vAlign w:val="bottom"/>
            <w:shd w:val="clear" w:color="auto" w:fill="CCEEFF"/>
          </w:tcPr>
          <w:p>
            <w:pPr>
              <w:jc w:val="right"/>
              <w:ind w:right="7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1,445</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1,917</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3,252</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3,686</w:t>
            </w:r>
          </w:p>
        </w:tc>
      </w:tr>
      <w:tr>
        <w:trPr>
          <w:trHeight w:val="129"/>
        </w:trPr>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Performance options</w:t>
            </w:r>
          </w:p>
        </w:tc>
        <w:tc>
          <w:tcPr>
            <w:tcW w:w="900" w:type="dxa"/>
            <w:vAlign w:val="bottom"/>
          </w:tcPr>
          <w:p>
            <w:pPr>
              <w:spacing w:after="0"/>
              <w:rPr>
                <w:sz w:val="11"/>
                <w:szCs w:val="11"/>
                <w:color w:val="auto"/>
              </w:rPr>
            </w:pPr>
          </w:p>
        </w:tc>
        <w:tc>
          <w:tcPr>
            <w:tcW w:w="580" w:type="dxa"/>
            <w:vAlign w:val="bottom"/>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132</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387</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4"/>
              <w:spacing w:after="0" w:line="129" w:lineRule="exact"/>
              <w:rPr>
                <w:sz w:val="20"/>
                <w:szCs w:val="20"/>
                <w:color w:val="auto"/>
              </w:rPr>
            </w:pPr>
            <w:r>
              <w:rPr>
                <w:rFonts w:ascii="Times New Roman" w:cs="Times New Roman" w:eastAsia="Times New Roman" w:hAnsi="Times New Roman"/>
                <w:sz w:val="12"/>
                <w:szCs w:val="12"/>
                <w:color w:val="auto"/>
              </w:rPr>
              <w:t>215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5,528</w:t>
            </w:r>
          </w:p>
        </w:tc>
      </w:tr>
      <w:tr>
        <w:trPr>
          <w:trHeight w:val="129"/>
        </w:trPr>
        <w:tc>
          <w:tcPr>
            <w:tcW w:w="4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ESPP</w:t>
            </w:r>
          </w:p>
        </w:tc>
        <w:tc>
          <w:tcPr>
            <w:tcW w:w="9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136</w:t>
            </w:r>
          </w:p>
        </w:tc>
        <w:tc>
          <w:tcPr>
            <w:tcW w:w="1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144</w:t>
            </w:r>
          </w:p>
        </w:tc>
        <w:tc>
          <w:tcPr>
            <w:tcW w:w="1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4"/>
              <w:spacing w:after="0" w:line="129" w:lineRule="exact"/>
              <w:rPr>
                <w:sz w:val="20"/>
                <w:szCs w:val="20"/>
                <w:color w:val="auto"/>
              </w:rPr>
            </w:pPr>
            <w:r>
              <w:rPr>
                <w:rFonts w:ascii="Times New Roman" w:cs="Times New Roman" w:eastAsia="Times New Roman" w:hAnsi="Times New Roman"/>
                <w:sz w:val="12"/>
                <w:szCs w:val="12"/>
                <w:color w:val="auto"/>
              </w:rPr>
              <w:t>253</w:t>
            </w:r>
          </w:p>
        </w:tc>
        <w:tc>
          <w:tcPr>
            <w:tcW w:w="16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199</w:t>
            </w:r>
          </w:p>
        </w:tc>
      </w:tr>
      <w:tr>
        <w:trPr>
          <w:trHeight w:val="126"/>
        </w:trPr>
        <w:tc>
          <w:tcPr>
            <w:tcW w:w="490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900" w:type="dxa"/>
            <w:vAlign w:val="bottom"/>
            <w:tcBorders>
              <w:bottom w:val="single" w:sz="8" w:color="auto"/>
            </w:tcBorders>
          </w:tcPr>
          <w:p>
            <w:pPr>
              <w:jc w:val="right"/>
              <w:ind w:right="7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1,713</w:t>
            </w:r>
          </w:p>
        </w:tc>
        <w:tc>
          <w:tcPr>
            <w:tcW w:w="180" w:type="dxa"/>
            <w:vAlign w:val="bottom"/>
          </w:tcPr>
          <w:p>
            <w:pPr>
              <w:spacing w:after="0"/>
              <w:rPr>
                <w:sz w:val="10"/>
                <w:szCs w:val="10"/>
                <w:color w:val="auto"/>
              </w:rPr>
            </w:pPr>
          </w:p>
        </w:tc>
        <w:tc>
          <w:tcPr>
            <w:tcW w:w="580" w:type="dxa"/>
            <w:vAlign w:val="bottom"/>
            <w:tcBorders>
              <w:bottom w:val="single" w:sz="8" w:color="auto"/>
            </w:tcBorders>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2,448</w:t>
            </w:r>
          </w:p>
        </w:tc>
        <w:tc>
          <w:tcPr>
            <w:tcW w:w="180" w:type="dxa"/>
            <w:vAlign w:val="bottom"/>
          </w:tcPr>
          <w:p>
            <w:pPr>
              <w:spacing w:after="0"/>
              <w:rPr>
                <w:sz w:val="10"/>
                <w:szCs w:val="10"/>
                <w:color w:val="auto"/>
              </w:rPr>
            </w:pPr>
          </w:p>
        </w:tc>
        <w:tc>
          <w:tcPr>
            <w:tcW w:w="340" w:type="dxa"/>
            <w:vAlign w:val="bottom"/>
            <w:tcBorders>
              <w:bottom w:val="single" w:sz="8" w:color="auto"/>
            </w:tcBorders>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3,720</w:t>
            </w:r>
          </w:p>
        </w:tc>
        <w:tc>
          <w:tcPr>
            <w:tcW w:w="160" w:type="dxa"/>
            <w:vAlign w:val="bottom"/>
          </w:tcPr>
          <w:p>
            <w:pPr>
              <w:spacing w:after="0"/>
              <w:rPr>
                <w:sz w:val="10"/>
                <w:szCs w:val="10"/>
                <w:color w:val="auto"/>
              </w:rPr>
            </w:pPr>
          </w:p>
        </w:tc>
        <w:tc>
          <w:tcPr>
            <w:tcW w:w="540" w:type="dxa"/>
            <w:vAlign w:val="bottom"/>
            <w:tcBorders>
              <w:bottom w:val="single" w:sz="8" w:color="auto"/>
            </w:tcBorders>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9,413</w:t>
            </w:r>
          </w:p>
        </w:tc>
      </w:tr>
      <w:tr>
        <w:trPr>
          <w:trHeight w:val="488"/>
        </w:trPr>
        <w:tc>
          <w:tcPr>
            <w:tcW w:w="4900" w:type="dxa"/>
            <w:vAlign w:val="bottom"/>
          </w:tcPr>
          <w:p>
            <w:pPr>
              <w:spacing w:after="0"/>
              <w:rPr>
                <w:sz w:val="24"/>
                <w:szCs w:val="24"/>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17</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3"/>
        </w:trPr>
        <w:tc>
          <w:tcPr>
            <w:tcW w:w="49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7" w:name="page18"/>
    <w:bookmarkEnd w:id="17"/>
    <w:p>
      <w:pPr>
        <w:ind w:left="6"/>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7. Research Grants and Agreements</w:t>
      </w:r>
    </w:p>
    <w:p>
      <w:pPr>
        <w:spacing w:after="0" w:line="1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Sponsored Research Agreement</w:t>
      </w:r>
    </w:p>
    <w:p>
      <w:pPr>
        <w:spacing w:after="0" w:line="131" w:lineRule="exact"/>
        <w:rPr>
          <w:sz w:val="20"/>
          <w:szCs w:val="20"/>
          <w:color w:val="auto"/>
        </w:rPr>
      </w:pPr>
    </w:p>
    <w:p>
      <w:pPr>
        <w:jc w:val="both"/>
        <w:ind w:left="6" w:firstLine="336"/>
        <w:spacing w:after="0" w:line="236" w:lineRule="auto"/>
        <w:rPr>
          <w:sz w:val="20"/>
          <w:szCs w:val="20"/>
          <w:color w:val="auto"/>
        </w:rPr>
      </w:pPr>
      <w:r>
        <w:rPr>
          <w:rFonts w:ascii="Times New Roman" w:cs="Times New Roman" w:eastAsia="Times New Roman" w:hAnsi="Times New Roman"/>
          <w:sz w:val="12"/>
          <w:szCs w:val="12"/>
          <w:color w:val="auto"/>
        </w:rPr>
        <w:t>The Company may sponsor research activities (“SRAs”) performed by ODURF. ODURF is compensated by the Company for its conduct of each study in accordance with the budget and payment terms set forth in the applicable task order. In March 2021, the Company agreed to sponsor a task order in the amount of $0.3 million for research performed during the subsequent 12-month period to be funded through monthly payments to ODURF. In May 2021, the Company agreed to sponsor an additional task order in the amount of $0.3 million for research performed during the subsequent 12-month period. These SRAs are funded through monthly payments to ODURF. Payments will be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During each of the three-month periods ended June 30, 2022 and 2021, the Company incurred costs relating to the SRAs equal to $0.1 million, and during the six-month periods ended June 30, 2022 and 2021, the Company recorded costs relating to the SRAs equal to $0.2 million and $0.1 million, respectively. As of June 30, 2022, there no unbilled SRAs left under the task orders.</w:t>
      </w:r>
    </w:p>
    <w:p>
      <w:pPr>
        <w:spacing w:after="0" w:line="108" w:lineRule="exact"/>
        <w:rPr>
          <w:sz w:val="20"/>
          <w:szCs w:val="20"/>
          <w:color w:val="auto"/>
        </w:rPr>
      </w:pPr>
    </w:p>
    <w:p>
      <w:pPr>
        <w:ind w:left="306" w:right="9420" w:hanging="306"/>
        <w:spacing w:after="0" w:line="466" w:lineRule="auto"/>
        <w:tabs>
          <w:tab w:leader="none" w:pos="159"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Commitments and Contingencies </w:t>
      </w:r>
      <w:r>
        <w:rPr>
          <w:rFonts w:ascii="Times New Roman" w:cs="Times New Roman" w:eastAsia="Times New Roman" w:hAnsi="Times New Roman"/>
          <w:sz w:val="12"/>
          <w:szCs w:val="12"/>
          <w:b w:val="1"/>
          <w:bCs w:val="1"/>
          <w:i w:val="1"/>
          <w:iCs w:val="1"/>
          <w:color w:val="auto"/>
        </w:rPr>
        <w:t>Loan Agreement</w:t>
      </w:r>
    </w:p>
    <w:p>
      <w:pPr>
        <w:spacing w:after="0" w:line="1" w:lineRule="exact"/>
        <w:rPr>
          <w:sz w:val="20"/>
          <w:szCs w:val="20"/>
          <w:color w:val="auto"/>
        </w:rPr>
      </w:pPr>
    </w:p>
    <w:p>
      <w:pPr>
        <w:jc w:val="both"/>
        <w:ind w:left="6" w:firstLine="301"/>
        <w:spacing w:after="0"/>
        <w:rPr>
          <w:sz w:val="20"/>
          <w:szCs w:val="20"/>
          <w:color w:val="auto"/>
        </w:rPr>
      </w:pPr>
      <w:r>
        <w:rPr>
          <w:rFonts w:ascii="Times New Roman" w:cs="Times New Roman" w:eastAsia="Times New Roman" w:hAnsi="Times New Roman"/>
          <w:sz w:val="12"/>
          <w:szCs w:val="12"/>
          <w:color w:val="auto"/>
        </w:rPr>
        <w:t>On March 11, 2021, the Company and Robert W. Duggan, the Board Chairman, entered into a Loan Agreement in connection with Mr. Duggan lending the principal sum of $41.0 million to the Company. The Loan Agreement bore interest at a rate per annum equal to 5.0%, payable quarterly commencing on July 1, 2021. During the six-month period ended June 30, 2021, the Company recorded $0.6 million of interest expense in relation to this Loan Agreement. During the six-month period ended June 30, 2022, there was no interest expense recorded in relation to this Loan Agreement. In June 2021, the Loan Agreement was terminated and $41.0 million principal, together with approximately $0.6 million of accrued and unpaid interest, was fully settled via issuance of the Company’s common stock at a price per share of $16.40. Refer to Note 6 for additional details of the private placement sale.</w:t>
      </w:r>
    </w:p>
    <w:p>
      <w:pPr>
        <w:spacing w:after="0" w:line="230"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2"/>
          <w:szCs w:val="12"/>
          <w:b w:val="1"/>
          <w:bCs w:val="1"/>
          <w:i w:val="1"/>
          <w:iCs w:val="1"/>
          <w:color w:val="auto"/>
        </w:rPr>
        <w:t>Insurance Loan Agreement</w:t>
      </w:r>
    </w:p>
    <w:p>
      <w:pPr>
        <w:spacing w:after="0" w:line="150" w:lineRule="exact"/>
        <w:rPr>
          <w:sz w:val="20"/>
          <w:szCs w:val="20"/>
          <w:color w:val="auto"/>
        </w:rPr>
      </w:pPr>
    </w:p>
    <w:p>
      <w:pPr>
        <w:jc w:val="both"/>
        <w:ind w:left="6" w:right="20" w:firstLine="301"/>
        <w:spacing w:after="0" w:line="243" w:lineRule="auto"/>
        <w:rPr>
          <w:sz w:val="20"/>
          <w:szCs w:val="20"/>
          <w:color w:val="auto"/>
        </w:rPr>
      </w:pPr>
      <w:r>
        <w:rPr>
          <w:rFonts w:ascii="Times New Roman" w:cs="Times New Roman" w:eastAsia="Times New Roman" w:hAnsi="Times New Roman"/>
          <w:sz w:val="12"/>
          <w:szCs w:val="12"/>
          <w:color w:val="auto"/>
        </w:rPr>
        <w:t>On May 13, 2021, the Company secured its annual director and officer liability insurance policy. The total premiums for the policy were approximately $2.6 million, of which the Company made a down payment of $0.7 million and financed the balance of $1.9 million via an Insurance Loan Agreement. The Insurance Loan Agreement had an annual interest rate of 3.69% and required monthly payments through February 2022, upon which the Insurance Loan Agreement was paid in full. At June 30, 2022, there was no outstanding portion of this Insurance Loan Agreement recorded on the balance sheet.</w:t>
      </w:r>
    </w:p>
    <w:p>
      <w:pPr>
        <w:spacing w:after="0" w:line="95" w:lineRule="exact"/>
        <w:rPr>
          <w:sz w:val="20"/>
          <w:szCs w:val="20"/>
          <w:color w:val="auto"/>
        </w:rPr>
      </w:pPr>
    </w:p>
    <w:p>
      <w:pPr>
        <w:ind w:left="266"/>
        <w:spacing w:after="0"/>
        <w:rPr>
          <w:sz w:val="20"/>
          <w:szCs w:val="20"/>
          <w:color w:val="auto"/>
        </w:rPr>
      </w:pPr>
      <w:r>
        <w:rPr>
          <w:rFonts w:ascii="Times New Roman" w:cs="Times New Roman" w:eastAsia="Times New Roman" w:hAnsi="Times New Roman"/>
          <w:sz w:val="12"/>
          <w:szCs w:val="12"/>
          <w:b w:val="1"/>
          <w:bCs w:val="1"/>
          <w:i w:val="1"/>
          <w:iCs w:val="1"/>
          <w:color w:val="auto"/>
        </w:rPr>
        <w:t>Operating Leases</w:t>
      </w:r>
    </w:p>
    <w:p>
      <w:pPr>
        <w:spacing w:after="0" w:line="131"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2"/>
          <w:szCs w:val="12"/>
          <w:color w:val="auto"/>
        </w:rPr>
        <w:t>In January 2017, the Company entered into a five-year lease (the “Existing Lease”) for approximately 15,700 square feet for its corporate headquarters located in Hayward, California. The lease commenced in July 2017.</w:t>
      </w:r>
    </w:p>
    <w:p>
      <w:pPr>
        <w:spacing w:after="0" w:line="129" w:lineRule="exact"/>
        <w:rPr>
          <w:sz w:val="20"/>
          <w:szCs w:val="20"/>
          <w:color w:val="auto"/>
        </w:rPr>
      </w:pPr>
    </w:p>
    <w:p>
      <w:pPr>
        <w:jc w:val="both"/>
        <w:ind w:left="6" w:right="20" w:firstLine="301"/>
        <w:spacing w:after="0" w:line="261" w:lineRule="auto"/>
        <w:rPr>
          <w:sz w:val="20"/>
          <w:szCs w:val="20"/>
          <w:color w:val="auto"/>
        </w:rPr>
      </w:pPr>
      <w:r>
        <w:rPr>
          <w:rFonts w:ascii="Times New Roman" w:cs="Times New Roman" w:eastAsia="Times New Roman" w:hAnsi="Times New Roman"/>
          <w:sz w:val="12"/>
          <w:szCs w:val="12"/>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w:t>
      </w:r>
    </w:p>
    <w:p>
      <w:pPr>
        <w:spacing w:after="0" w:line="96" w:lineRule="exact"/>
        <w:rPr>
          <w:sz w:val="20"/>
          <w:szCs w:val="20"/>
          <w:color w:val="auto"/>
        </w:rPr>
      </w:pPr>
    </w:p>
    <w:p>
      <w:pPr>
        <w:jc w:val="both"/>
        <w:ind w:left="6" w:right="20" w:firstLine="301"/>
        <w:spacing w:after="0" w:line="242" w:lineRule="auto"/>
        <w:rPr>
          <w:sz w:val="20"/>
          <w:szCs w:val="20"/>
          <w:color w:val="auto"/>
        </w:rPr>
      </w:pPr>
      <w:r>
        <w:rPr>
          <w:rFonts w:ascii="Times New Roman" w:cs="Times New Roman" w:eastAsia="Times New Roman" w:hAnsi="Times New Roman"/>
          <w:sz w:val="12"/>
          <w:szCs w:val="12"/>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1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135890</wp:posOffset>
            </wp:positionV>
            <wp:extent cx="720153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6"/>
          </w:cols>
          <w:pgMar w:left="294" w:top="116"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38"/>
        </w:trPr>
        <w:tc>
          <w:tcPr>
            <w:tcW w:w="92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2"/>
                <w:szCs w:val="12"/>
                <w:b w:val="1"/>
                <w:bCs w:val="1"/>
                <w:color w:val="0563C1"/>
                <w:w w:val="98"/>
              </w:rPr>
              <w:t>Table of Contents</w:t>
            </w:r>
          </w:p>
        </w:tc>
        <w:tc>
          <w:tcPr>
            <w:tcW w:w="7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505"/>
        </w:trPr>
        <w:tc>
          <w:tcPr>
            <w:tcW w:w="88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Information related to the Company’s right-of-use assets and related lease liabilities are as follows (in thousands, except for remaining lease term and discount rate):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7"/>
        </w:trPr>
        <w:tc>
          <w:tcPr>
            <w:tcW w:w="8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9"/>
        </w:trPr>
        <w:tc>
          <w:tcPr>
            <w:tcW w:w="88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2022 (remaining 6 months)</w:t>
            </w:r>
          </w:p>
        </w:tc>
        <w:tc>
          <w:tcPr>
            <w:tcW w:w="1300" w:type="dxa"/>
            <w:vAlign w:val="bottom"/>
            <w:gridSpan w:val="2"/>
            <w:shd w:val="clear" w:color="auto" w:fill="CCEEFF"/>
          </w:tcPr>
          <w:p>
            <w:pPr>
              <w:jc w:val="right"/>
              <w:ind w:right="70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911</w:t>
            </w:r>
          </w:p>
        </w:tc>
      </w:tr>
      <w:tr>
        <w:trPr>
          <w:trHeight w:val="129"/>
        </w:trPr>
        <w:tc>
          <w:tcPr>
            <w:tcW w:w="9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2023</w:t>
            </w:r>
          </w:p>
        </w:tc>
        <w:tc>
          <w:tcPr>
            <w:tcW w:w="7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1,845</w:t>
            </w:r>
          </w:p>
        </w:tc>
      </w:tr>
      <w:tr>
        <w:trPr>
          <w:trHeight w:val="129"/>
        </w:trPr>
        <w:tc>
          <w:tcPr>
            <w:tcW w:w="9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2024</w:t>
            </w:r>
          </w:p>
        </w:tc>
        <w:tc>
          <w:tcPr>
            <w:tcW w:w="79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1,910</w:t>
            </w:r>
          </w:p>
        </w:tc>
      </w:tr>
      <w:tr>
        <w:trPr>
          <w:trHeight w:val="129"/>
        </w:trPr>
        <w:tc>
          <w:tcPr>
            <w:tcW w:w="9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2025</w:t>
            </w:r>
          </w:p>
        </w:tc>
        <w:tc>
          <w:tcPr>
            <w:tcW w:w="7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1,977</w:t>
            </w:r>
          </w:p>
        </w:tc>
      </w:tr>
      <w:tr>
        <w:trPr>
          <w:trHeight w:val="129"/>
        </w:trPr>
        <w:tc>
          <w:tcPr>
            <w:tcW w:w="9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2026</w:t>
            </w:r>
          </w:p>
        </w:tc>
        <w:tc>
          <w:tcPr>
            <w:tcW w:w="79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2,046</w:t>
            </w:r>
          </w:p>
        </w:tc>
      </w:tr>
      <w:tr>
        <w:trPr>
          <w:trHeight w:val="129"/>
        </w:trPr>
        <w:tc>
          <w:tcPr>
            <w:tcW w:w="8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2"/>
                <w:szCs w:val="12"/>
                <w:color w:val="auto"/>
              </w:rPr>
              <w:t>Thereafter</w:t>
            </w:r>
          </w:p>
        </w:tc>
        <w:tc>
          <w:tcPr>
            <w:tcW w:w="4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6,191</w:t>
            </w:r>
          </w:p>
        </w:tc>
      </w:tr>
      <w:tr>
        <w:trPr>
          <w:trHeight w:val="118"/>
        </w:trPr>
        <w:tc>
          <w:tcPr>
            <w:tcW w:w="888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lease payments</w:t>
            </w: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14,880</w:t>
            </w:r>
          </w:p>
        </w:tc>
      </w:tr>
      <w:tr>
        <w:trPr>
          <w:trHeight w:val="129"/>
        </w:trPr>
        <w:tc>
          <w:tcPr>
            <w:tcW w:w="88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2"/>
                <w:szCs w:val="12"/>
                <w:color w:val="auto"/>
              </w:rPr>
              <w:t>Less imputed interest</w:t>
            </w:r>
          </w:p>
        </w:tc>
        <w:tc>
          <w:tcPr>
            <w:tcW w:w="4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(4,435)</w:t>
            </w:r>
          </w:p>
        </w:tc>
      </w:tr>
      <w:tr>
        <w:trPr>
          <w:trHeight w:val="126"/>
        </w:trPr>
        <w:tc>
          <w:tcPr>
            <w:tcW w:w="888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lease liabilities</w:t>
            </w:r>
          </w:p>
        </w:tc>
        <w:tc>
          <w:tcPr>
            <w:tcW w:w="4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70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10,445</w:t>
            </w:r>
          </w:p>
        </w:tc>
      </w:tr>
    </w:tbl>
    <w:p>
      <w:pPr>
        <w:spacing w:after="0" w:line="133" w:lineRule="exact"/>
        <w:rPr>
          <w:sz w:val="20"/>
          <w:szCs w:val="20"/>
          <w:color w:val="auto"/>
        </w:rPr>
      </w:pPr>
    </w:p>
    <w:p>
      <w:pPr>
        <w:sectPr>
          <w:pgSz w:w="11900" w:h="16838" w:orient="portrait"/>
          <w:cols w:equalWidth="0" w:num="1">
            <w:col w:w="11300"/>
          </w:cols>
          <w:pgMar w:left="300" w:top="11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Other supplemental information:</w:t>
      </w:r>
    </w:p>
    <w:p>
      <w:pPr>
        <w:spacing w:after="0" w:line="236" w:lineRule="auto"/>
        <w:rPr>
          <w:sz w:val="20"/>
          <w:szCs w:val="20"/>
          <w:color w:val="auto"/>
        </w:rPr>
      </w:pPr>
      <w:r>
        <w:rPr>
          <w:rFonts w:ascii="Times New Roman" w:cs="Times New Roman" w:eastAsia="Times New Roman" w:hAnsi="Times New Roman"/>
          <w:sz w:val="12"/>
          <w:szCs w:val="12"/>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6135" cy="81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76135" cy="93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9334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2"/>
          <w:szCs w:val="12"/>
          <w:color w:val="auto"/>
        </w:rPr>
        <w:t>Total lease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paid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76135" cy="81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76135" cy="81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Weighted average discount rate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20" w:type="dxa"/>
            <w:vAlign w:val="bottom"/>
            <w:gridSpan w:val="2"/>
          </w:tcPr>
          <w:p>
            <w:pPr>
              <w:jc w:val="right"/>
              <w:ind w:right="73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w:t>
            </w:r>
          </w:p>
        </w:tc>
      </w:tr>
      <w:tr>
        <w:trPr>
          <w:trHeight w:val="151"/>
        </w:trPr>
        <w:tc>
          <w:tcPr>
            <w:tcW w:w="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9,618</w:t>
            </w:r>
          </w:p>
        </w:tc>
      </w:tr>
      <w:tr>
        <w:trPr>
          <w:trHeight w:val="126"/>
        </w:trPr>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10,445</w:t>
            </w:r>
          </w:p>
        </w:tc>
      </w:tr>
      <w:tr>
        <w:trPr>
          <w:trHeight w:val="266"/>
        </w:trPr>
        <w:tc>
          <w:tcPr>
            <w:tcW w:w="820" w:type="dxa"/>
            <w:vAlign w:val="bottom"/>
            <w:gridSpan w:val="2"/>
          </w:tcPr>
          <w:p>
            <w:pPr>
              <w:jc w:val="right"/>
              <w:ind w:right="73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w:t>
            </w: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bl>
    <w:p>
      <w:pPr>
        <w:spacing w:after="0" w:line="89" w:lineRule="exact"/>
        <w:rPr>
          <w:sz w:val="20"/>
          <w:szCs w:val="20"/>
          <w:color w:val="auto"/>
        </w:rPr>
      </w:pPr>
    </w:p>
    <w:p>
      <w:pPr>
        <w:sectPr>
          <w:pgSz w:w="11900" w:h="16838" w:orient="portrait"/>
          <w:cols w:equalWidth="0" w:num="2">
            <w:col w:w="8640" w:space="720"/>
            <w:col w:w="1940"/>
          </w:cols>
          <w:pgMar w:left="300" w:top="112" w:right="299" w:bottom="1440" w:gutter="0" w:footer="0" w:header="0"/>
          <w:type w:val="continuous"/>
        </w:sect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Rent expense, including common area maintenance charges, was $0.5 million for each of the three-month periods ended June 30, 2022 and 2021; and was approximately $1.0 million during the six-month periods ended June 30, 2022 and 2021, respectively.</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131"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78" w:lineRule="exact"/>
        <w:rPr>
          <w:sz w:val="20"/>
          <w:szCs w:val="20"/>
          <w:color w:val="auto"/>
        </w:rPr>
      </w:pPr>
    </w:p>
    <w:p>
      <w:pPr>
        <w:jc w:val="both"/>
        <w:ind w:right="20" w:firstLine="301"/>
        <w:spacing w:after="0" w:line="247" w:lineRule="auto"/>
        <w:rPr>
          <w:sz w:val="20"/>
          <w:szCs w:val="20"/>
          <w:color w:val="auto"/>
        </w:rPr>
      </w:pPr>
      <w:r>
        <w:rPr>
          <w:rFonts w:ascii="Times New Roman" w:cs="Times New Roman" w:eastAsia="Times New Roman" w:hAnsi="Times New Roman"/>
          <w:sz w:val="12"/>
          <w:szCs w:val="12"/>
          <w:color w:val="auto"/>
        </w:rPr>
        <w:t>From time to time, the Company may be involved in a variety of claims, lawsuits, investigations, and proceedings relating to securities laws, corporate governance, product liability and promotion, patent infringement, contract disputes, employment disputes, and other matters relating to various claims that arise in the normal course of the Company’s business, such as demands to inspect Company records and correspondence from the SEC and other government officials. The Company currently believes that these ordinary course matters are not material to the consolidated financial statements of the business; however, the results of litigation and claims are inherently unpredictable.</w:t>
      </w:r>
    </w:p>
    <w:p>
      <w:pPr>
        <w:spacing w:after="0" w:line="96"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In February 2022, a civil securities lawsuit was filed in the U.S. District Court for the Northern District of California against the Company and certain of its executive officers, following the Company’s announcement on February 8, 2022 that it had received an AI letter from the FDA indicating that the FDA did not believe the Company provided sufficient clinical evidence to support its 510(k) submission to add the treatment of sebaceous hyperplasia to the CellFX System’s current U.S. labeling, and the subsequent decline of the market price of the Company’s common stock. The lawsuit seeks class certification, unspecified damages, fees, costs, and expenses. Based upon currently available information, the Company believes the allegations in this case are without merit and will defend itself vigorously against them; however, litigation is inherently uncertain. The Company expects to file a motion to dismiss the case later this year, and an estimate of possible loss or range of loss, if any, cannot be made at this time.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Controlled Launch</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In February 2021, the Company received 510(k) clearance from the FDA for its proprietary CellFX System for dermatologic procedures requiring ablation and resurfacing of the skin. In January 2021, the Company received CE marking approval for the CellFX System, which allows for marketing of the system in the EU for treatment of general dermatologic conditions, including SH, SK, and cutaneous non-genital warts. Additionally, in June 2021 the Company received Health Canada approval for the CellFX System, which allows for marketing of the system in Canada for use in dermatological procedures requiring ablation and resurfacing of the skin for the reduction, removal, and/or clearance of cellular-based benign lesions. In February 2021, the Company commenced a controlled launch of the CellFX System in the United States and European Union via its CellFX Expectations Excelled Program (the “Controlled Launch”). Subsequent to receiving Health Canada approval in June 2021, the Company also commenced its Controlled Launch in Canada.</w:t>
      </w:r>
    </w:p>
    <w:p>
      <w:pPr>
        <w:spacing w:after="0" w:line="100"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As part of the Controlled Launch, the Company selected 70 physicians and their practices to be the first physician consultants to launch the CellFX System and the associated CellFX commercial procedures into their respective markets and geographies. According to the Controlled Launch program, the Company provides and sets up a CellFX System at each physician site and provides the physician with the necessary related products and components, free of charge, to complete the requirements of the Controlled Launch. Each CellFX System and any unused component products remain the property of the Company throughout the Controlled Launch. Each physician identifies and recruits up to 40 or 50 patients, depending on the contract, for participation in the Controlled Launch, performing a CellFX procedure on each of the appropriately selected patients. Under the Controlled Launch, the physician and their patients complete evaluation surveys about their experiences with the CellFX System and provide other information helpful to the Company. Upon completion of the procedures and the survey feedback, the physician earns either credits which can be used towards the future purchase of the CellFX System or, in some jurisdictions, fair payment for their time and effort completing the paperwork required under the Controlled Launch program. Credits earned and, if applicable, any other payments earned are limited to a maximum amount dependent on the number of surveys received by the Company. Upon completion of the Controlled Launch, each physician may choose to either enter into a purchase agreement with the Company, under which the physician may use the credits earned (or other payments earned, as applicable) towards the purchase of the already-delivered CellFX System, or the physician must return the CellFX System to the Company.</w:t>
      </w:r>
    </w:p>
    <w:p>
      <w:pPr>
        <w:spacing w:after="0" w:line="11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As patient procedures and surveys are completed under the Controlled Launch program, the Company accrues the value of the credits earned, which are recorded in accrued expenses, with a corresponding charge to sales and marketing expense. The Company recorded sales and marketing expense in relation to the Controlled Launch of $0.1 million and $0.4 million, for the three-month periods ended June 30, 2022 and 2021, respectively, and $0.6 million for each of the six-month periods ended June 30, 2022 and 2021.</w:t>
      </w:r>
    </w:p>
    <w:p>
      <w:pPr>
        <w:spacing w:after="0" w:line="102"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During the three- and six-month periods ended June 30, 2022, certain consultants completed the Controlled Launch and entered into purchase agreements with the Company, whereby they used their credits or other earned payments towards the purchase of a CellFX System. Accordingly, approximately $0.1 million and $0.4 million of the accrued liability related to the Controlled Launch was relieved and recognized as revenue on a non-cash basis as a result of these purchases during the three- and six-month periods ended June 30, 2022, respectively. See Note 10 for additional detail of revenue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Revenue</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This consideration may include non-cash services performed, as is the case with revenue recognized in connection with the Controlled Launch. Total revenue recognized for the three-month period ended June 30, 2022 was $0.3 million, of which approximately $0.1 million was driven by the redemption of non-cash credits earned as part of the Controlled Launch, with the balance of approximately $0.2 million driven by cash purchases of cycle units (“CUs”) and two CellFX commercial consoles. Total revenue recognized for the six-month period ended June 30, 2022 was $0.7 million, of which approximately $0.4 million was driven by the redemption of non-cash credits earned as part of the Controlled Launch, with the balance of approximately $0.3 million driven by cash purchases of CUs and three CellFX commercial consoles.</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Sales contracts often involve the sale and delivery of multiple performance obligations in the contract.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Performance Obligations</w:t>
      </w:r>
    </w:p>
    <w:p>
      <w:pPr>
        <w:spacing w:after="0" w:line="113"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Systems consist of the CellFX console and its embedded software, handpieces, and disposable tips. The console is a physical piece of hardware used by the customer to perform patient procedures. Individually the console and software are not distinct, therefore the Company combines the console and embedded software to form one distinct system performance obligation. Payment for systems is generally due prior to shipment, and the system performance obligation is satisfied upon shipment of the system to the customer.</w:t>
      </w:r>
    </w:p>
    <w:p>
      <w:pPr>
        <w:spacing w:after="0" w:line="92"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Handpieces are attached to the console and used in conjunction with tips to perform patient procedures. Generally, upon initial sale of a system to a customer, the Company will include two handpieces. The handpiece has a shorter expected useful life than the console, and a customer can purchase additional handpieces when needed, as they are available for sale on a stand-alone basis. Payment for handpieces is generally due prior to shipment, and handpieces represent a distinct performance obligation which is satisfied either upon shipment, or upon delivery of the handpiece to the customer, depending on the specific contract.</w:t>
      </w:r>
    </w:p>
    <w:p>
      <w:pPr>
        <w:spacing w:after="0" w:line="83"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represent a distinct performance obligation which is satisfied either upon shipment, or upon delivery of the tips to the customer, depending on the specific contract.</w:t>
      </w:r>
    </w:p>
    <w:p>
      <w:pPr>
        <w:spacing w:after="0" w:line="69"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CUs are credits that authorize the customer to perform a procedure, or cycle. Each procedure requires a specific number of CUs, dependent upon type of tip used and procedure level selected. As the procedure is performed, the applicable number of CUs are decremented. When the customer’s balance of CUs on a specific system is depleted, the system will no longer function until the customer purchases additional CUs. Customers can purchase additional CUs via the Company’s CellFX Marketplace which is an online marketplace accessible directly from the CellFX System. Payment for CUs is due upon order placement and the CUs are immediately available for download to the console via CellFX CloudConnect. CUs represent a distinct performance obligation which is satisfied when CUs are made available for customers to download from the Company’s CellFX CloudConnect, as customers can use purchased CUs at any time at their discretion, and the Company does not provide any ongoing service or other forms of involvement after the sale occurs.</w:t>
      </w:r>
    </w:p>
    <w:p>
      <w:pPr>
        <w:spacing w:after="0" w:line="100"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Shipping and handling activities are not considered to be a separate performance obligation. The Company’s standard commercial agreements generally include FOB shipping point terms. The Company has made an accounting policy election to account for shipping and handling costs as fulfillment costs because the shipping and handling activities occur after the customer obtains control of the product.</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Transaction Price</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transaction price is the consideration to which the Company expects to be entitled to in exchange for providing the promised goods to customers. Customer orders placed for cash contemplate a fixed amount of consideration. Customer orders placed by physicians participating in the Controlled Launch when they elect to purchase the CellFX System are paid for via conversion of accumulated earned credits for prior services provided by the physicians under the terms of their participation in the Controlled Launch. For these transactions, the transaction price includes noncash consideration. The services rendered by the physicians are accounted for separately from the subsequent sales of the CellFX Systems because they are distinct from the system sales. They are distinct because they provide the Company with treatment data that can also be procured, and historically has been procured by the Company, without the corresponding system sales. This data is used by the Company to enhance marketing and promotion of its products.</w:t>
      </w:r>
    </w:p>
    <w:p>
      <w:pPr>
        <w:spacing w:after="0" w:line="99"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Company evaluates the possible impact of variable consideration in determining the transaction price, in particular the possibility of future returns or credits. Sales agreements allow for a right of return only if the product does not conform to the agreed upon quality standards or if the product was shipped due to Company error. The Company anticipates such returns will be minimal and has made no adjustments to the transaction price for any estimated returns. The transaction price is determined at the time of the initial revenue recognition and updated each quarter for any changes in circumstances (e.g., changes in estimated return or credit rates).</w:t>
      </w:r>
    </w:p>
    <w:p>
      <w:pPr>
        <w:spacing w:after="0" w:line="83"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Company has made an accounting policy election to exclude from the measurement of the transaction price all taxes which are imposed on and concurrent with a specific revenue-producing transaction and collected by the entity from a customer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no impact to revenue recognition timing, and the Company has determined allocations are not necessary. Should the customer purchase additional CUs, handpieces, or tips at a later time, those purchases will be made under separate purchase agreements, with all promised goods generally transferred at the same time, therefore no price allocation is necessary in that scenario either.</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Controlled Launch Agreements</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 August 2021 the Company began to recognize revenue in relation to the conversion of Controlled Launch program participants into sales agreements (Note 9). These customers were already in possession of the system, handpiece, and tips. As such, upon execution of these purchase agreements, the Company recognized revenue on the agreements because control of all performance obligations were transferred at that time. These customers separately purchased CUs in order to operate the CellFX System and the revenue for these CUs was recognized when the CUs are made available for customers to download from the Company’s CellFX CloudConnect.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Segment Reporting</w:t>
      </w:r>
    </w:p>
    <w:p>
      <w:pPr>
        <w:spacing w:after="0" w:line="131"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 operates and manages the business as one reportable and operating segment. The Company’s Chief Executive Officer and Chief Financial Officer act as the chief operating decision makers (“CODM”) of the Company. The CODM reviews the results of the Company on a consolidated basis, however in making certain operating decisions and assessing performance, the CODM will additionally review the disaggregated revenue results by product and geography. Substantially all of the Company’s long-lived assets are based in the United States.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Revenue by product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gridSpan w:val="3"/>
          </w:tcPr>
          <w:p>
            <w:pPr>
              <w:jc w:val="center"/>
              <w:ind w:right="446"/>
              <w:spacing w:after="0"/>
              <w:rPr>
                <w:sz w:val="20"/>
                <w:szCs w:val="20"/>
                <w:color w:val="auto"/>
              </w:rPr>
            </w:pPr>
            <w:r>
              <w:rPr>
                <w:rFonts w:ascii="Times New Roman" w:cs="Times New Roman" w:eastAsia="Times New Roman" w:hAnsi="Times New Roman"/>
                <w:sz w:val="10"/>
                <w:szCs w:val="10"/>
                <w:b w:val="1"/>
                <w:bCs w:val="1"/>
                <w:color w:val="auto"/>
                <w:w w:val="97"/>
              </w:rPr>
              <w:t>Three-Month Periods Ended</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Six-Month Periods Ended</w:t>
            </w:r>
          </w:p>
        </w:tc>
        <w:tc>
          <w:tcPr>
            <w:tcW w:w="920" w:type="dxa"/>
            <w:vAlign w:val="bottom"/>
          </w:tcPr>
          <w:p>
            <w:pPr>
              <w:spacing w:after="0"/>
              <w:rPr>
                <w:sz w:val="10"/>
                <w:szCs w:val="10"/>
                <w:color w:val="auto"/>
              </w:rPr>
            </w:pPr>
          </w:p>
        </w:tc>
      </w:tr>
      <w:tr>
        <w:trPr>
          <w:trHeight w:val="127"/>
        </w:trPr>
        <w:tc>
          <w:tcPr>
            <w:tcW w:w="49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center"/>
              <w:ind w:right="44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920" w:type="dxa"/>
            <w:vAlign w:val="bottom"/>
            <w:tcBorders>
              <w:bottom w:val="single" w:sz="8" w:color="auto"/>
            </w:tcBorders>
          </w:tcPr>
          <w:p>
            <w:pPr>
              <w:spacing w:after="0"/>
              <w:rPr>
                <w:sz w:val="11"/>
                <w:szCs w:val="11"/>
                <w:color w:val="auto"/>
              </w:rPr>
            </w:pPr>
          </w:p>
        </w:tc>
      </w:tr>
      <w:tr>
        <w:trPr>
          <w:trHeight w:val="100"/>
        </w:trPr>
        <w:tc>
          <w:tcPr>
            <w:tcW w:w="49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ind w:right="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060" w:type="dxa"/>
            <w:vAlign w:val="bottom"/>
            <w:tcBorders>
              <w:bottom w:val="single" w:sz="8" w:color="auto"/>
            </w:tcBorders>
          </w:tcPr>
          <w:p>
            <w:pPr>
              <w:jc w:val="right"/>
              <w:ind w:right="166"/>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ind w:right="2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ind w:left="100"/>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4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Systems</w:t>
            </w:r>
          </w:p>
        </w:tc>
        <w:tc>
          <w:tcPr>
            <w:tcW w:w="900" w:type="dxa"/>
            <w:vAlign w:val="bottom"/>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209</w:t>
            </w: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94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ind w:left="2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576</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ind w:left="74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9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Cycle units</w:t>
            </w:r>
          </w:p>
        </w:tc>
        <w:tc>
          <w:tcPr>
            <w:tcW w:w="9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56</w:t>
            </w:r>
          </w:p>
        </w:tc>
        <w:tc>
          <w:tcPr>
            <w:tcW w:w="18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133</w:t>
            </w:r>
          </w:p>
        </w:tc>
        <w:tc>
          <w:tcPr>
            <w:tcW w:w="1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74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38"/>
        </w:trPr>
        <w:tc>
          <w:tcPr>
            <w:tcW w:w="4900" w:type="dxa"/>
            <w:vAlign w:val="bottom"/>
            <w:tcBorders>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consolidated revenue</w:t>
            </w:r>
          </w:p>
        </w:tc>
        <w:tc>
          <w:tcPr>
            <w:tcW w:w="900" w:type="dxa"/>
            <w:vAlign w:val="bottom"/>
            <w:tcBorders>
              <w:bottom w:val="single" w:sz="8" w:color="auto"/>
            </w:tcBorders>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265</w:t>
            </w:r>
          </w:p>
        </w:tc>
        <w:tc>
          <w:tcPr>
            <w:tcW w:w="1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94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ind w:left="2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709</w:t>
            </w: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ind w:left="74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245"/>
        </w:trPr>
        <w:tc>
          <w:tcPr>
            <w:tcW w:w="49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Revenue by geography consisted of the following (in thousands):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23"/>
        </w:trPr>
        <w:tc>
          <w:tcPr>
            <w:tcW w:w="4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gridSpan w:val="3"/>
          </w:tcPr>
          <w:p>
            <w:pPr>
              <w:jc w:val="center"/>
              <w:ind w:right="446"/>
              <w:spacing w:after="0"/>
              <w:rPr>
                <w:sz w:val="20"/>
                <w:szCs w:val="20"/>
                <w:color w:val="auto"/>
              </w:rPr>
            </w:pPr>
            <w:r>
              <w:rPr>
                <w:rFonts w:ascii="Times New Roman" w:cs="Times New Roman" w:eastAsia="Times New Roman" w:hAnsi="Times New Roman"/>
                <w:sz w:val="10"/>
                <w:szCs w:val="10"/>
                <w:b w:val="1"/>
                <w:bCs w:val="1"/>
                <w:color w:val="auto"/>
                <w:w w:val="97"/>
              </w:rPr>
              <w:t>Three-Month Periods Ended</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Six-Month Periods Ended</w:t>
            </w:r>
          </w:p>
        </w:tc>
        <w:tc>
          <w:tcPr>
            <w:tcW w:w="920" w:type="dxa"/>
            <w:vAlign w:val="bottom"/>
          </w:tcPr>
          <w:p>
            <w:pPr>
              <w:spacing w:after="0"/>
              <w:rPr>
                <w:sz w:val="10"/>
                <w:szCs w:val="10"/>
                <w:color w:val="auto"/>
              </w:rPr>
            </w:pPr>
          </w:p>
        </w:tc>
      </w:tr>
      <w:tr>
        <w:trPr>
          <w:trHeight w:val="127"/>
        </w:trPr>
        <w:tc>
          <w:tcPr>
            <w:tcW w:w="49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center"/>
              <w:ind w:right="44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920" w:type="dxa"/>
            <w:vAlign w:val="bottom"/>
            <w:tcBorders>
              <w:bottom w:val="single" w:sz="8" w:color="auto"/>
            </w:tcBorders>
          </w:tcPr>
          <w:p>
            <w:pPr>
              <w:spacing w:after="0"/>
              <w:rPr>
                <w:sz w:val="11"/>
                <w:szCs w:val="11"/>
                <w:color w:val="auto"/>
              </w:rPr>
            </w:pPr>
          </w:p>
        </w:tc>
      </w:tr>
      <w:tr>
        <w:trPr>
          <w:trHeight w:val="100"/>
        </w:trPr>
        <w:tc>
          <w:tcPr>
            <w:tcW w:w="49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ind w:right="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060" w:type="dxa"/>
            <w:vAlign w:val="bottom"/>
            <w:tcBorders>
              <w:bottom w:val="single" w:sz="8" w:color="auto"/>
            </w:tcBorders>
          </w:tcPr>
          <w:p>
            <w:pPr>
              <w:jc w:val="right"/>
              <w:ind w:right="166"/>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ind w:right="2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ind w:left="100"/>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4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North America</w:t>
            </w:r>
          </w:p>
        </w:tc>
        <w:tc>
          <w:tcPr>
            <w:tcW w:w="900" w:type="dxa"/>
            <w:vAlign w:val="bottom"/>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214</w:t>
            </w: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94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ind w:left="2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526</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ind w:left="74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9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Rest of World</w:t>
            </w:r>
          </w:p>
        </w:tc>
        <w:tc>
          <w:tcPr>
            <w:tcW w:w="9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51</w:t>
            </w:r>
          </w:p>
        </w:tc>
        <w:tc>
          <w:tcPr>
            <w:tcW w:w="18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183</w:t>
            </w:r>
          </w:p>
        </w:tc>
        <w:tc>
          <w:tcPr>
            <w:tcW w:w="1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74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4900" w:type="dxa"/>
            <w:vAlign w:val="bottom"/>
            <w:tcBorders>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consolidated revenue</w:t>
            </w:r>
          </w:p>
        </w:tc>
        <w:tc>
          <w:tcPr>
            <w:tcW w:w="900" w:type="dxa"/>
            <w:vAlign w:val="bottom"/>
            <w:tcBorders>
              <w:bottom w:val="single" w:sz="8" w:color="auto"/>
            </w:tcBorders>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265</w:t>
            </w:r>
          </w:p>
        </w:tc>
        <w:tc>
          <w:tcPr>
            <w:tcW w:w="1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94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ind w:left="2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ind w:right="78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color w:val="auto"/>
              </w:rPr>
              <w:t>709</w:t>
            </w:r>
          </w:p>
        </w:tc>
        <w:tc>
          <w:tcPr>
            <w:tcW w:w="1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ind w:left="740"/>
              <w:spacing w:after="0" w:line="118" w:lineRule="exact"/>
              <w:rPr>
                <w:sz w:val="20"/>
                <w:szCs w:val="20"/>
                <w:color w:val="auto"/>
              </w:rPr>
            </w:pPr>
            <w:r>
              <w:rPr>
                <w:rFonts w:ascii="Times New Roman" w:cs="Times New Roman" w:eastAsia="Times New Roman" w:hAnsi="Times New Roman"/>
                <w:sz w:val="12"/>
                <w:szCs w:val="12"/>
                <w:color w:val="auto"/>
              </w:rPr>
              <w:t>—</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Related Party Transactions</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On March 11, 2021, the Company and Robert W. Duggan, majority stockholder and Board Chairman, entered into a Loan Agreement in connection with Mr. Duggan lending the principal sum of $41.0 million to the Company (Note 8).</w:t>
      </w:r>
    </w:p>
    <w:p>
      <w:pPr>
        <w:spacing w:after="0" w:line="8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June 30, 2021, the Company and Mr. Duggan entered into a Securities Purchase Agreement (Note 6), pursuant to which the Company issued and sold to Mr. Duggan 3,048,780 shares of the Company’s common stock, par value $0.001 per share, in a Private Placement, at a price per share of $16.40, for an aggregate investment in the amount of $50.0 million. The shares were paid for through (i) the conversion of the $41 million aggregate principal amount under the Loan Agreement, together with all accrued and unpaid interest outstanding, owed to Mr. Duggan under the Loan Agreement by and between the Company and Mr. Duggan (Note 8),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right="20" w:firstLine="301"/>
        <w:spacing w:after="0" w:line="241" w:lineRule="auto"/>
        <w:rPr>
          <w:sz w:val="20"/>
          <w:szCs w:val="20"/>
          <w:color w:val="auto"/>
        </w:rPr>
      </w:pPr>
      <w:r>
        <w:rPr>
          <w:rFonts w:ascii="Times New Roman" w:cs="Times New Roman" w:eastAsia="Times New Roman" w:hAnsi="Times New Roman"/>
          <w:sz w:val="12"/>
          <w:szCs w:val="12"/>
          <w:color w:val="auto"/>
        </w:rPr>
        <w:t>In May 2022, the Company determined not to renew its annual director and officer liability insurance policy due to disproportionately high premiums quoted by insurance companies. Instead, on May 31, 2022, the Company and Robert W. Duggan, the Board Chairman, entered into a letter agreement (the “Letter Agreement”) pursuant to which Mr. Duggan has agreed with the Company to personally provide indemnity coverage for a one-year period, and he has agreed to deposit cash and/or marketable securities into a third-party escrow, as security for these obligations, if requested by the Company. The Company will pay a fee of $1.0 million to Mr. Duggan that shall be due on May 31, 2023, the last day of the one-year period, in consideration of the obligations set forth in the Letter Agreement. As of June 30, 2022, the amount owed to Mr. Duggan under the Letter Agreement was $0.1 million, recorded on the balance sheet under accrued expenses.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Restructuring Charges</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March 31, 2022, the Company initiated a plan to reduce its operating expenses, preserve financial resources, and focus its sales and marketing efforts on increasing utilization of CellFX Systems. The Company’s Board of Directors approved changes to the Company’s commercial leadership, restructuring of its commercial field organization and reductions in other personnel and expenses across the Company. The Company announced a reduction in force effective as of March 31, 2022. The affected employees were offered separation benefits, including severance payments along with temporary healthcare coverage assistance. The Company incurred a discrete restructuring related charge of $0.7 million which was fully recorded in March 2022 and the related expenses are included within total cost and expenses on the condensed consolidated statement of operations for the six-month period ended June 30, 2022. This charge represents the total expected amount to be incurred in connection with the activity. During the three-months ended June 30, 2022, the Company paid $0.5 million of this balance. The remaining balance of $0.2 million is recorded on the balance sheet under accrued expenses and expected to be paid throughout 2022.</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4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Special Note Regarding Forward-Looking Statements</w:t>
      </w:r>
    </w:p>
    <w:p>
      <w:pPr>
        <w:spacing w:after="0" w:line="1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investments, anticipated cash flows, our ability to finance operations from cash flows and similar matters, the impact of the recent COVID-19 coronavirus pandemic and related public health measures on our business,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Quarterly Report, actual results may differ from the projections.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Special Note Regarding Key Metrics</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i w:val="1"/>
          <w:iCs w:val="1"/>
          <w:color w:val="auto"/>
        </w:rPr>
        <w:t>We review a number of metrics, including weekly utilization rates, to evaluate our business, measure our performance, identify trends affecting our business, formulate business plans and make strategic decisions. See the section titled “Management’s Discussion and Analysis of Financial Condition and Results of Operations—Overview” for a discussion of how we calculate and use weekly utilization rates.</w:t>
      </w:r>
    </w:p>
    <w:p>
      <w:pPr>
        <w:spacing w:after="0" w:line="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i w:val="1"/>
          <w:iCs w:val="1"/>
          <w:color w:val="auto"/>
        </w:rPr>
        <w:t>Our calculation of these metrics is not based on any standardized industry methodology and is not necessarily calculated in the same manner or comparable to similarly titled measures presented by other companies. Similarly, our measures of utilization rates may differ from estimates published by third parties or from similarly-titled metrics in the medical device industry due to differences in methodology. While these numbers are based on what we believe to be reasonable estimates for the applicable period of measurement, there are inherent challenges in measuring usage and engagement by our commercial customers around the world.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are a novel bioelectric medicine company committed to health innovation using an entirely new and proprietary energy modality. The CellFX System is the first commercial product to harness the distinctive advantages of our proprietary Nano-Pulse Stimulation technology. The CellFX System delivers nanosecond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January 2021, we received CE marking approval for the CellFX System, which allows us to market the system in the European Union and, in June 2021, we received Health Canada approval for the CellFX System, which allows for marketing of the system in Canada. The CE mark and Health Canada approvals allow us to market the CellFX System for use in dermatological procedures requiring ablation and resurfacing of the skin for the reduction, removal, and/or clearance of cellular-based benign lesions, including SH, SK, and cutaneous non-genital warts. In February 2021, we received 510(k) clearance from the FDA for the CellFX System for dermatologic procedures requiring ablation and resurfacing of the skin.</w:t>
      </w:r>
    </w:p>
    <w:p>
      <w:pPr>
        <w:spacing w:after="0" w:line="10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February 2021, we initiated controlled launch programs in the United States and the European Union and in June 2021 we initiated a controlled launch program in Canada (collectively, our “Controlled Launch”). Under the Controlled Launch program, the physicians and their patients complete evaluation surveys about their experiences with the CellFX System and provide other information helpful to defining best practices for the introduction of the CellFX System into the clinic practice. A total of seventy clinics agreed to participate and were onboarded under the Controlled Launch program across the United States, Europe, and Canada. In August 2021, we began to convert Controlled Launch program participants into sales agreements, triggering revenue recognition. During the six-month period ended June 30, 2022, fourteen Controlled Launch program participants opted to purchase their CellFX System and ten clinics opted out of the program. As of June 30, 2022, a total of forty-three Controlled Launch program participants have opted to purchase their CellFX System and sixteen clinics have opted out of the program. An objective of the Controlled Launch program is to turn participating clinics into high utilization commercial customers that will serve as important reference clinics for future commercial customers.</w:t>
      </w:r>
    </w:p>
    <w:p>
      <w:pPr>
        <w:spacing w:after="0" w:line="110"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initially expected clinics to complete the program requirements within three to five months. However, the average time for clinics that have completed the Controlled Launch program has been seven months. We continue to gain valuable information from the Controlled Launch process. While the real-world delivery of NPS technology through the CellFX System has proven to clear benign lesions in clinical studies, we have learned that the market development for benign lesions and the integration of this procedure into the practice workflow will require a higher touch model to generate the system utilization we are expecting. We now expect clinics to continue to move through the program throughout 2022, as they complete the program requirements.</w:t>
      </w:r>
    </w:p>
    <w:p>
      <w:pPr>
        <w:spacing w:after="0" w:line="10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May 2022, we selected nine of our commercial clinics across the United States, the European Union and Canada to collaborate with on developing commercial best practices to demonstrate the clinical and economic value of a CellFX System completely integrated in a dermatology practice. Our goal for these clinics is to perform forty commercial sessions per month on a consistent basis. Once this initial group has achieved this level of utilization, we expect to have a blueprint for the necessary training, education, and marketing required and will be in a position to apply this blueprint to the rest of our commercial clinics and new clinic sales going forward. Until we achieve our utilization goals, we will have a reduced emphasis on CellFX System sales into new clinics. We will continue to develop and build our capital sales pipeline and believe that as we reach our utilization goals, we will be well positioned to begin focusing on capital sales.</w:t>
      </w:r>
    </w:p>
    <w:p>
      <w:pPr>
        <w:spacing w:after="0" w:line="108"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March 31, 2022, we initiated a plan to reduce our operating expenses, preserve financial resources, and focus our sales and marketing efforts on increasing utilization of CellFX Systems. As a result of this focus, we initiated operating expense reduction programs across the Company. Our Board of Directors approved changes to our commercial leadership, restructuring of our commercial field organization and reductions in other personnel and expenses. We announced a reduction in force effective as of March 31, 2022. The affected employees were offered separation benefits, including severance payments along with temporary healthcare coverage assistance. We incurred a discrete restructuring related charge of $0.7 million which was fully recorded in March 2022 and the related expenses are included within total cost and expenses on the condensed consolidated statement of operations for the six-month period ended June 30, 2022. See Note 4 for further details.</w:t>
      </w:r>
    </w:p>
    <w:p>
      <w:pPr>
        <w:spacing w:after="0" w:line="10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completed the commercial sale of three CellFX Systems in the six-month period ended June 30, 2022. The majority of our revenue for the three- and six-month periods ended June 30, 2022, was recognized on a non-cash basis when Controlled Launch program participants applied their earned credits towards the purchase of a CellFX System. See Note 9 for additional details of the Controlled Launch program and Note 10 for additional details of the revenue transactions.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are pursuing specific indications for the CellFX System in the United States similar to the regulatory clearances we have received in Europe and Canada, requiring additional 510(k) submissions, and likely based on comparative clinical data. In December 2021, we submitted a 510(k) to add the treatment of SH to the CellFX System’s indications for use in the United States. In February 2022 we received an AI letter from the FDA in response to the 510(k) submitted. In the AI letter, the FDA stated it did not believe the Company provided sufficient clinical evidence at this time to support the expanded indication for use, and that the Company had not met the primary endpoints of the SH FDA-approved IDE study. The Company met with the FDA at the end of April 2022 to gain clarification regarding the AI letter and to discuss the appropriate next steps. Following the meeting and at the FDA’s request, the Company provided additional analysis of the sebaceous hyperplasia comparative clinical data. The Company met with the FDA again in June 2022 to discuss the data. Following this meeting, the FDA requested further data which was provided in July 2022. The Company is expecting feedback from the FDA on the most recent data provided. The Company expects to continue to collaborate with the FDA to formally respond to the AI letter. Separately, in August 2022, the Company received 510(k) clearance from the FDA for expanded energy settings for use with the family of CellFX System treatment tips in dermatology. The expanded energy settings enables clinicians in the U.S. to provide more customized energy delivery specific to individual lesions.</w:t>
      </w:r>
    </w:p>
    <w:p>
      <w:pPr>
        <w:spacing w:after="0" w:line="108"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have incurred substantial operating losses and have used cash in our operating activities since inception. Based on our current operating plan, we believe we do not have sufficient cash and cash equivalents on hand to support current operations for the twelve months following the filing of this Quarterly Report. Therefore, to finance our ongoing operations, we will need to raise additional capital or enter into a revenue-generating collaboration, which cannot be assured. We plan to seek to raise capital from time to time through public or private equity offerings, debt financings, our at-the-market equity offering program, or to enter into collaborations with third parties, to fund our future operations.</w:t>
      </w:r>
    </w:p>
    <w:p>
      <w:pPr>
        <w:spacing w:after="0" w:line="107"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Over the past few years, Mr. Duggan has made significant investments in our Company to fund its operations. Mr. Duggan may or may not elect to participate in any number of our future fundraisings, as described above, and he may choose to invest more than his current pro rata share in any of these fundraisings, or alternatively he may offer to provide debt financing as may be needed in order to maintain the Company as a going concern.</w:t>
      </w:r>
    </w:p>
    <w:p>
      <w:pPr>
        <w:spacing w:after="0" w:line="96"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The source, timing and availability of any future financing will depend largely upon market conditions and perceived progress in the CellFX commercial program,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and capital markets, could have an adverse impact on potential sources of future financing.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Plan of Operation</w:t>
      </w:r>
    </w:p>
    <w:p>
      <w:pPr>
        <w:spacing w:after="0" w:line="122"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We plan to establish ourselves as a medical therapy company with a local, nonthermal, and drug-free treatment platform that initiates cell death in targeted tissue by a process of cell signaling. In order to accomplish this, we plan to:</w:t>
      </w:r>
    </w:p>
    <w:p>
      <w:pPr>
        <w:spacing w:after="0" w:line="87"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Improve our technology by continuing our research and product development efforts. We expect to develop interchangeable tissue applicators to target different tissue types that will leverage the novel characteristics of our NPS technology platform.</w:t>
      </w:r>
    </w:p>
    <w:p>
      <w:pPr>
        <w:spacing w:after="0" w:line="280" w:lineRule="exact"/>
        <w:rPr>
          <w:sz w:val="20"/>
          <w:szCs w:val="20"/>
          <w:color w:val="auto"/>
        </w:rPr>
      </w:pPr>
    </w:p>
    <w:p>
      <w:pPr>
        <w:ind w:left="440" w:right="20"/>
        <w:spacing w:after="0" w:line="277" w:lineRule="auto"/>
        <w:rPr>
          <w:sz w:val="20"/>
          <w:szCs w:val="20"/>
          <w:color w:val="auto"/>
        </w:rPr>
      </w:pPr>
      <w:r>
        <w:rPr>
          <w:rFonts w:ascii="Times New Roman" w:cs="Times New Roman" w:eastAsia="Times New Roman" w:hAnsi="Times New Roman"/>
          <w:sz w:val="12"/>
          <w:szCs w:val="12"/>
          <w:color w:val="auto"/>
        </w:rPr>
        <w:t>Further explore and understand the benefits of our NPS technology platform with the objectives of broadening the currently planned cosmetic and therapeutic applications, while also identifying new applications. We anticipate that results of our clinical studies will enable us to recognize certain unmet medical needs that may be addressed by our technology.</w:t>
      </w:r>
    </w:p>
    <w:p>
      <w:pPr>
        <w:spacing w:after="0" w:line="77" w:lineRule="exact"/>
        <w:rPr>
          <w:sz w:val="20"/>
          <w:szCs w:val="20"/>
          <w:color w:val="auto"/>
        </w:rPr>
      </w:pPr>
    </w:p>
    <w:p>
      <w:pPr>
        <w:ind w:left="440"/>
        <w:spacing w:after="0" w:line="277" w:lineRule="auto"/>
        <w:rPr>
          <w:sz w:val="20"/>
          <w:szCs w:val="20"/>
          <w:color w:val="auto"/>
        </w:rPr>
      </w:pPr>
      <w:r>
        <w:rPr>
          <w:rFonts w:ascii="Times New Roman" w:cs="Times New Roman" w:eastAsia="Times New Roman" w:hAnsi="Times New Roman"/>
          <w:sz w:val="12"/>
          <w:szCs w:val="12"/>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ind w:left="440"/>
        <w:spacing w:after="0" w:line="277" w:lineRule="auto"/>
        <w:rPr>
          <w:sz w:val="20"/>
          <w:szCs w:val="20"/>
          <w:color w:val="auto"/>
        </w:rPr>
      </w:pPr>
      <w:r>
        <w:rPr>
          <w:rFonts w:ascii="Times New Roman" w:cs="Times New Roman" w:eastAsia="Times New Roman" w:hAnsi="Times New Roman"/>
          <w:sz w:val="12"/>
          <w:szCs w:val="12"/>
          <w:color w:val="auto"/>
        </w:rPr>
        <w:t>Partner with medical or biomedical device companies for certain applications which we anticipate may accelerate product development and acceptance into target market areas and allow us to gain the sales and marketing advantages of one or more established distribution infrastructures.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COVID-19 Pandemic</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it is possible that delivery from some of our suppliers of certain materials used in the production of our product candidates could be delayed due to COVID-19 which could affect our ability to obtain sufficient materials for our product candidates. COVID-19 has adversely affected global economies and financial markets and will likely continue to do so, resulting in an economic downturn that could affect demand for our product candidates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38"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Our significant accounting policies and estimates are described in our Annual Report on Form 10-K for the year ended December 31, 2021. We continually evaluate the accounting policies and estimates used in preparing our consolidated financial statements. There have been no material changes to the Company’s significant accounting policies during the six-month period ended June 30, 2022, as compared to the significant accounting policies described in the Company’s Annual Report on Form 10-K for the year ended December 31, 2021.</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Valuation of Inventory</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Inventory is stated at lower of cost or net realizable value. We established the inventory basis by determining the cost based on standard costs approximating the purchase costs on a first-in, first-out basis. Net realizable value is the estimated selling price in the ordinary course of our business, less reasonably predictable costs of completion, disposal, and transportation. The cost basis of our inventory will be reduced for any products that are considered excessive or obsolete based upon assumptions about future demand and market conditions. At June 30, 2022, the balance of inventory is reduced by $0.2 million for excessive and obsolete inventory.</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Revenue from Contracts with Customers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recognize revenue at a point in time as we satisfy performance obligations by transferring control of promised goods to our customers. The amount of revenue recognized is equal to the consideration which we are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we sell these products on a stand-alone basis at a particular stand-alone selling price (“SSP”), initial customer contracts will likely involve the bundling of products which will be delivered concurrently to the customer and have the same pattern of transfer. In such instances, the full consideration of the contract will be recognized upon delivery of the products. We include a standard warranty on our products which provides assurances that the products comply with agreed-upon specifications.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Refer to “Recent Accounting Pronouncements” in Note 2 of Notes to Condensed Consolidated Financial Statements of this Quarterly Report.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and Geographical Information</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We operate and manage our business as one reportable and operating segment. Our CODM reviews financial information on an aggregate basis for purposes of allocating resources and evaluating financial performance. All of our long-lived assets are based in the United States. Refer to Note 11 of Notes to Condensed Consolidated Financial Statements of this Quarterly Report for disaggregated revenue results.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three-month periods ended June 30, 2022 and 2021</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operations as discussed herein are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80" w:type="dxa"/>
            <w:vAlign w:val="bottom"/>
            <w:gridSpan w:val="3"/>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48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8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2022</w:t>
            </w: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jc w:val="right"/>
              <w:ind w:right="580"/>
              <w:spacing w:after="0" w:line="82" w:lineRule="exact"/>
              <w:rPr>
                <w:sz w:val="20"/>
                <w:szCs w:val="20"/>
                <w:color w:val="auto"/>
              </w:rPr>
            </w:pPr>
            <w:r>
              <w:rPr>
                <w:rFonts w:ascii="Times New Roman" w:cs="Times New Roman" w:eastAsia="Times New Roman" w:hAnsi="Times New Roman"/>
                <w:sz w:val="9"/>
                <w:szCs w:val="9"/>
                <w:b w:val="1"/>
                <w:bCs w:val="1"/>
                <w:color w:val="auto"/>
              </w:rPr>
              <w:t>2021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80" w:type="dxa"/>
            <w:vAlign w:val="bottom"/>
            <w:tcBorders>
              <w:top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Revenues:</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Product revenues</w:t>
            </w:r>
          </w:p>
        </w:tc>
        <w:tc>
          <w:tcPr>
            <w:tcW w:w="2800" w:type="dxa"/>
            <w:vAlign w:val="bottom"/>
            <w:gridSpan w:val="2"/>
          </w:tcPr>
          <w:p>
            <w:pPr>
              <w:jc w:val="right"/>
              <w:ind w:right="224"/>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180" w:type="dxa"/>
            <w:vAlign w:val="bottom"/>
          </w:tcPr>
          <w:p>
            <w:pPr>
              <w:spacing w:after="0"/>
              <w:rPr>
                <w:sz w:val="12"/>
                <w:szCs w:val="12"/>
                <w:color w:val="auto"/>
              </w:rPr>
            </w:pPr>
          </w:p>
        </w:tc>
        <w:tc>
          <w:tcPr>
            <w:tcW w:w="58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0" w:type="dxa"/>
            <w:vAlign w:val="bottom"/>
          </w:tcPr>
          <w:p>
            <w:pPr>
              <w:spacing w:after="0"/>
              <w:rPr>
                <w:sz w:val="1"/>
                <w:szCs w:val="1"/>
                <w:color w:val="auto"/>
              </w:rPr>
            </w:pPr>
          </w:p>
        </w:tc>
      </w:tr>
      <w:tr>
        <w:trPr>
          <w:trHeight w:val="127"/>
        </w:trPr>
        <w:tc>
          <w:tcPr>
            <w:tcW w:w="4080" w:type="dxa"/>
            <w:vAlign w:val="bottom"/>
            <w:tcBorders>
              <w:top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revenues</w:t>
            </w:r>
          </w:p>
        </w:tc>
        <w:tc>
          <w:tcPr>
            <w:tcW w:w="24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265</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265</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Cost and expenses: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revenues</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1,344</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1,344</w:t>
            </w:r>
          </w:p>
        </w:tc>
        <w:tc>
          <w:tcPr>
            <w:tcW w:w="0" w:type="dxa"/>
            <w:vAlign w:val="bottom"/>
          </w:tcPr>
          <w:p>
            <w:pPr>
              <w:spacing w:after="0"/>
              <w:rPr>
                <w:sz w:val="1"/>
                <w:szCs w:val="1"/>
                <w:color w:val="auto"/>
              </w:rPr>
            </w:pPr>
          </w:p>
        </w:tc>
      </w:tr>
      <w:tr>
        <w:trPr>
          <w:trHeight w:val="138"/>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5,458</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Sales and marketing</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0" w:type="dxa"/>
            <w:vAlign w:val="bottom"/>
          </w:tcPr>
          <w:p>
            <w:pPr>
              <w:spacing w:after="0"/>
              <w:rPr>
                <w:sz w:val="1"/>
                <w:szCs w:val="1"/>
                <w:color w:val="auto"/>
              </w:rPr>
            </w:pPr>
          </w:p>
        </w:tc>
      </w:tr>
      <w:tr>
        <w:trPr>
          <w:trHeight w:val="138"/>
        </w:trPr>
        <w:tc>
          <w:tcPr>
            <w:tcW w:w="4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4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3,787</w:t>
            </w: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0" w:type="dxa"/>
            <w:vAlign w:val="bottom"/>
          </w:tcPr>
          <w:p>
            <w:pPr>
              <w:spacing w:after="0"/>
              <w:rPr>
                <w:sz w:val="1"/>
                <w:szCs w:val="1"/>
                <w:color w:val="auto"/>
              </w:rPr>
            </w:pPr>
          </w:p>
        </w:tc>
      </w:tr>
      <w:tr>
        <w:trPr>
          <w:trHeight w:val="127"/>
        </w:trPr>
        <w:tc>
          <w:tcPr>
            <w:tcW w:w="40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cost and expenses</w:t>
            </w:r>
          </w:p>
        </w:tc>
        <w:tc>
          <w:tcPr>
            <w:tcW w:w="24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14,279</w:t>
            </w:r>
          </w:p>
        </w:tc>
        <w:tc>
          <w:tcPr>
            <w:tcW w:w="1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14,806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(527)</w:t>
            </w:r>
          </w:p>
        </w:tc>
        <w:tc>
          <w:tcPr>
            <w:tcW w:w="0" w:type="dxa"/>
            <w:vAlign w:val="bottom"/>
          </w:tcPr>
          <w:p>
            <w:pPr>
              <w:spacing w:after="0"/>
              <w:rPr>
                <w:sz w:val="1"/>
                <w:szCs w:val="1"/>
                <w:color w:val="auto"/>
              </w:rPr>
            </w:pPr>
          </w:p>
        </w:tc>
      </w:tr>
      <w:tr>
        <w:trPr>
          <w:trHeight w:val="127"/>
        </w:trPr>
        <w:tc>
          <w:tcPr>
            <w:tcW w:w="40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Loss from operations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(14,014)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(14,806)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792</w:t>
            </w: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24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535</w:t>
            </w:r>
          </w:p>
        </w:tc>
        <w:tc>
          <w:tcPr>
            <w:tcW w:w="0" w:type="dxa"/>
            <w:vAlign w:val="bottom"/>
          </w:tcPr>
          <w:p>
            <w:pPr>
              <w:spacing w:after="0"/>
              <w:rPr>
                <w:sz w:val="1"/>
                <w:szCs w:val="1"/>
                <w:color w:val="auto"/>
              </w:rPr>
            </w:pPr>
          </w:p>
        </w:tc>
      </w:tr>
      <w:tr>
        <w:trPr>
          <w:trHeight w:val="127"/>
        </w:trPr>
        <w:tc>
          <w:tcPr>
            <w:tcW w:w="40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other income (expense)</w:t>
            </w:r>
          </w:p>
        </w:tc>
        <w:tc>
          <w:tcPr>
            <w:tcW w:w="24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18</w:t>
            </w:r>
          </w:p>
        </w:tc>
        <w:tc>
          <w:tcPr>
            <w:tcW w:w="1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(517)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535</w:t>
            </w:r>
          </w:p>
        </w:tc>
        <w:tc>
          <w:tcPr>
            <w:tcW w:w="0" w:type="dxa"/>
            <w:vAlign w:val="bottom"/>
          </w:tcPr>
          <w:p>
            <w:pPr>
              <w:spacing w:after="0"/>
              <w:rPr>
                <w:sz w:val="1"/>
                <w:szCs w:val="1"/>
                <w:color w:val="auto"/>
              </w:rPr>
            </w:pPr>
          </w:p>
        </w:tc>
      </w:tr>
      <w:tr>
        <w:trPr>
          <w:trHeight w:val="135"/>
        </w:trPr>
        <w:tc>
          <w:tcPr>
            <w:tcW w:w="40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Net loss</w:t>
            </w:r>
          </w:p>
        </w:tc>
        <w:tc>
          <w:tcPr>
            <w:tcW w:w="2460" w:type="dxa"/>
            <w:vAlign w:val="bottom"/>
          </w:tcPr>
          <w:p>
            <w:pPr>
              <w:spacing w:after="0"/>
              <w:rPr>
                <w:sz w:val="11"/>
                <w:szCs w:val="11"/>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(13,996)</w:t>
            </w:r>
          </w:p>
        </w:tc>
        <w:tc>
          <w:tcPr>
            <w:tcW w:w="180" w:type="dxa"/>
            <w:vAlign w:val="bottom"/>
          </w:tcPr>
          <w:p>
            <w:pPr>
              <w:spacing w:after="0"/>
              <w:rPr>
                <w:sz w:val="11"/>
                <w:szCs w:val="11"/>
                <w:color w:val="auto"/>
              </w:rPr>
            </w:pPr>
          </w:p>
        </w:tc>
        <w:tc>
          <w:tcPr>
            <w:tcW w:w="5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(15,323)</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1,327</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Revenues</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Revenues increased by $0.3 million to $0.3 million for the three-month period ended June 30, 2022, from zero during the same period in 2021 because we commenced sales agreement activity in August 2021 which triggered the recognition of 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Cost of Revenues</w:t>
      </w:r>
    </w:p>
    <w:p>
      <w:pPr>
        <w:spacing w:after="0" w:line="150"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Cost of revenues increased by $1.3 million to $1.3 million for the three-month period ended June 30, 2022, from zero during the same period in 2021. Prior to commercialization in August 2021, all uncapitalized manufacturing related overhead costs were recorded as research and development expenses. Upon commercialization, these costs are recorded as cost of revenue. Cost of revenue for the three-month period ended June 30, 2022 consisted primarily of the uncapitalized manufacturing related overhead costs for products assembled during the quarter. Substantially all of the inventory sold during the three-month period ended June 30, 2022, was previously reserved.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2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Prior to August 2021, research and development expense included uncapitalized manufacturing related overhead costs. Upon commercialization in August 2021, the Company began recording uncapitalized manufacturing related overhead costs as cost of revenues. Research and development expenses decreased by $2.0 million to $5.5 million for the three-month period ended June 30, 2022, from $7.5 million during the same period in 2021</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primarily due to decreases of $0.7 million in compensation and other employee related expenses, $0.7 million in paid services and external research, $0.5 million in stock-based compensation, and $0.4 million in supplies; partially offset by $0.4 million of reduced manufacturing absorption. During the three-month period ended June 30, 2021, the Company was recording uncapitalized manufacturing related overhead costs in research and development, whereas during the three-month period ended June 30, 2022, the balance recorded in research and development was zero.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122"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increased by $0.5 million to $3.7 million for the three-month period ended June 30, 2022, from $3.1 million during the same period in 2021 primarily due to $0.7 million of increased compensation and other employee related expenses related primarily due to increased headcount. This is offset by decreases of $0.1 million in stock-based compensation and $0.1 million in paid services and promotional activities, primarily related to non-cash Controlled Launch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$0.4 million to $3.8 million for the three-month period ended June 30, 2022, from $4.2 million during the same period in 2021 primarily due to decreases of $0.2 million in stock-based compensation, $0.1 million in insurance related costs, and $0.1 million of supplies.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p>
      <w:pPr>
        <w:spacing w:after="0" w:line="113"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Interest expense decreased by $0.5 million to zero for the three-month period ended June 30, 2022, from $0.5 million during the same period in 2021 primarily due to the interest associated with the Loan Agreement which was terminated in June 2021. Interest income was flat when comparing the three-month period ended June 30, 2022 to the same period in 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six-month periods ended June 30, 2022 and 2021</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operations as discussed herein are presented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3"/>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Six-Month Periods Ended</w:t>
            </w: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48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2022</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jc w:val="right"/>
              <w:ind w:right="580"/>
              <w:spacing w:after="0" w:line="82" w:lineRule="exact"/>
              <w:rPr>
                <w:sz w:val="20"/>
                <w:szCs w:val="20"/>
                <w:color w:val="auto"/>
              </w:rPr>
            </w:pPr>
            <w:r>
              <w:rPr>
                <w:rFonts w:ascii="Times New Roman" w:cs="Times New Roman" w:eastAsia="Times New Roman" w:hAnsi="Times New Roman"/>
                <w:sz w:val="9"/>
                <w:szCs w:val="9"/>
                <w:b w:val="1"/>
                <w:bCs w:val="1"/>
                <w:color w:val="auto"/>
              </w:rPr>
              <w:t>2021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08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Revenues:</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Product revenues</w:t>
            </w:r>
          </w:p>
        </w:tc>
        <w:tc>
          <w:tcPr>
            <w:tcW w:w="2800" w:type="dxa"/>
            <w:vAlign w:val="bottom"/>
            <w:gridSpan w:val="2"/>
          </w:tcPr>
          <w:p>
            <w:pPr>
              <w:jc w:val="right"/>
              <w:ind w:right="22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709</w:t>
            </w:r>
          </w:p>
        </w:tc>
        <w:tc>
          <w:tcPr>
            <w:tcW w:w="180" w:type="dxa"/>
            <w:vAlign w:val="bottom"/>
          </w:tcPr>
          <w:p>
            <w:pPr>
              <w:spacing w:after="0"/>
              <w:rPr>
                <w:sz w:val="11"/>
                <w:szCs w:val="11"/>
                <w:color w:val="auto"/>
              </w:rPr>
            </w:pPr>
          </w:p>
        </w:tc>
        <w:tc>
          <w:tcPr>
            <w:tcW w:w="540" w:type="dxa"/>
            <w:vAlign w:val="bottom"/>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709</w:t>
            </w:r>
          </w:p>
        </w:tc>
        <w:tc>
          <w:tcPr>
            <w:tcW w:w="0" w:type="dxa"/>
            <w:vAlign w:val="bottom"/>
          </w:tcPr>
          <w:p>
            <w:pPr>
              <w:spacing w:after="0"/>
              <w:rPr>
                <w:sz w:val="1"/>
                <w:szCs w:val="1"/>
                <w:color w:val="auto"/>
              </w:rPr>
            </w:pPr>
          </w:p>
        </w:tc>
      </w:tr>
      <w:tr>
        <w:trPr>
          <w:trHeight w:val="118"/>
        </w:trPr>
        <w:tc>
          <w:tcPr>
            <w:tcW w:w="4080" w:type="dxa"/>
            <w:vAlign w:val="bottom"/>
            <w:tcBorders>
              <w:top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revenues</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709</w:t>
            </w: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709</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Cost and expenses: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revenues</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2,253</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2,253</w:t>
            </w: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12,227</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16,522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(4,295)</w:t>
            </w: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Sales and marketing</w:t>
            </w:r>
          </w:p>
        </w:tc>
        <w:tc>
          <w:tcPr>
            <w:tcW w:w="2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9,231</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7,293</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1,938</w:t>
            </w:r>
          </w:p>
        </w:tc>
        <w:tc>
          <w:tcPr>
            <w:tcW w:w="0" w:type="dxa"/>
            <w:vAlign w:val="bottom"/>
          </w:tcPr>
          <w:p>
            <w:pPr>
              <w:spacing w:after="0"/>
              <w:rPr>
                <w:sz w:val="1"/>
                <w:szCs w:val="1"/>
                <w:color w:val="auto"/>
              </w:rPr>
            </w:pPr>
          </w:p>
        </w:tc>
      </w:tr>
      <w:tr>
        <w:trPr>
          <w:trHeight w:val="129"/>
        </w:trPr>
        <w:tc>
          <w:tcPr>
            <w:tcW w:w="4080" w:type="dxa"/>
            <w:vAlign w:val="bottom"/>
            <w:tcBorders>
              <w:bottom w:val="single" w:sz="8" w:color="CCEEFF"/>
            </w:tcBorders>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24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8,285</w:t>
            </w:r>
          </w:p>
        </w:tc>
        <w:tc>
          <w:tcPr>
            <w:tcW w:w="1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9,516</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(1,231)</w:t>
            </w:r>
          </w:p>
        </w:tc>
        <w:tc>
          <w:tcPr>
            <w:tcW w:w="0" w:type="dxa"/>
            <w:vAlign w:val="bottom"/>
          </w:tcPr>
          <w:p>
            <w:pPr>
              <w:spacing w:after="0"/>
              <w:rPr>
                <w:sz w:val="1"/>
                <w:szCs w:val="1"/>
                <w:color w:val="auto"/>
              </w:rPr>
            </w:pPr>
          </w:p>
        </w:tc>
      </w:tr>
      <w:tr>
        <w:trPr>
          <w:trHeight w:val="118"/>
        </w:trPr>
        <w:tc>
          <w:tcPr>
            <w:tcW w:w="408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cost and expenses</w:t>
            </w:r>
          </w:p>
        </w:tc>
        <w:tc>
          <w:tcPr>
            <w:tcW w:w="246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31,996</w:t>
            </w:r>
          </w:p>
        </w:tc>
        <w:tc>
          <w:tcPr>
            <w:tcW w:w="18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33,331</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(1,335)</w:t>
            </w:r>
          </w:p>
        </w:tc>
        <w:tc>
          <w:tcPr>
            <w:tcW w:w="0" w:type="dxa"/>
            <w:vAlign w:val="bottom"/>
          </w:tcPr>
          <w:p>
            <w:pPr>
              <w:spacing w:after="0"/>
              <w:rPr>
                <w:sz w:val="1"/>
                <w:szCs w:val="1"/>
                <w:color w:val="auto"/>
              </w:rPr>
            </w:pPr>
          </w:p>
        </w:tc>
      </w:tr>
      <w:tr>
        <w:trPr>
          <w:trHeight w:val="118"/>
        </w:trPr>
        <w:tc>
          <w:tcPr>
            <w:tcW w:w="408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Loss from operations</w:t>
            </w: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(31,287)</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(33,331)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2,044</w:t>
            </w: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income (expense):</w:t>
            </w:r>
          </w:p>
        </w:tc>
        <w:tc>
          <w:tcPr>
            <w:tcW w:w="2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Interest income (expense), net</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(631)</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649</w:t>
            </w:r>
          </w:p>
        </w:tc>
        <w:tc>
          <w:tcPr>
            <w:tcW w:w="0" w:type="dxa"/>
            <w:vAlign w:val="bottom"/>
          </w:tcPr>
          <w:p>
            <w:pPr>
              <w:spacing w:after="0"/>
              <w:rPr>
                <w:sz w:val="1"/>
                <w:szCs w:val="1"/>
                <w:color w:val="auto"/>
              </w:rPr>
            </w:pPr>
          </w:p>
        </w:tc>
      </w:tr>
      <w:tr>
        <w:trPr>
          <w:trHeight w:val="118"/>
        </w:trPr>
        <w:tc>
          <w:tcPr>
            <w:tcW w:w="4080" w:type="dxa"/>
            <w:vAlign w:val="bottom"/>
            <w:tcBorders>
              <w:top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other income (expense)</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w:t>
            </w: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(631)</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649</w:t>
            </w:r>
          </w:p>
        </w:tc>
        <w:tc>
          <w:tcPr>
            <w:tcW w:w="0" w:type="dxa"/>
            <w:vAlign w:val="bottom"/>
          </w:tcPr>
          <w:p>
            <w:pPr>
              <w:spacing w:after="0"/>
              <w:rPr>
                <w:sz w:val="1"/>
                <w:szCs w:val="1"/>
                <w:color w:val="auto"/>
              </w:rPr>
            </w:pPr>
          </w:p>
        </w:tc>
      </w:tr>
      <w:tr>
        <w:trPr>
          <w:trHeight w:val="126"/>
        </w:trPr>
        <w:tc>
          <w:tcPr>
            <w:tcW w:w="408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Net loss</w:t>
            </w:r>
          </w:p>
        </w:tc>
        <w:tc>
          <w:tcPr>
            <w:tcW w:w="2460" w:type="dxa"/>
            <w:vAlign w:val="bottom"/>
          </w:tcPr>
          <w:p>
            <w:pPr>
              <w:spacing w:after="0"/>
              <w:rPr>
                <w:sz w:val="10"/>
                <w:szCs w:val="10"/>
                <w:color w:val="auto"/>
              </w:rPr>
            </w:pPr>
          </w:p>
        </w:tc>
        <w:tc>
          <w:tcPr>
            <w:tcW w:w="340" w:type="dxa"/>
            <w:vAlign w:val="bottom"/>
            <w:tcBorders>
              <w:bottom w:val="single" w:sz="8" w:color="auto"/>
            </w:tcBorders>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(31,269)</w:t>
            </w:r>
          </w:p>
        </w:tc>
        <w:tc>
          <w:tcPr>
            <w:tcW w:w="180" w:type="dxa"/>
            <w:vAlign w:val="bottom"/>
          </w:tcPr>
          <w:p>
            <w:pPr>
              <w:spacing w:after="0"/>
              <w:rPr>
                <w:sz w:val="10"/>
                <w:szCs w:val="10"/>
                <w:color w:val="auto"/>
              </w:rPr>
            </w:pPr>
          </w:p>
        </w:tc>
        <w:tc>
          <w:tcPr>
            <w:tcW w:w="540" w:type="dxa"/>
            <w:vAlign w:val="bottom"/>
            <w:tcBorders>
              <w:bottom w:val="single" w:sz="8" w:color="auto"/>
            </w:tcBorders>
          </w:tcPr>
          <w:p>
            <w:pPr>
              <w:jc w:val="right"/>
              <w:ind w:right="4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(33,962)</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2,693</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Revenues</w:t>
      </w:r>
    </w:p>
    <w:p>
      <w:pPr>
        <w:spacing w:after="0" w:line="122"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Revenues increased by $0.7 million to $0.7 million for the six-month period ended June 30, 2022, from zero during the same period in 2021 because we commenced sales agreement activity in August 2021 which triggered the recognition of revenue.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Cost of Revenues</w:t>
      </w:r>
    </w:p>
    <w:p>
      <w:pPr>
        <w:spacing w:after="0" w:line="150"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Cost of revenues increased by $2.3 million to $2.3 million for the six-month period ended June 30, 2022, from zero during the same period in 2021. Prior to commercialization in August 2021, all uncapitalized manufacturing related overhead costs were recorded as research and development expenses. Upon commercialization, these costs are recorded as cost of revenue. Cost of revenue for the six-month period ended June 30, 2022 consisted primarily of the uncapitalized manufacturing related overhead costs for products assembled during the quarter. Substantially all of the inventory sold during the six-month period ended June 30, 2022, was previously reserved.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22"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Prior to August 2021, research and development expense included uncapitalized manufacturing related overhead costs. Upon commercialization in August 2021, the Company began recording uncapitalized manufacturing related overhead costs as cost of revenues. Research and development expenses decreased by $4.3 million to $12.2 million for the six-month period ended June 30, 2022, from $16.5 million during the same period in 2021 primarily due to decreases of $3.2 million in stock-based compensation, $0.9 million of paid services and external research driven by clinical trial fees, $0.4 million of compensation and other employee related expenses and $0.4 million of supplies. These decreases are partially offset by $0.7 million of reduced manufacturing absorption. During the six-month period ended June 30, 2021, the Company was recording uncapitalized manufacturing related overhead costs in research and development, whereas during the six-month period ended June 30, 2022, the balance recorded in research and development was zero.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increased by $1.9 million to $9.2 million for the six-month period ended June 30, 2022, from $7.3 million during the same period in 2021 primarily due to $2.3 million of increased compensation and other employee related expenses related primarily due to increased headcount, discrete restructuring related charge of $0.5 million, and $0.6 million of increased promotional activities. The increases were offset by decreases of $1.4 million in stock-based compensation and $0.2 million of non-cash Controlled Launch expenses. The increases in sales and marketing activities are attributable to our FDA clearance, CE marking approval, and Health Canada clearance as we commercialize our CellFX System.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$1.2 million to $8.3 million for the six-month period ended June 30, 2022, from $9.5 million during the same period in 2021 primarily due to $1.2 million of decreased stock-based compensation.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p>
      <w:pPr>
        <w:spacing w:after="0" w:line="131"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Interest expense decreased by $0.6 million to zero for the six-month period ended June 30, 2022, from $0.6 million during the same period in 2021 primarily due to the interest associated with the Loan Agreement which was terminated in June 2021. Interest income was flat when comparing the six-month period ended June 30, 2022 to the same period in 2021.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To date, we have not generated significant revenues from product sales. Since inception, we have funded our business primarily through the issuance of equity securities and debt. Over the next few years, we intend to invest in research and development to develop new applications for existing products and additional commercially viable products and to assess the feasibility of potential future products. Additionally, we expect that our general and administrative expenses will increase as we continue to incur incremental costs associated with being a public company and our sales and marketing expenses will increase as we continue to commercialize the CellFX System.</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six-month period ended June 30, 2022, we did not issue or sell any shares of common stock under the Sales Agreement. During the six-month period ended June 30, 2021, we issued and sold 288,490 shares of common stock under the Sales Agreement. The shares were sold at a weighted average price of $27.73 per share for aggregate net proceeds of approximately $7.4 million, after deducting sales commissions and offering costs payable by us.</w:t>
      </w:r>
    </w:p>
    <w:p>
      <w:pPr>
        <w:spacing w:after="0" w:line="109"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 March 2021 we entered into a Loan Agreement with Robert W. Duggan, our Board Chairman, in connection with Mr. Duggan lending the principal sum of $41.0 million to the Company. The Loan Agreement had a maturity date of June 11, 2022. Under the Loan Agreement, Mr. Duggan provided us, subject to certain conditions, an unsecured term loan facility in an original aggregate principal amount of $41.0 million. The Loan Agreement bore interest at a rate per annum equal to 5.0%, payable quarterly commencing on July 1, 2021. The Loan Agreement contained certain covenants and Events of Default.</w:t>
      </w:r>
    </w:p>
    <w:p>
      <w:pPr>
        <w:spacing w:after="0" w:line="106"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June 30, 2021, we entered into a Securities Purchase Agreement with Mr. Duggan, pursuant to which we issued and sold to Mr. Duggan 3,048,780 shares of our common stock, par value $0.001 per share, in a private placement, at a price per share of $16.40. The shares were paid for through (i) the conversion of the $41 million aggregate principal amount, together with all accrued and unpaid interest outstanding, pursuant to the Loan Agreement by and between us and Mr. Duggan (Note 8), and (ii) additional cash in the amount of approximately $8.4 million. Upon closing of this Private Placement and satisfaction of the outstanding debt, the Loan Agreement was terminated, without early termination fees or penalties being owed by us, and no additional amounts were owed to Mr. Duggan under the Loan Agreement. The cash proceeds of approximately $8.4 million were received by us in July 2021.</w:t>
      </w:r>
    </w:p>
    <w:p>
      <w:pPr>
        <w:spacing w:after="0" w:line="248"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On June 9, 2022, we completed the 2022 Rights Offering resulting in the sale of 7,317,072 Units, at a price of $2.05 per Unit, with each Unit consisting of one share of the Company’s common stock, par value $0.001 per share, and one warrant to purchase one share of common stock. 7,317,072 shares of common stock and warrants to acquire up to an additional 7,317,072 shares of common stock were issued in the 2022 Rights Offering. The Company received aggregate gross proceeds from the 2022 Rights Offering of $15 million. If exercised, additional gross proceeds of up to $15 million may be received through the exercise of warrants issued in the 2022 Rights Offering. Each warrant is exercisable for one share of the Company’s common stock at an exercise price equal to $2.05. Warrants are exercisable immediately and expire on the fifth anniversary of the closing of the 2022 Rights Offering.</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cash flows as discussed herein are presented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4"/>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rPr>
              <w:t>Six-Month Periods Ended</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7580" w:type="dxa"/>
            <w:vAlign w:val="bottom"/>
            <w:vMerge w:val="restart"/>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75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5"/>
              <w:spacing w:after="0" w:line="82" w:lineRule="exact"/>
              <w:rPr>
                <w:sz w:val="20"/>
                <w:szCs w:val="20"/>
                <w:color w:val="auto"/>
              </w:rPr>
            </w:pPr>
            <w:r>
              <w:rPr>
                <w:rFonts w:ascii="Times New Roman" w:cs="Times New Roman" w:eastAsia="Times New Roman" w:hAnsi="Times New Roman"/>
                <w:sz w:val="9"/>
                <w:szCs w:val="9"/>
                <w:b w:val="1"/>
                <w:bCs w:val="1"/>
                <w:color w:val="auto"/>
              </w:rPr>
              <w:t>2022</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2021</w:t>
            </w:r>
          </w:p>
        </w:tc>
        <w:tc>
          <w:tcPr>
            <w:tcW w:w="0" w:type="dxa"/>
            <w:vAlign w:val="bottom"/>
          </w:tcPr>
          <w:p>
            <w:pPr>
              <w:spacing w:after="0"/>
              <w:rPr>
                <w:sz w:val="1"/>
                <w:szCs w:val="1"/>
                <w:color w:val="auto"/>
              </w:rPr>
            </w:pPr>
          </w:p>
        </w:tc>
      </w:tr>
      <w:tr>
        <w:trPr>
          <w:trHeight w:val="117"/>
        </w:trPr>
        <w:tc>
          <w:tcPr>
            <w:tcW w:w="818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340" w:type="dxa"/>
            <w:vAlign w:val="bottom"/>
            <w:tcBorders>
              <w:top w:val="single" w:sz="8" w:color="auto"/>
            </w:tcBorders>
            <w:shd w:val="clear" w:color="auto" w:fill="CCEEFF"/>
          </w:tcPr>
          <w:p>
            <w:pPr>
              <w:jc w:val="right"/>
              <w:ind w:right="224"/>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(28,416)</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(28,053)</w:t>
            </w:r>
          </w:p>
        </w:tc>
        <w:tc>
          <w:tcPr>
            <w:tcW w:w="0" w:type="dxa"/>
            <w:vAlign w:val="bottom"/>
          </w:tcPr>
          <w:p>
            <w:pPr>
              <w:spacing w:after="0"/>
              <w:rPr>
                <w:sz w:val="1"/>
                <w:szCs w:val="1"/>
                <w:color w:val="auto"/>
              </w:rPr>
            </w:pPr>
          </w:p>
        </w:tc>
      </w:tr>
      <w:tr>
        <w:trPr>
          <w:trHeight w:val="129"/>
        </w:trPr>
        <w:tc>
          <w:tcPr>
            <w:tcW w:w="81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(298)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7,854</w:t>
            </w:r>
          </w:p>
        </w:tc>
        <w:tc>
          <w:tcPr>
            <w:tcW w:w="0" w:type="dxa"/>
            <w:vAlign w:val="bottom"/>
          </w:tcPr>
          <w:p>
            <w:pPr>
              <w:spacing w:after="0"/>
              <w:rPr>
                <w:sz w:val="1"/>
                <w:szCs w:val="1"/>
                <w:color w:val="auto"/>
              </w:rPr>
            </w:pPr>
          </w:p>
        </w:tc>
      </w:tr>
      <w:tr>
        <w:trPr>
          <w:trHeight w:val="129"/>
        </w:trPr>
        <w:tc>
          <w:tcPr>
            <w:tcW w:w="81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14,898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55,162</w:t>
            </w:r>
          </w:p>
        </w:tc>
        <w:tc>
          <w:tcPr>
            <w:tcW w:w="0" w:type="dxa"/>
            <w:vAlign w:val="bottom"/>
          </w:tcPr>
          <w:p>
            <w:pPr>
              <w:spacing w:after="0"/>
              <w:rPr>
                <w:sz w:val="1"/>
                <w:szCs w:val="1"/>
                <w:color w:val="auto"/>
              </w:rPr>
            </w:pPr>
          </w:p>
        </w:tc>
      </w:tr>
      <w:tr>
        <w:trPr>
          <w:trHeight w:val="126"/>
        </w:trPr>
        <w:tc>
          <w:tcPr>
            <w:tcW w:w="818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340" w:type="dxa"/>
            <w:vAlign w:val="bottom"/>
            <w:tcBorders>
              <w:bottom w:val="single" w:sz="8" w:color="auto"/>
            </w:tcBorders>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(13,816)</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34,963</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 xml:space="preserve">To date, we have generated limited revenue and used cash in our operating activities. As a result, we have incurred significant operating losses in each year since our inception and we may continue to incur additional losses for the next several years. As of June 30, 2022, the Company had an accumulated deficit of $267.5 million, cash outflows from operations of $28.4 million for the six months then ended, cash and cash equivalents of $14.8 million and a net loss of $31.3 million. These factors, combined with the Company’s forecast of cash required to fund operations for a period of at least twelve months from the date of issuance of the accompanying consolidated financial statements, raise substantial doubt under ASC 205-40, </w:t>
      </w:r>
      <w:r>
        <w:rPr>
          <w:rFonts w:ascii="Times New Roman" w:cs="Times New Roman" w:eastAsia="Times New Roman" w:hAnsi="Times New Roman"/>
          <w:sz w:val="12"/>
          <w:szCs w:val="12"/>
          <w:i w:val="1"/>
          <w:iCs w:val="1"/>
          <w:color w:val="auto"/>
        </w:rPr>
        <w:t>Presentation of Financial Statements – Going Concern</w:t>
      </w:r>
      <w:r>
        <w:rPr>
          <w:rFonts w:ascii="Times New Roman" w:cs="Times New Roman" w:eastAsia="Times New Roman" w:hAnsi="Times New Roman"/>
          <w:sz w:val="12"/>
          <w:szCs w:val="12"/>
          <w:color w:val="auto"/>
        </w:rPr>
        <w:t xml:space="preserve"> about the Company’s ability to continue as a going concern within one year after the issuance of these consolidated financial statements. We plan to raise additional capital in the future to fund our operations through public or private equity offerings, debt financings, or our at-the-market equity offering program, or by entering into revenue-generating collaborations. Mr. Duggan, our majority stockholder, may elect to participate in any number of our future financings, or alternatively he may offer to provide debt financing as may be needed in order to maintain the Company as a going concern. We can give no assurance, at this time, that additional financing or a collaboration will be available when needed on terms acceptable to us, however.</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and/or potential new collaborations. Such additional funds may not be available on terms acceptable to us or at all.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and capital markets, could have an adverse impact on potential sources of future financing.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primary uses of cash in operating activities are for ongoing product development and commercialization activities relating to our product and product candidates.</w:t>
      </w:r>
    </w:p>
    <w:p>
      <w:pPr>
        <w:spacing w:after="0" w:line="120"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During the six-month period ended June 30, 2022, we used cash in the amount of $28.4 million in operating activities. The difference between cash used in operating activities and net loss consisted primarily of stock-based compensation, depreciation and amortization, as well as increases in inventory and accounts payable.</w:t>
      </w:r>
    </w:p>
    <w:p>
      <w:pPr>
        <w:spacing w:after="0" w:line="69"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During the six-month period ended June 30, 2021, we used cash in the amount of $28.1 million in operating activities. The difference between cash used in operating activities and net loss consisted primarily of stock-based compensation, depreciation and amortization, as well as increases in inventory and prepaid and other current assets.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investing activities consist primarily of investment purchases, sales and maturities and capital expenditures.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During the six-month period ended June 30, 2022, $0.3 million of cash used in investing activities was driven by the purchase of property and equipment.</w:t>
      </w:r>
    </w:p>
    <w:p>
      <w:pPr>
        <w:spacing w:after="0" w:line="111"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During the six-month period ended June 30, 2021, $7.9 million of cash provided by investing activities was primarily from $8.0 million of cash proceeds from the maturities of investments, partially offset by the purchase of property and equipment.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During the six-month period ended June 30, 2022, cash provided by financing activities was $14.9 million, primarily due to $15.0 million of proceeds from the sale of common stock in our rights offering and $0.4 million from the sale of stock under our employee stock purchase plan, partially offset by payments made on the Insurance Loan Agreement.</w:t>
      </w:r>
    </w:p>
    <w:p>
      <w:pPr>
        <w:spacing w:after="0" w:line="87"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During the six-month period ended June 30, 2021, cash provided from financing activities was $55.2 million, primarily due to $41.0 million net cash received from our Loan Agreement, $7.4 million net cash received from our at-the-market equity offering, $4.9 million received from stock option and warrant exercises, and $0.4 million received from the sale of stock under our employee stock purchase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There have been no material changes outside the ordinary course of our business to the contractual obligations disclosed in our Annual Report on Form 10-K for the year ended December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At June 30, 2022, we did not have any transactions, obligations or relationships that constitute off-balance sheet arrangements.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98"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June 30,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Trends, Events and Uncertainties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commercialization of the CellFX System, including, but not limited to, additional financing through follow-on stock offerings, debt financings, or co-development agreements and /or other alternatives.</w:t>
      </w:r>
    </w:p>
    <w:p>
      <w:pPr>
        <w:spacing w:after="0" w:line="92"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96"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87"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13"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There have been no material changes in market risk from the information provided in our Annual Report on Form 10-K for the year ended December 31, 2021.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1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June 30, 2022,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13"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identified in connection with the evaluation required by Rule 13a-15(d) and 15d-15(d) of the Exchange Act, as amended, that occurred during the quarter ended June 30, 2022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Inherent Limitations on Effectiveness of Controls</w:t>
      </w:r>
    </w:p>
    <w:p>
      <w:pPr>
        <w:spacing w:after="0" w:line="122"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may not be detected.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w:t>
      </w:r>
    </w:p>
    <w:p>
      <w:pPr>
        <w:spacing w:after="0" w:line="9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In February 2022, a civil securities lawsuit was filed in the U.S. District Court for the Northern District of California against the Company and certain of its executive officers, following the Company’s announcement on February 8, 2022 that it had received an AI letter from the FDA indicating that the FDA did not believe the Company provided sufficient clinical evidence to support its 510(k) submission to add the treatment of sebaceous hyperplasia to the CellFX System’s current U.S. labeling, and the subsequent decline of the market price of the Company’s common stock. The lawsuit seeks class certification, unspecified damages, fees, costs, and expenses. Based upon currently available information, we believe the allegations in this case are without merit and we will defend vigorously against them. The Company expects to file a motion to dismiss the case later this year, and an estimate of possible loss or range of loss, if any, cannot be made at this time.</w:t>
      </w:r>
    </w:p>
    <w:p>
      <w:pPr>
        <w:spacing w:after="0" w:line="109"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results of legal proceedings and claims are inherently unpredictable. However, we do not believe any currently pending matters will have a material adverse effect on our business based on our current understanding of such matters.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29"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i w:val="1"/>
          <w:iCs w:val="1"/>
          <w:color w:val="auto"/>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96" w:lineRule="exact"/>
        <w:rPr>
          <w:sz w:val="20"/>
          <w:szCs w:val="20"/>
          <w:color w:val="auto"/>
        </w:rPr>
      </w:pPr>
    </w:p>
    <w:p>
      <w:pPr>
        <w:ind w:left="440" w:right="7120"/>
        <w:spacing w:after="0" w:line="464" w:lineRule="auto"/>
        <w:rPr>
          <w:sz w:val="20"/>
          <w:szCs w:val="20"/>
          <w:color w:val="auto"/>
        </w:rPr>
      </w:pPr>
      <w:r>
        <w:rPr>
          <w:rFonts w:ascii="Times New Roman" w:cs="Times New Roman" w:eastAsia="Times New Roman" w:hAnsi="Times New Roman"/>
          <w:sz w:val="12"/>
          <w:szCs w:val="12"/>
          <w:color w:val="auto"/>
        </w:rPr>
        <w:t>Our limited operating history and our limited revenue producing operations; Our inability to operate without additional fundraising;</w:t>
      </w:r>
    </w:p>
    <w:p>
      <w:pPr>
        <w:spacing w:after="0" w:line="1" w:lineRule="exact"/>
        <w:rPr>
          <w:sz w:val="20"/>
          <w:szCs w:val="20"/>
          <w:color w:val="auto"/>
        </w:rPr>
      </w:pPr>
    </w:p>
    <w:p>
      <w:pPr>
        <w:ind w:left="440" w:right="7600"/>
        <w:spacing w:after="0" w:line="456" w:lineRule="auto"/>
        <w:rPr>
          <w:sz w:val="20"/>
          <w:szCs w:val="20"/>
          <w:color w:val="auto"/>
        </w:rPr>
      </w:pPr>
      <w:r>
        <w:rPr>
          <w:rFonts w:ascii="Times New Roman" w:cs="Times New Roman" w:eastAsia="Times New Roman" w:hAnsi="Times New Roman"/>
          <w:sz w:val="12"/>
          <w:szCs w:val="12"/>
          <w:color w:val="auto"/>
        </w:rPr>
        <w:t>Substantial doubt about our ability to continue as a going concern; Competition within our industry;</w:t>
      </w:r>
    </w:p>
    <w:p>
      <w:pPr>
        <w:spacing w:after="0" w:line="1" w:lineRule="exact"/>
        <w:rPr>
          <w:sz w:val="20"/>
          <w:szCs w:val="20"/>
          <w:color w:val="auto"/>
        </w:rPr>
      </w:pPr>
    </w:p>
    <w:p>
      <w:pPr>
        <w:ind w:left="440" w:right="8000"/>
        <w:spacing w:after="0" w:line="464" w:lineRule="auto"/>
        <w:rPr>
          <w:sz w:val="20"/>
          <w:szCs w:val="20"/>
          <w:color w:val="auto"/>
        </w:rPr>
      </w:pPr>
      <w:r>
        <w:rPr>
          <w:rFonts w:ascii="Times New Roman" w:cs="Times New Roman" w:eastAsia="Times New Roman" w:hAnsi="Times New Roman"/>
          <w:sz w:val="12"/>
          <w:szCs w:val="12"/>
          <w:color w:val="auto"/>
        </w:rPr>
        <w:t>Health epidemics, including the coronavirus pandemic; Our reliance on certain third parties such as key suppliers; Potential loss of key management personnel;</w:t>
      </w:r>
    </w:p>
    <w:p>
      <w:pPr>
        <w:spacing w:after="0" w:line="1" w:lineRule="exact"/>
        <w:rPr>
          <w:sz w:val="20"/>
          <w:szCs w:val="20"/>
          <w:color w:val="auto"/>
        </w:rPr>
      </w:pPr>
    </w:p>
    <w:p>
      <w:pPr>
        <w:ind w:left="440" w:right="3420"/>
        <w:spacing w:after="0" w:line="456" w:lineRule="auto"/>
        <w:rPr>
          <w:sz w:val="20"/>
          <w:szCs w:val="20"/>
          <w:color w:val="auto"/>
        </w:rPr>
      </w:pPr>
      <w:r>
        <w:rPr>
          <w:rFonts w:ascii="Times New Roman" w:cs="Times New Roman" w:eastAsia="Times New Roman" w:hAnsi="Times New Roman"/>
          <w:sz w:val="12"/>
          <w:szCs w:val="12"/>
          <w:color w:val="auto"/>
        </w:rPr>
        <w:t>Potential security breaches, loss of data, and other disruptions to us or to our third-party service providers that could compromise sensitive information; Potential product liability lawsuits and other litigation;</w:t>
      </w:r>
    </w:p>
    <w:p>
      <w:pPr>
        <w:spacing w:after="0" w:line="1" w:lineRule="exact"/>
        <w:rPr>
          <w:sz w:val="20"/>
          <w:szCs w:val="20"/>
          <w:color w:val="auto"/>
        </w:rPr>
      </w:pPr>
    </w:p>
    <w:p>
      <w:pPr>
        <w:ind w:left="440" w:right="6320"/>
        <w:spacing w:after="0" w:line="464" w:lineRule="auto"/>
        <w:rPr>
          <w:sz w:val="20"/>
          <w:szCs w:val="20"/>
          <w:color w:val="auto"/>
        </w:rPr>
      </w:pPr>
      <w:r>
        <w:rPr>
          <w:rFonts w:ascii="Times New Roman" w:cs="Times New Roman" w:eastAsia="Times New Roman" w:hAnsi="Times New Roman"/>
          <w:sz w:val="12"/>
          <w:szCs w:val="12"/>
          <w:color w:val="auto"/>
        </w:rPr>
        <w:t>The timing, unpredictability, and expense of our clinical and product development activities; The possibility of adverse trial results and unfavorable long-term trial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Potential failure to obtain and maintain necessary regulatory clearances or approvals;</w:t>
      </w:r>
    </w:p>
    <w:p>
      <w:pPr>
        <w:spacing w:after="0" w:line="120" w:lineRule="exact"/>
        <w:rPr>
          <w:sz w:val="20"/>
          <w:szCs w:val="20"/>
          <w:color w:val="auto"/>
        </w:rPr>
      </w:pPr>
    </w:p>
    <w:p>
      <w:pPr>
        <w:ind w:left="440" w:right="3380"/>
        <w:spacing w:after="0" w:line="277" w:lineRule="auto"/>
        <w:rPr>
          <w:sz w:val="20"/>
          <w:szCs w:val="20"/>
          <w:color w:val="auto"/>
        </w:rPr>
      </w:pPr>
      <w:r>
        <w:rPr>
          <w:rFonts w:ascii="Times New Roman" w:cs="Times New Roman" w:eastAsia="Times New Roman" w:hAnsi="Times New Roman"/>
          <w:sz w:val="12"/>
          <w:szCs w:val="12"/>
          <w:color w:val="auto"/>
        </w:rPr>
        <w:t>Uncertainties concerning the long-term safety and effectiveness of our CellFX System and product candidates, and the potential for adverse side effects; The commercial uncertainties concerning whether there will be broad adoption of our CellFX System and NPS technology;</w:t>
      </w:r>
    </w:p>
    <w:p>
      <w:pPr>
        <w:spacing w:after="0" w:line="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Possible challenges enrolling patients in our clinical trials;</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Uncertainties concerning our ability to obtain an adequate level of reimbursement by Medicare and other third-party payers;</w:t>
      </w:r>
    </w:p>
    <w:p>
      <w:pPr>
        <w:spacing w:after="0" w:line="129" w:lineRule="exact"/>
        <w:rPr>
          <w:sz w:val="20"/>
          <w:szCs w:val="20"/>
          <w:color w:val="auto"/>
        </w:rPr>
      </w:pPr>
    </w:p>
    <w:p>
      <w:pPr>
        <w:ind w:left="440" w:right="3960"/>
        <w:spacing w:after="0" w:line="464" w:lineRule="auto"/>
        <w:rPr>
          <w:sz w:val="20"/>
          <w:szCs w:val="20"/>
          <w:color w:val="auto"/>
        </w:rPr>
      </w:pPr>
      <w:r>
        <w:rPr>
          <w:rFonts w:ascii="Times New Roman" w:cs="Times New Roman" w:eastAsia="Times New Roman" w:hAnsi="Times New Roman"/>
          <w:sz w:val="12"/>
          <w:szCs w:val="12"/>
          <w:color w:val="auto"/>
        </w:rPr>
        <w:t>Protection of intellectual property, potential litigation related to intellectual property, and obligations under intellectual property agreements; Stringent domestic and foreign regulation in respect of any potential devices and products, including healthcare laws and regulations;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Healthcare policy changes;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Volatility of the price of our common stock;</w:t>
      </w:r>
    </w:p>
    <w:p>
      <w:pPr>
        <w:spacing w:after="0" w:line="120" w:lineRule="exact"/>
        <w:rPr>
          <w:sz w:val="20"/>
          <w:szCs w:val="20"/>
          <w:color w:val="auto"/>
        </w:rPr>
      </w:pPr>
    </w:p>
    <w:p>
      <w:pPr>
        <w:ind w:left="440" w:right="6000"/>
        <w:spacing w:after="0" w:line="464" w:lineRule="auto"/>
        <w:rPr>
          <w:sz w:val="20"/>
          <w:szCs w:val="20"/>
          <w:color w:val="auto"/>
        </w:rPr>
      </w:pPr>
      <w:r>
        <w:rPr>
          <w:rFonts w:ascii="Times New Roman" w:cs="Times New Roman" w:eastAsia="Times New Roman" w:hAnsi="Times New Roman"/>
          <w:sz w:val="12"/>
          <w:szCs w:val="12"/>
          <w:color w:val="auto"/>
        </w:rPr>
        <w:t>Concentration of ownership by our principal stockholder and Board Chairman, Robert W. Duggan; Unfavorable global economic or political conditions; and</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Potential material weaknesses and uncertainties concerning our ability to maintain an effective system of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Business, Industry and Financial Condition</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Because we have a limited operating history and have recently commenced revenue producing operations, it is difficult to evaluate the future of our business</w:t>
      </w:r>
      <w:r>
        <w:rPr>
          <w:rFonts w:ascii="Times New Roman" w:cs="Times New Roman" w:eastAsia="Times New Roman" w:hAnsi="Times New Roman"/>
          <w:sz w:val="12"/>
          <w:szCs w:val="12"/>
          <w:color w:val="auto"/>
        </w:rPr>
        <w:t>.</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are a bioelectric medicine technology company and have recently commenced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currently have very limited product revenue and we may never become profitable.</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To date, we have not generated significant revenue and we have historically relied on financing from the sale of equity securities to fund our operations. We expect that our future financial results will depend primarily on our success in launching, selling, and supporting our therapies and procedures using the CellFX System or other products based on our NPS technology.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10"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There is substantial doubt about our ability to continue as a going concern.</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To date, we have generated limited revenue from product sales and have incurred significant operating losses in each year since our inception and we anticipate that losses may continue for the next several years or until such time as we can generate substantial product revenue and achieve profitability. In connection with the preparation of this Quarterly Report for the three and six months ended June 30, 2022, our management has concluded that there is substantial doubt as to whether we can continue as a going concern for the twelve months following the issuance of this Quarterly Report. Our ability to continue as a going concern is dependent upon raising capital to maintain current operations and continue research and development efforts. We plan to raise additional capital to fund our operations through public or private equity offerings, debt financings, our at-the-market equity offering program, and/or potential new collaborations. There is no assurance, however, that any additional financing or any revenue-generating collaboration will be available when needed or that management of the Company will be able to obtain financing or enter into a collaboration on terms acceptable to the Company.</w:t>
      </w:r>
    </w:p>
    <w:p>
      <w:pPr>
        <w:spacing w:after="0" w:line="110"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Based on our current operating plan, even though the 2022 Rights Offering by the Company was fully subscribed, we will not be able to continue as a going concern over the next twelve months unless we raise additional capital by other means. These factors raise substantial doubt about our ability to continue as a going concern.</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can give no assurance that our internal and external sources of liquidity will be sufficient for our cash requirements.</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Accordingly,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have experienced operating losses and we may continue to incur operating losses for the next several years as we implement our business plan. Currently, we have no significant revenue from operations and, although we have implemented an at-the-market equity offering program,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0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We will need to raise additional capital in order to continue to execute our business plan. If we are unable to raise sufficient additional funds, we will have to scale back our operations. Also, the ongoing hostilities between Russia and Ukraine and the ongoing COVID-19 pandemic and resulting negative impact on the global macroeconomic environment and capital markets may make it more difficult for us to raise additional funds. We may be required to incur debt in the future.</w:t>
      </w:r>
    </w:p>
    <w:p>
      <w:pPr>
        <w:spacing w:after="0" w:line="106"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our at-the-market equity offering program,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09"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0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If we are unable to obtain adequate financing or financing on terms satisfactory to us when we require it, we may be required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right="20"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Our corporate restructuring and the associated headcount reduction announced in March 2022 may not result in anticipated savings, could result in total costs and expenses and attrition that are greater than expected and could disrupt our business.</w:t>
      </w:r>
    </w:p>
    <w:p>
      <w:pPr>
        <w:spacing w:after="0" w:line="75"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March 31, 2022, we announced an approximate 20% reduction in headcount as part of a corporate restructuring plan.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plan, our operating results and financial condition would be adversely affected. We may have to undertake additional headcount reductions or restructuring activities in the future. Furthermore, our restructuring activities may be disruptive to our operations and could result in material delays in our new product development programs. For example, our headcount reductions could yield unanticipated consequences, such as attrition beyond planned staff reductions, or increase difficulties in our day-to-day operations, our CellFX System production efforts, servicing of commercial accounts, and product development activities. Our headcount reductions could also harm our ability to attract and retain qualified management, scientific, clinical, regulatory, manufacturing, and other personnel critical to our business. Any failure to attract or retain qualified personnel could prevent us from successfully developing and commercializing our new product candidates in the future and could also harm our existing and planned commercial activities in dermatology.</w:t>
      </w:r>
    </w:p>
    <w:p>
      <w:pPr>
        <w:spacing w:after="0" w:line="109"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94"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For example,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and other personnel who are critical to our business. Any failure to attract or retain qualified personnel could prevent us from successfully developing and commercializing our new product candidates in the future and could also harm our existing and planned commercial activities in dermatology.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revenues and future profitability are entirely dependent upon one family of products, the CellFX System, and one platform technology, Nano-pulse Stimulation.</w:t>
      </w:r>
    </w:p>
    <w:p>
      <w:pPr>
        <w:spacing w:after="0" w:line="12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Our revenue is generated entirely from the CellFX System, which consists of a console, handpieces and tips, and both these products and all our potential products under development are based upon the same patented platform technology, Nano-pulse Stimulation (“NPS”). Our revenue is therefore dependent on the success of these products and platform technology, and if these products are not widely adopted by dermatologists or if we suffer any disruptions in our ability to sell these products, our business will suffer. Reliance on a single family of products and single platform technology could negatively affect our results of operations and financial condition. Our ability to become profitable will depend upon the commercial success of these products and platform technology.</w:t>
      </w:r>
    </w:p>
    <w:p>
      <w:pPr>
        <w:spacing w:after="0" w:line="107"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We market the CellFX System primarily to aesthetic and medical dermatologists who may be slow or fail to adopt our products or who may use our products in only a small percentage of their eligible patients for a variety of reasons, including, among others:</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lack of experience with our products;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lack of adequate reimbursement or cost to the patient;</w:t>
      </w:r>
    </w:p>
    <w:p>
      <w:pPr>
        <w:spacing w:after="0" w:line="129" w:lineRule="exact"/>
        <w:rPr>
          <w:sz w:val="20"/>
          <w:szCs w:val="20"/>
          <w:color w:val="auto"/>
        </w:rPr>
      </w:pPr>
    </w:p>
    <w:p>
      <w:pPr>
        <w:ind w:left="440" w:right="4700"/>
        <w:spacing w:after="0" w:line="464" w:lineRule="auto"/>
        <w:rPr>
          <w:sz w:val="20"/>
          <w:szCs w:val="20"/>
          <w:color w:val="auto"/>
        </w:rPr>
      </w:pPr>
      <w:r>
        <w:rPr>
          <w:rFonts w:ascii="Times New Roman" w:cs="Times New Roman" w:eastAsia="Times New Roman" w:hAnsi="Times New Roman"/>
          <w:sz w:val="12"/>
          <w:szCs w:val="12"/>
          <w:color w:val="auto"/>
        </w:rPr>
        <w:t>lack of conviction regarding evidence supporting cost benefits or cost effectiveness of our products over existing alternatives; lack of clinical data showing longer-term patient benefits;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possible introduction of new technologies competitive to our products; and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liability risks generally associated with the use of new products and procedures.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Moreover, our products, including our platform NPS technology, could be rendered obsolete or economically impractical by numerous factors, many of which are beyond our control, including but not limited to:</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entrance of new competitors into our markets;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technological advancements of alternative technologies, such as laser ablation technologies;</w:t>
      </w:r>
    </w:p>
    <w:p>
      <w:pPr>
        <w:spacing w:after="0" w:line="120" w:lineRule="exact"/>
        <w:rPr>
          <w:sz w:val="20"/>
          <w:szCs w:val="20"/>
          <w:color w:val="auto"/>
        </w:rPr>
      </w:pPr>
    </w:p>
    <w:p>
      <w:pPr>
        <w:ind w:left="440" w:right="6160"/>
        <w:spacing w:after="0" w:line="464" w:lineRule="auto"/>
        <w:rPr>
          <w:sz w:val="20"/>
          <w:szCs w:val="20"/>
          <w:color w:val="auto"/>
        </w:rPr>
      </w:pPr>
      <w:r>
        <w:rPr>
          <w:rFonts w:ascii="Times New Roman" w:cs="Times New Roman" w:eastAsia="Times New Roman" w:hAnsi="Times New Roman"/>
          <w:sz w:val="12"/>
          <w:szCs w:val="12"/>
          <w:color w:val="auto"/>
        </w:rPr>
        <w:t>loss of key relationships with suppliers, group purchasing organizations, or end-user customers; manufacturing or supply interruptions;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product liability claims;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reputation and product market acceptance;</w:t>
      </w:r>
    </w:p>
    <w:p>
      <w:pPr>
        <w:spacing w:after="0" w:line="129" w:lineRule="exact"/>
        <w:rPr>
          <w:sz w:val="20"/>
          <w:szCs w:val="20"/>
          <w:color w:val="auto"/>
        </w:rPr>
      </w:pPr>
    </w:p>
    <w:p>
      <w:pPr>
        <w:ind w:left="440" w:right="5580"/>
        <w:spacing w:after="0" w:line="455" w:lineRule="auto"/>
        <w:rPr>
          <w:sz w:val="20"/>
          <w:szCs w:val="20"/>
          <w:color w:val="auto"/>
        </w:rPr>
      </w:pPr>
      <w:r>
        <w:rPr>
          <w:rFonts w:ascii="Times New Roman" w:cs="Times New Roman" w:eastAsia="Times New Roman" w:hAnsi="Times New Roman"/>
          <w:sz w:val="12"/>
          <w:szCs w:val="12"/>
          <w:color w:val="auto"/>
        </w:rPr>
        <w:t>loss of existing regulatory approvals or the imposition of new requirements to maintain such approvals; and product recalls or safety alerts.</w:t>
      </w: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fail to meet our publicly announced guidance or other expectations about our business and future operating results, which could cause our stock price to decline.</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Company may provide financial guidance about its business and future operating results. In developing this guidance, the Company’s management must make certain assumptions and judgments about its future operating performance, including but not limited to projected hiring of sales professionals, growth of revenue in the aesthetic device market,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2"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87" w:lineRule="exact"/>
        <w:rPr>
          <w:sz w:val="20"/>
          <w:szCs w:val="20"/>
          <w:color w:val="auto"/>
        </w:rPr>
      </w:pPr>
    </w:p>
    <w:p>
      <w:pPr>
        <w:ind w:left="440" w:right="1420"/>
        <w:spacing w:after="0" w:line="456" w:lineRule="auto"/>
        <w:rPr>
          <w:sz w:val="20"/>
          <w:szCs w:val="20"/>
          <w:color w:val="auto"/>
        </w:rPr>
      </w:pPr>
      <w:r>
        <w:rPr>
          <w:rFonts w:ascii="Times New Roman" w:cs="Times New Roman" w:eastAsia="Times New Roman" w:hAnsi="Times New Roman"/>
          <w:sz w:val="12"/>
          <w:szCs w:val="12"/>
          <w:color w:val="auto"/>
        </w:rPr>
        <w:t>the timing and cost of, and level of investment in, research, development, and commercialization activities relating to our product and product candidates, which may change from time to time; the timing of receipt of approvals or clearances for our product candidates from regulatory authorities in the United States or internationally;</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timing and status of enrollment for our clinical trials;</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96"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the costs of manufacturing our product, as well as building out our supply chain, which may vary depending on the quantity of production and which will vary significantly depending upon the terms of our agreements with manufacturers;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expenditures that we may incur to acquire, develop or commercialize additional product candidates and technologies;</w:t>
      </w:r>
    </w:p>
    <w:p>
      <w:pPr>
        <w:spacing w:after="0" w:line="120" w:lineRule="exact"/>
        <w:rPr>
          <w:sz w:val="20"/>
          <w:szCs w:val="20"/>
          <w:color w:val="auto"/>
        </w:rPr>
      </w:pPr>
    </w:p>
    <w:p>
      <w:pPr>
        <w:jc w:val="both"/>
        <w:ind w:left="440" w:right="4580"/>
        <w:spacing w:after="0" w:line="464" w:lineRule="auto"/>
        <w:rPr>
          <w:sz w:val="20"/>
          <w:szCs w:val="20"/>
          <w:color w:val="auto"/>
        </w:rPr>
      </w:pPr>
      <w:r>
        <w:rPr>
          <w:rFonts w:ascii="Times New Roman" w:cs="Times New Roman" w:eastAsia="Times New Roman" w:hAnsi="Times New Roman"/>
          <w:sz w:val="12"/>
          <w:szCs w:val="12"/>
          <w:color w:val="auto"/>
        </w:rPr>
        <w:t>the level of demand for our product and any product candidates, if approved or cleared, which may vary significantly over time; litigation, including patent, employment, securities class action, stockholder derivative, general commercial, and other lawsuits; future accounting pronouncements or changes in our accounting policies; and</w:t>
      </w:r>
    </w:p>
    <w:p>
      <w:pPr>
        <w:spacing w:after="0" w:line="1"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96"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96"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spacing w:after="0" w:line="100"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Because we operate in a highly competitive market, we can expect to face competition from large, well-established manufacturers of medical technologies, devices and similar products; we may not be able to compete effectively against companies with significantly more resources.</w:t>
      </w:r>
    </w:p>
    <w:p>
      <w:pPr>
        <w:spacing w:after="0" w:line="94"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significantly greater name recognition;</w:t>
      </w:r>
    </w:p>
    <w:p>
      <w:pPr>
        <w:spacing w:after="0" w:line="129" w:lineRule="exact"/>
        <w:rPr>
          <w:sz w:val="20"/>
          <w:szCs w:val="20"/>
          <w:color w:val="auto"/>
        </w:rPr>
      </w:pPr>
    </w:p>
    <w:p>
      <w:pPr>
        <w:ind w:left="440" w:right="6460"/>
        <w:spacing w:after="0" w:line="464" w:lineRule="auto"/>
        <w:rPr>
          <w:sz w:val="20"/>
          <w:szCs w:val="20"/>
          <w:color w:val="auto"/>
        </w:rPr>
      </w:pPr>
      <w:r>
        <w:rPr>
          <w:rFonts w:ascii="Times New Roman" w:cs="Times New Roman" w:eastAsia="Times New Roman" w:hAnsi="Times New Roman"/>
          <w:sz w:val="12"/>
          <w:szCs w:val="12"/>
          <w:color w:val="auto"/>
        </w:rPr>
        <w:t>established relationships with healthcare professionals, customers, and third-party payers; competitive products with greater efficacy or better safety profiles;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established distribution networks;</w:t>
      </w:r>
    </w:p>
    <w:p>
      <w:pPr>
        <w:spacing w:after="0" w:line="129" w:lineRule="exact"/>
        <w:rPr>
          <w:sz w:val="20"/>
          <w:szCs w:val="20"/>
          <w:color w:val="auto"/>
        </w:rPr>
      </w:pPr>
    </w:p>
    <w:p>
      <w:pPr>
        <w:ind w:left="440" w:right="4820"/>
        <w:spacing w:after="0" w:line="456" w:lineRule="auto"/>
        <w:rPr>
          <w:sz w:val="20"/>
          <w:szCs w:val="20"/>
          <w:color w:val="auto"/>
        </w:rPr>
      </w:pPr>
      <w:r>
        <w:rPr>
          <w:rFonts w:ascii="Times New Roman" w:cs="Times New Roman" w:eastAsia="Times New Roman" w:hAnsi="Times New Roman"/>
          <w:sz w:val="12"/>
          <w:szCs w:val="12"/>
          <w:color w:val="auto"/>
        </w:rPr>
        <w:t>additional lines of products and the ability to offer rebates, higher discounts, or incentives to gain a competitive advantage; greater experience in obtaining patents and regulatory approvals for product candidates;</w:t>
      </w:r>
    </w:p>
    <w:p>
      <w:pPr>
        <w:spacing w:after="0" w:line="1" w:lineRule="exact"/>
        <w:rPr>
          <w:sz w:val="20"/>
          <w:szCs w:val="20"/>
          <w:color w:val="auto"/>
        </w:rPr>
      </w:pPr>
    </w:p>
    <w:p>
      <w:pPr>
        <w:ind w:left="440" w:right="800"/>
        <w:spacing w:after="0" w:line="502" w:lineRule="auto"/>
        <w:rPr>
          <w:sz w:val="20"/>
          <w:szCs w:val="20"/>
          <w:color w:val="auto"/>
        </w:rPr>
      </w:pPr>
      <w:r>
        <w:rPr>
          <w:rFonts w:ascii="Times New Roman" w:cs="Times New Roman" w:eastAsia="Times New Roman" w:hAnsi="Times New Roman"/>
          <w:sz w:val="12"/>
          <w:szCs w:val="12"/>
          <w:color w:val="auto"/>
        </w:rPr>
        <w:t>greater experience conducting new product research and development, manufacturing therapies, conducting clinical trials, obtaining regulatory approval for products, and marketing approved products; and greater financial and human resources for product development, sales and marketing.</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may compete with other dermatological products, including over the 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rely on third parties for our sales, marketing, manufacturing, and/or distribution activities, and these third parties may not perform satisfactorily.</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These third parties may also be adversely impacted by COVID-19 which could affect their ability to perform satisfactorily.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09"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have recently commenced revenue-producing operations; however, we may be unsuccessful in earning significant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05"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4"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right="20" w:firstLine="301"/>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249" w:lineRule="exact"/>
        <w:rPr>
          <w:sz w:val="20"/>
          <w:szCs w:val="20"/>
          <w:color w:val="auto"/>
        </w:rPr>
      </w:pPr>
    </w:p>
    <w:p>
      <w:pPr>
        <w:jc w:val="both"/>
        <w:ind w:firstLine="301"/>
        <w:spacing w:after="0" w:line="248" w:lineRule="auto"/>
        <w:rPr>
          <w:sz w:val="20"/>
          <w:szCs w:val="20"/>
          <w:color w:val="auto"/>
        </w:rPr>
      </w:pPr>
      <w:r>
        <w:rPr>
          <w:rFonts w:ascii="Times New Roman" w:cs="Times New Roman" w:eastAsia="Times New Roman" w:hAnsi="Times New Roman"/>
          <w:sz w:val="12"/>
          <w:szCs w:val="12"/>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very limited experience selling the CellFX System.</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Successfully commercializing medical devices such as ours is a complex and uncertain process. We began marketing and selling the CellFX System in the United States, Canada, and certain limited European markets in late</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2021 to dermatologists through a limited direct sales force. In January 2022, we established an operating company in the Netherlands to further enhance our operations in Europe. As of June 30, 2022, our U.S. sales force consisted of 5 sales managers and directors and 6 clinical support specialists directly employed by us. As of June 30, 2022, our international sales force consisted of 5 sales managers and directors and 6 clinical support specialists, all of whom are employed by Globalization Partners, a third-party employer of record engaged by us. We therefore have limited experience marketing and selling the CellFX System and our revenues and cash flows have been volatile and difficult to predict.</w:t>
      </w:r>
    </w:p>
    <w:p>
      <w:pPr>
        <w:spacing w:after="0" w:line="109"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We hire and train sales representatives and clinical specialists with backgrounds and experience in the aesthetic dermatology market, especially those familiar with energy-based therapies and who have existing relationships with dermatologist.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spacing w:after="0" w:line="106"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Our commercialization efforts depend on the efforts of our management and sales team, our third-party manufacturers and suppliers, physicians and medical clinics, and general economic conditions, among other factors, including the following:</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effectiveness of our marketing and sales efforts in the United States and internationally;</w:t>
      </w:r>
    </w:p>
    <w:p>
      <w:pPr>
        <w:spacing w:after="0" w:line="129" w:lineRule="exact"/>
        <w:rPr>
          <w:sz w:val="20"/>
          <w:szCs w:val="20"/>
          <w:color w:val="auto"/>
        </w:rPr>
      </w:pPr>
    </w:p>
    <w:p>
      <w:pPr>
        <w:ind w:left="440" w:right="5600"/>
        <w:spacing w:after="0" w:line="464" w:lineRule="auto"/>
        <w:rPr>
          <w:sz w:val="20"/>
          <w:szCs w:val="20"/>
          <w:color w:val="auto"/>
        </w:rPr>
      </w:pPr>
      <w:r>
        <w:rPr>
          <w:rFonts w:ascii="Times New Roman" w:cs="Times New Roman" w:eastAsia="Times New Roman" w:hAnsi="Times New Roman"/>
          <w:sz w:val="12"/>
          <w:szCs w:val="12"/>
          <w:color w:val="auto"/>
        </w:rPr>
        <w:t>our success in educating physicians and patients about the benefits, administration and use of our products; the acceptance by physicians and patients of the safety and effectiveness of our products;</w:t>
      </w:r>
    </w:p>
    <w:p>
      <w:pPr>
        <w:spacing w:after="0" w:line="1" w:lineRule="exact"/>
        <w:rPr>
          <w:sz w:val="20"/>
          <w:szCs w:val="20"/>
          <w:color w:val="auto"/>
        </w:rPr>
      </w:pPr>
    </w:p>
    <w:p>
      <w:pPr>
        <w:ind w:left="440" w:right="4600"/>
        <w:spacing w:after="0" w:line="456" w:lineRule="auto"/>
        <w:rPr>
          <w:sz w:val="20"/>
          <w:szCs w:val="20"/>
          <w:color w:val="auto"/>
        </w:rPr>
      </w:pPr>
      <w:r>
        <w:rPr>
          <w:rFonts w:ascii="Times New Roman" w:cs="Times New Roman" w:eastAsia="Times New Roman" w:hAnsi="Times New Roman"/>
          <w:sz w:val="12"/>
          <w:szCs w:val="12"/>
          <w:color w:val="auto"/>
        </w:rPr>
        <w:t>the availability, perceived advantages, relative cost, relative safety, and relative efficacy of alternative and competing therapies; our ability to obtain, maintain, and enforce our intellectual property rights in and to our CellFX System;</w:t>
      </w:r>
    </w:p>
    <w:p>
      <w:pPr>
        <w:spacing w:after="0" w:line="1" w:lineRule="exact"/>
        <w:rPr>
          <w:sz w:val="20"/>
          <w:szCs w:val="20"/>
          <w:color w:val="auto"/>
        </w:rPr>
      </w:pPr>
    </w:p>
    <w:p>
      <w:pPr>
        <w:ind w:left="440" w:right="4460"/>
        <w:spacing w:after="0" w:line="502" w:lineRule="auto"/>
        <w:rPr>
          <w:sz w:val="20"/>
          <w:szCs w:val="20"/>
          <w:color w:val="auto"/>
        </w:rPr>
      </w:pPr>
      <w:r>
        <w:rPr>
          <w:rFonts w:ascii="Times New Roman" w:cs="Times New Roman" w:eastAsia="Times New Roman" w:hAnsi="Times New Roman"/>
          <w:sz w:val="12"/>
          <w:szCs w:val="12"/>
          <w:color w:val="auto"/>
        </w:rPr>
        <w:t>our ability to raise additional capital on acceptable terms, or at all, if needed to support the commercialization of our products; and our ability to achieve and maintain compliance with all regulatory requirements applicable to our products.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Our intention is for our direct sales representatives to develop long-lasting relationships with the dermatologists they serve. Our future success will depend largely on our ability to continue to hire, train, retain and motivate skilled direct sales representatives with significant technical knowledge in various areas, such as dermatology and ablation technologies. New hires require training and take time to achieve full productivity. Additionally, we have experienced significant turnover in our commercial team since the beginning of 2022, partly because of the reduction in force announced in March 2022.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Rapidly changing technology in life sciences could make the products we are developing obsolete.</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manage rapid growth of our business, our future revenue and operating results may be harmed.</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From the time, we have experienced rapid growth in our business. Any rapid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During periods of rapid growth, we may be unable to maintain the quality of, or delivery timelines of, our products or satisfy worldwide customer demand.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must successfully educate and train dermatologists and their staff on the proper use of the CellFX System.</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Although most dermatologists may have adequate knowledge on how to use our novel CellFX System based on their clinical training and experience, we believe that the most effective way to introduce and build market demand for our products is by directly training dermatologists in the use of our products. Convincing dermatologists to dedicate the time and energy necessary for adequate training is challenging, and we cannot assure you that we will succeed in these efforts. If dermatologists are not properly trained, they may not use our products and, as a result, we may not maintain or grow our sales or achieve or sustain profitability. If dermatologists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00" w:lineRule="exact"/>
        <w:rPr>
          <w:sz w:val="20"/>
          <w:szCs w:val="20"/>
          <w:color w:val="auto"/>
        </w:rPr>
      </w:pPr>
    </w:p>
    <w:p>
      <w:pPr>
        <w:jc w:val="both"/>
        <w:ind w:firstLine="301"/>
        <w:spacing w:after="0" w:line="254" w:lineRule="auto"/>
        <w:rPr>
          <w:sz w:val="20"/>
          <w:szCs w:val="20"/>
          <w:color w:val="auto"/>
        </w:rPr>
      </w:pPr>
      <w:r>
        <w:rPr>
          <w:rFonts w:ascii="Times New Roman" w:cs="Times New Roman" w:eastAsia="Times New Roman" w:hAnsi="Times New Roman"/>
          <w:sz w:val="12"/>
          <w:szCs w:val="12"/>
          <w:color w:val="auto"/>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Although we believe our training methods for dermatologists are conducted in compliance with FDA and other applicable regulations developed both nationally and in other countries, if the FDA or other regulatory agency determines that our training constitutes promotion of an unapproved use or promotion of an intended purpose not covered by the CE mark affixed to our products or FDA approved labeling, they could request that we modify our training or subject us to regulatory enforcement actions, including the issuance of a warning letter, injunction, seizure, civil fine, or criminal penalty.</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results of operations could be materially harmed if we are unable to accurately forecast customer demand for our products and manage our inventory.</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To ensure adequate inventory supply, we must forecast inventory needs and place orders with suppliers based on our estimates of future demand for our products. Our ability to accurately forecast demand for our products could be negatively affected by many factors, including our failure to adequately manage our expansion efforts, product introductions by competitors, an increase or decrease in customer demand for our products or for products of our competitors, our failure to accurately forecast customer acceptance of new product enhancements, unanticipated changes in general market conditions or regulatory matters, and weakening of economic conditions or consumer confidence in future economic conditions.</w:t>
      </w:r>
    </w:p>
    <w:p>
      <w:pPr>
        <w:spacing w:after="0" w:line="107"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Inventory levels in excess of customer demand may result in inventory write-downs or write-offs, which would cause our gross margin to be adversely affected and could impair the strength of our brand. Similarly, a portion of our inventory could become obsolete or expire, which could have a material and adverse effect on our earnings and cash flows due to the resulting costs associated with inventory impairment charges and costs required to replace obsolete inventory. Any of these occurrences could negatively impact our financial performance.</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Conversely, if we underestimate customer demand for our products, we may not be able to deliver sufficient products to meet our customers’ requirements, which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resources to meet our increased requirements, which could have an adverse effect on our ability to meet customer demand for our products and our results of operations.</w:t>
      </w:r>
    </w:p>
    <w:p>
      <w:pPr>
        <w:spacing w:after="0" w:line="105"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have limited experience in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9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Hayward, California where we produce, package and warehouse the CellFX System. We also rely on third-party manufacturers for production of some of the components used in the CellFX System. If our facility, or the facilities of our third-party contract manufacturers, suffer damage, or a force majeure event, this could materially impact our ability to operate.</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We are also subject to other risks relating to our manufacturing capabilities, including:</w:t>
      </w:r>
    </w:p>
    <w:p>
      <w:pPr>
        <w:spacing w:after="0" w:line="120" w:lineRule="exact"/>
        <w:rPr>
          <w:sz w:val="20"/>
          <w:szCs w:val="20"/>
          <w:color w:val="auto"/>
        </w:rPr>
      </w:pPr>
    </w:p>
    <w:p>
      <w:pPr>
        <w:ind w:left="440" w:right="20"/>
        <w:spacing w:after="0" w:line="277" w:lineRule="auto"/>
        <w:rPr>
          <w:sz w:val="20"/>
          <w:szCs w:val="20"/>
          <w:color w:val="auto"/>
        </w:rPr>
      </w:pPr>
      <w:r>
        <w:rPr>
          <w:rFonts w:ascii="Times New Roman" w:cs="Times New Roman" w:eastAsia="Times New Roman" w:hAnsi="Times New Roman"/>
          <w:sz w:val="12"/>
          <w:szCs w:val="12"/>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87" w:lineRule="exact"/>
        <w:rPr>
          <w:sz w:val="20"/>
          <w:szCs w:val="20"/>
          <w:color w:val="auto"/>
        </w:rPr>
      </w:pPr>
    </w:p>
    <w:p>
      <w:pPr>
        <w:ind w:left="440" w:right="3920"/>
        <w:spacing w:after="0" w:line="459" w:lineRule="auto"/>
        <w:rPr>
          <w:sz w:val="20"/>
          <w:szCs w:val="20"/>
          <w:color w:val="auto"/>
        </w:rPr>
      </w:pPr>
      <w:r>
        <w:rPr>
          <w:rFonts w:ascii="Times New Roman" w:cs="Times New Roman" w:eastAsia="Times New Roman" w:hAnsi="Times New Roman"/>
          <w:sz w:val="12"/>
          <w:szCs w:val="12"/>
          <w:color w:val="auto"/>
        </w:rPr>
        <w:t>failure to secure raw materials, components and materials in a timely manner, in sufficient quantities or on commercially reasonable terms; inability to secure raw materials, components and materials of sufficient quality to meet the exacting needs of medical device manufacturing; failure to maintain compliance with quality system requirements or pass regulatory quality inspections;</w:t>
      </w:r>
    </w:p>
    <w:p>
      <w:pPr>
        <w:ind w:left="220"/>
        <w:spacing w:after="0"/>
        <w:rPr>
          <w:sz w:val="20"/>
          <w:szCs w:val="20"/>
          <w:color w:val="auto"/>
        </w:rPr>
      </w:pPr>
      <w:r>
        <w:rPr>
          <w:rFonts w:ascii="Times New Roman" w:cs="Times New Roman" w:eastAsia="Times New Roman" w:hAnsi="Times New Roman"/>
          <w:sz w:val="12"/>
          <w:szCs w:val="12"/>
          <w:color w:val="auto"/>
        </w:rPr>
        <w:t>inability to increase production capacity or volumes to meet demand;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inability to design or modify production processes to enable us to produce future products efficiently or implement changes in current products in response to design or regulatory requirements.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right="20"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Certain parts used in the manufacturing of our equipment may experience shortages in global supply which could impact our ability to manufacture our device for customers or maintain research and development timelines.</w:t>
      </w:r>
    </w:p>
    <w:p>
      <w:pPr>
        <w:spacing w:after="0" w:line="75"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There are several component parts used in the manufacture of our device that are used by many manufacturers in a variety of products. We will compete with other manufacturers for the supply of these components. Additionally, certain parts that are currently in our design may be discontinued by our suppliers requiring us to find alternative parts. This issue may require us to change the design of our device or purchase significant inventories of these parts in order to protect against manufacturing delays. We may not be able to procure alternative components or adequate raw material inventories which would result in an inability to produce our device.</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As our international sales and operations grow, we could become increasingly subject to additional economic, political, and other risks that could harm our business.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have sales and operations both inside and outside the United States, including a limited sales and marketing organization outside the United States. Our short-term international sales strategy is to increase our presence in Europe and Canada. To successfully market and sell our products in markets outside of the United States, we must address many international business risks with which we have limited experience, and failure to manage these risks may adversely affect our operating results and financial condition. These risks include:</w:t>
      </w:r>
    </w:p>
    <w:p>
      <w:pPr>
        <w:spacing w:after="0" w:line="92" w:lineRule="exact"/>
        <w:rPr>
          <w:sz w:val="20"/>
          <w:szCs w:val="20"/>
          <w:color w:val="auto"/>
        </w:rPr>
      </w:pPr>
    </w:p>
    <w:p>
      <w:pPr>
        <w:ind w:left="440" w:right="4020"/>
        <w:spacing w:after="0" w:line="464" w:lineRule="auto"/>
        <w:rPr>
          <w:sz w:val="20"/>
          <w:szCs w:val="20"/>
          <w:color w:val="auto"/>
        </w:rPr>
      </w:pPr>
      <w:r>
        <w:rPr>
          <w:rFonts w:ascii="Times New Roman" w:cs="Times New Roman" w:eastAsia="Times New Roman" w:hAnsi="Times New Roman"/>
          <w:sz w:val="12"/>
          <w:szCs w:val="12"/>
          <w:color w:val="auto"/>
        </w:rPr>
        <w:t>the impact of recessions and other economic conditions in economies, including impact of COVID-19 pandemic, outside the United States; instability of foreign economic, political and labor conditions;</w:t>
      </w:r>
    </w:p>
    <w:p>
      <w:pPr>
        <w:spacing w:after="0" w:line="1" w:lineRule="exact"/>
        <w:rPr>
          <w:sz w:val="20"/>
          <w:szCs w:val="20"/>
          <w:color w:val="auto"/>
        </w:rPr>
      </w:pPr>
    </w:p>
    <w:p>
      <w:pPr>
        <w:ind w:left="440" w:right="2620"/>
        <w:spacing w:after="0" w:line="464" w:lineRule="auto"/>
        <w:rPr>
          <w:sz w:val="20"/>
          <w:szCs w:val="20"/>
          <w:color w:val="auto"/>
        </w:rPr>
      </w:pPr>
      <w:r>
        <w:rPr>
          <w:rFonts w:ascii="Times New Roman" w:cs="Times New Roman" w:eastAsia="Times New Roman" w:hAnsi="Times New Roman"/>
          <w:sz w:val="12"/>
          <w:szCs w:val="12"/>
          <w:color w:val="auto"/>
        </w:rPr>
        <w:t>unfavorable labor regulations applicable to our European operations, such as severance and the unenforceability of non-competition agreements in the European Union; difficulties in complying with restrictions imposed by regulatory or market requirements, tariffs, or other trade barriers or by U.S. export laws;</w:t>
      </w:r>
    </w:p>
    <w:p>
      <w:pPr>
        <w:spacing w:after="0" w:line="1" w:lineRule="exact"/>
        <w:rPr>
          <w:sz w:val="20"/>
          <w:szCs w:val="20"/>
          <w:color w:val="auto"/>
        </w:rPr>
      </w:pPr>
    </w:p>
    <w:p>
      <w:pPr>
        <w:ind w:left="440" w:right="1760"/>
        <w:spacing w:after="0" w:line="456" w:lineRule="auto"/>
        <w:rPr>
          <w:sz w:val="20"/>
          <w:szCs w:val="20"/>
          <w:color w:val="auto"/>
        </w:rPr>
      </w:pPr>
      <w:r>
        <w:rPr>
          <w:rFonts w:ascii="Times New Roman" w:cs="Times New Roman" w:eastAsia="Times New Roman" w:hAnsi="Times New Roman"/>
          <w:sz w:val="12"/>
          <w:szCs w:val="12"/>
          <w:color w:val="auto"/>
        </w:rPr>
        <w:t>potentially adverse tax consequences, including, if required or applicable, difficulties transferring funds generated in non-U.S. jurisdictions to the United States in a tax efficient manner; difficulties in protecting intellectual property, especially in international jurisdictions;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foreign certification and regulatory clearance or approval requirements;</w:t>
      </w:r>
    </w:p>
    <w:p>
      <w:pPr>
        <w:spacing w:after="0" w:line="129" w:lineRule="exact"/>
        <w:rPr>
          <w:sz w:val="20"/>
          <w:szCs w:val="20"/>
          <w:color w:val="auto"/>
        </w:rPr>
      </w:pPr>
    </w:p>
    <w:p>
      <w:pPr>
        <w:ind w:left="440" w:right="6520"/>
        <w:spacing w:after="0" w:line="456" w:lineRule="auto"/>
        <w:rPr>
          <w:sz w:val="20"/>
          <w:szCs w:val="20"/>
          <w:color w:val="auto"/>
        </w:rPr>
      </w:pPr>
      <w:r>
        <w:rPr>
          <w:rFonts w:ascii="Times New Roman" w:cs="Times New Roman" w:eastAsia="Times New Roman" w:hAnsi="Times New Roman"/>
          <w:sz w:val="12"/>
          <w:szCs w:val="12"/>
          <w:color w:val="auto"/>
        </w:rPr>
        <w:t>difficulties in developing effective marketing campaigns in unfamiliar foreign countries; customs clearance and shipping delays;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difficulties in managing international operations;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burdens of complying with a wide variety of foreign laws.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success depends, in part, on our ability to anticipate and address these and any new risks. We cannot guarantee that these or other factors will not adversely affect our business or operating results.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could be negatively impacted by actual or perceived violations of applicable anti-corruption law or our own internal policies designed to ensure ethical business practices.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spacing w:after="0" w:line="10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spacing w:after="0" w:line="108"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spacing w:after="0" w:line="108"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75"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believe we have not experienced any such attack or breach, both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(“CCPA”),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 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 Moreover, in November 2020, California voters approved a new privacy law, the California Privacy Rights Act (“CPRA”), which significantly modifies the CCPA, resulting in further uncertainty and requiring us to incur additional costs and expenses in an effort to comply. Most of the substantive provisions of the CPRA will not take effect until January 2023, however.</w:t>
      </w:r>
    </w:p>
    <w:p>
      <w:pPr>
        <w:spacing w:after="0" w:line="206"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Unauthorized access, loss or dissemination of data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4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addition, the interpretation and application of federal and state consumer, health-related and data protection laws in the United States and internationally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environmental regulations and any failure to comply with applicable laws could subject us to significant liabilities and harm our business.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fail to meet expectations relating to environmental, social and governance factors.</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Market participants, including investors, analysts, customers, and other key stakeholders are increasingly focused on environmental, social and governance (“ESG”) factors. We have never had a comprehensive ESG initiative at the Company. Moreover, the ESG factors by which companies’ corporate responsibility practices are assessed differ among market participants, are constantly evolving and could result in greater expectations of us and/or cause us to undertake costly initiatives to satisfy such new criteria. We risk damage to our brand and reputation if our corporate responsibility procedures or standards do not meet the standards expected by us. Furthermore, we could fail, or be perceived to fail, in our achievement of any ESG initiatives or goals we may establish in the future and we could also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Product liability lawsuits against us could cause us to incur substantial liabilities and limit commercialization of our product or any future products that we may develop.</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09" w:lineRule="exact"/>
        <w:rPr>
          <w:sz w:val="20"/>
          <w:szCs w:val="20"/>
          <w:color w:val="auto"/>
        </w:rPr>
      </w:pPr>
    </w:p>
    <w:p>
      <w:pPr>
        <w:ind w:left="440" w:right="6880"/>
        <w:spacing w:after="0" w:line="456" w:lineRule="auto"/>
        <w:rPr>
          <w:sz w:val="20"/>
          <w:szCs w:val="20"/>
          <w:color w:val="auto"/>
        </w:rPr>
      </w:pPr>
      <w:r>
        <w:rPr>
          <w:rFonts w:ascii="Times New Roman" w:cs="Times New Roman" w:eastAsia="Times New Roman" w:hAnsi="Times New Roman"/>
          <w:sz w:val="12"/>
          <w:szCs w:val="12"/>
          <w:color w:val="auto"/>
        </w:rPr>
        <w:t>decreased demand for our product or any planned products that we may develop; injury to our reputation and significant negative media attention;</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withdrawal of patients from our clinical studies or cancellation of studies;</w:t>
      </w:r>
    </w:p>
    <w:p>
      <w:pPr>
        <w:spacing w:after="0" w:line="129" w:lineRule="exact"/>
        <w:rPr>
          <w:sz w:val="20"/>
          <w:szCs w:val="20"/>
          <w:color w:val="auto"/>
        </w:rPr>
      </w:pPr>
    </w:p>
    <w:p>
      <w:pPr>
        <w:ind w:left="440" w:right="6520"/>
        <w:spacing w:after="0" w:line="456" w:lineRule="auto"/>
        <w:rPr>
          <w:sz w:val="20"/>
          <w:szCs w:val="20"/>
          <w:color w:val="auto"/>
        </w:rPr>
      </w:pPr>
      <w:r>
        <w:rPr>
          <w:rFonts w:ascii="Times New Roman" w:cs="Times New Roman" w:eastAsia="Times New Roman" w:hAnsi="Times New Roman"/>
          <w:sz w:val="12"/>
          <w:szCs w:val="12"/>
          <w:color w:val="auto"/>
        </w:rPr>
        <w:t>significant costs to defend the related litigation and distraction to our management team; substantial monetary awards to patients;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loss of revenue;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inability to commercialize any future products that we may develop.</w:t>
      </w:r>
    </w:p>
    <w:p>
      <w:pPr>
        <w:spacing w:after="0" w:line="129"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00"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utilize our net operating loss carryforwards and certain other tax attributes may be limited.</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0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Product Development</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Clinical development involves a lengthy and expensive process with an uncertain outcome, and results of earlier studies and trials may not be predictive of future trial results.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w:t>
      </w:r>
    </w:p>
    <w:p>
      <w:pPr>
        <w:spacing w:after="0" w:line="96"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Our long-term growth depends on our ability to commercialize our products in development and to develop and commercialize additional products through our research and development efforts, and if we fail to do so we may be unable to compete effectively.</w:t>
      </w:r>
    </w:p>
    <w:p>
      <w:pPr>
        <w:spacing w:after="0" w:line="84"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medical device industry is characterized by intense competition, rapid technological changes, new product introductions and enhancements, and evolving industry standards. Our business prospects depend in part on our ability to develop and commercialize new products and applications for our NPS technology, including in new markets that develop as a result of technological and scientific advances, while improving the performance and cost-effectiveness of our products in the dermatology market.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might be unable to successfully commercialize our current products with domestic or international regulatory clearances or approvals or develop or obtain regulatory clearances or approvals to market new products. Additionally, these products and any future products might not be accepted by dermatologists or other health care workers or the third-party payors who reimburse for the procedures performed with our products or may not be successfully commercialized due to other factors. The success of any new product offering or enhancement to an existing product will depend on numerous factors, including our ability to:</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properly identify and anticipate clinician and patient needs;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develop and introduce new products or product enhancements in a timely manner;</w:t>
      </w:r>
    </w:p>
    <w:p>
      <w:pPr>
        <w:spacing w:after="0" w:line="120" w:lineRule="exact"/>
        <w:rPr>
          <w:sz w:val="20"/>
          <w:szCs w:val="20"/>
          <w:color w:val="auto"/>
        </w:rPr>
      </w:pPr>
    </w:p>
    <w:p>
      <w:pPr>
        <w:ind w:left="440" w:right="5120"/>
        <w:spacing w:after="0" w:line="464" w:lineRule="auto"/>
        <w:rPr>
          <w:sz w:val="20"/>
          <w:szCs w:val="20"/>
          <w:color w:val="auto"/>
        </w:rPr>
      </w:pPr>
      <w:r>
        <w:rPr>
          <w:rFonts w:ascii="Times New Roman" w:cs="Times New Roman" w:eastAsia="Times New Roman" w:hAnsi="Times New Roman"/>
          <w:sz w:val="12"/>
          <w:szCs w:val="12"/>
          <w:color w:val="auto"/>
        </w:rPr>
        <w:t>adequately protect our intellectual property and avoid infringing upon the intellectual property rights of third parties; demonstrate the safety and efficacy of new products; and</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obtain the necessary regulatory clearances or approvals for new products or product enhancements.</w:t>
      </w:r>
    </w:p>
    <w:p>
      <w:pPr>
        <w:spacing w:after="0" w:line="129"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05"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9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fail to maintain necessary regulatory clearance for our product, or if clearances or approvals for future devices and indications are delayed or not issued, our commercial operations would be harmed.</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device design, development and manufacture;</w:t>
      </w:r>
    </w:p>
    <w:p>
      <w:pPr>
        <w:spacing w:after="0" w:line="129" w:lineRule="exact"/>
        <w:rPr>
          <w:sz w:val="20"/>
          <w:szCs w:val="20"/>
          <w:color w:val="auto"/>
        </w:rPr>
      </w:pPr>
    </w:p>
    <w:p>
      <w:pPr>
        <w:ind w:left="440" w:right="7140"/>
        <w:spacing w:after="0" w:line="456" w:lineRule="auto"/>
        <w:rPr>
          <w:sz w:val="20"/>
          <w:szCs w:val="20"/>
          <w:color w:val="auto"/>
        </w:rPr>
      </w:pPr>
      <w:r>
        <w:rPr>
          <w:rFonts w:ascii="Times New Roman" w:cs="Times New Roman" w:eastAsia="Times New Roman" w:hAnsi="Times New Roman"/>
          <w:sz w:val="12"/>
          <w:szCs w:val="12"/>
          <w:color w:val="auto"/>
        </w:rPr>
        <w:t>laboratory, preclinical and clinical testing, labeling, packaging, and storage; premarketing clearance or approval;</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record keeping;</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device marketing, promotion and advertising, sales and distribution;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post-marketing surveillance, including reporting of deaths and serious injuries and recalls and correction and removals.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10"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Any failure to obtain further 510(k) clearances may add significant time and expense to our regulatory clearance process, may delay our ability to generate revenue, and may have a negative impact on our stock price. We may not be able to obtain the necessary clearances or approvals necessary to market the CellFX System for specific indications or such approvals or clearances may be unduly delayed, which could harm our business. If the FDA rejects our 510(k) submissions for specific indications, we may be required to obtain FDA approval through the de novo pathway, which will require additional time and resources, including the need to conduct more clinical studies to demonstrate safety and effectiveness of our candidate device.</w:t>
      </w:r>
    </w:p>
    <w:p>
      <w:pPr>
        <w:spacing w:after="0" w:line="107"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246"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adverse publicity, warning letters, fines, injunctions, consent decrees, and civil penalties;</w:t>
      </w:r>
    </w:p>
    <w:p>
      <w:pPr>
        <w:spacing w:after="0" w:line="120" w:lineRule="exact"/>
        <w:rPr>
          <w:sz w:val="20"/>
          <w:szCs w:val="20"/>
          <w:color w:val="auto"/>
        </w:rPr>
      </w:pPr>
    </w:p>
    <w:p>
      <w:pPr>
        <w:ind w:left="440" w:right="5920"/>
        <w:spacing w:after="0" w:line="464" w:lineRule="auto"/>
        <w:rPr>
          <w:sz w:val="20"/>
          <w:szCs w:val="20"/>
          <w:color w:val="auto"/>
        </w:rPr>
      </w:pPr>
      <w:r>
        <w:rPr>
          <w:rFonts w:ascii="Times New Roman" w:cs="Times New Roman" w:eastAsia="Times New Roman" w:hAnsi="Times New Roman"/>
          <w:sz w:val="12"/>
          <w:szCs w:val="12"/>
          <w:color w:val="auto"/>
        </w:rPr>
        <w:t>obligations to repair, replace, refund, or recall our marketed devices, or government seizure of them; operating restrictions, partial suspension, or total shutdown of production;</w:t>
      </w:r>
    </w:p>
    <w:p>
      <w:pPr>
        <w:spacing w:after="0" w:line="1" w:lineRule="exact"/>
        <w:rPr>
          <w:sz w:val="20"/>
          <w:szCs w:val="20"/>
          <w:color w:val="auto"/>
        </w:rPr>
      </w:pPr>
    </w:p>
    <w:p>
      <w:pPr>
        <w:ind w:left="440" w:right="4140"/>
        <w:spacing w:after="0" w:line="464" w:lineRule="auto"/>
        <w:rPr>
          <w:sz w:val="20"/>
          <w:szCs w:val="20"/>
          <w:color w:val="auto"/>
        </w:rPr>
      </w:pPr>
      <w:r>
        <w:rPr>
          <w:rFonts w:ascii="Times New Roman" w:cs="Times New Roman" w:eastAsia="Times New Roman" w:hAnsi="Times New Roman"/>
          <w:sz w:val="12"/>
          <w:szCs w:val="12"/>
          <w:color w:val="auto"/>
        </w:rPr>
        <w:t>refusing our requests for 510(k) clearance or premarket approval of new devices, new intended uses or modifications to existing devices; withdrawing 510(k) clearance or premarket approvals that have already been granted; and</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criminal prosecution.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any of these events were to occur, our business and financial condition would be harmed.</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mechanism of action of NPS technology platform has not been fully determined or validated.</w:t>
      </w:r>
    </w:p>
    <w:p>
      <w:pPr>
        <w:spacing w:after="0" w:line="131"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The exact mechanism(s) of action(s) of the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Our product and any future product candidates may cause serious adverse side effects or have other properties that could delay or prevent their regulatory approval, limit their commercial desirability or result in significant negative consequences.</w:t>
      </w:r>
    </w:p>
    <w:p>
      <w:pPr>
        <w:spacing w:after="0" w:line="75"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risk of failure of clinical development is high. For example, the vast majority of our in vivo data has been a result of animal testing, and we have only completed a limited number of feasibility studies in humans. Undesirable side effects caused by the CellFX System, NPS pulses, or any of our planned future products could cause us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Additionally, if we or others identify undesirable side effects caused by the CellFX System, a number of potentially significant negative consequences could result, including:</w:t>
      </w:r>
    </w:p>
    <w:p>
      <w:pPr>
        <w:spacing w:after="0" w:line="129" w:lineRule="exact"/>
        <w:rPr>
          <w:sz w:val="20"/>
          <w:szCs w:val="20"/>
          <w:color w:val="auto"/>
        </w:rPr>
      </w:pPr>
    </w:p>
    <w:p>
      <w:pPr>
        <w:ind w:left="440" w:right="6720"/>
        <w:spacing w:after="0" w:line="456" w:lineRule="auto"/>
        <w:rPr>
          <w:sz w:val="20"/>
          <w:szCs w:val="20"/>
          <w:color w:val="auto"/>
        </w:rPr>
      </w:pPr>
      <w:r>
        <w:rPr>
          <w:rFonts w:ascii="Times New Roman" w:cs="Times New Roman" w:eastAsia="Times New Roman" w:hAnsi="Times New Roman"/>
          <w:sz w:val="12"/>
          <w:szCs w:val="12"/>
          <w:color w:val="auto"/>
        </w:rPr>
        <w:t>we may be forced to recall such product and suspend the marketing of such product; regulatory authorities may withdraw their approvals of such product;</w:t>
      </w:r>
    </w:p>
    <w:p>
      <w:pPr>
        <w:spacing w:after="0" w:line="1" w:lineRule="exact"/>
        <w:rPr>
          <w:sz w:val="20"/>
          <w:szCs w:val="20"/>
          <w:color w:val="auto"/>
        </w:rPr>
      </w:pPr>
    </w:p>
    <w:p>
      <w:pPr>
        <w:ind w:left="440" w:right="560"/>
        <w:spacing w:after="0" w:line="464" w:lineRule="auto"/>
        <w:rPr>
          <w:sz w:val="20"/>
          <w:szCs w:val="20"/>
          <w:color w:val="auto"/>
        </w:rPr>
      </w:pPr>
      <w:r>
        <w:rPr>
          <w:rFonts w:ascii="Times New Roman" w:cs="Times New Roman" w:eastAsia="Times New Roman" w:hAnsi="Times New Roman"/>
          <w:sz w:val="12"/>
          <w:szCs w:val="12"/>
          <w:color w:val="auto"/>
        </w:rPr>
        <w:t>regulatory authorities may require additional warnings on the label and/or narrow the indication of use for the product which could diminish the usage or otherwise limit the commercial success of such product; the FDA or other regulatory authorities may issue safety alerts, “Dear Healthcare Provider” letters, press releases, or other communications containing warnings about such product;</w:t>
      </w:r>
    </w:p>
    <w:p>
      <w:pPr>
        <w:spacing w:after="0" w:line="1" w:lineRule="exact"/>
        <w:rPr>
          <w:sz w:val="20"/>
          <w:szCs w:val="20"/>
          <w:color w:val="auto"/>
        </w:rPr>
      </w:pPr>
    </w:p>
    <w:p>
      <w:pPr>
        <w:ind w:left="440" w:right="5460"/>
        <w:spacing w:after="0" w:line="464" w:lineRule="auto"/>
        <w:rPr>
          <w:sz w:val="20"/>
          <w:szCs w:val="20"/>
          <w:color w:val="auto"/>
        </w:rPr>
      </w:pPr>
      <w:r>
        <w:rPr>
          <w:rFonts w:ascii="Times New Roman" w:cs="Times New Roman" w:eastAsia="Times New Roman" w:hAnsi="Times New Roman"/>
          <w:sz w:val="12"/>
          <w:szCs w:val="12"/>
          <w:color w:val="auto"/>
        </w:rPr>
        <w:t>the FDA may restrict distribution of our product and impose burdensome implementation requirements on us; we may be required to change the way the product is administered or conduct additional clinical trials;</w:t>
      </w:r>
    </w:p>
    <w:p>
      <w:pPr>
        <w:spacing w:after="0" w:line="1" w:lineRule="exact"/>
        <w:rPr>
          <w:sz w:val="20"/>
          <w:szCs w:val="20"/>
          <w:color w:val="auto"/>
        </w:rPr>
      </w:pPr>
    </w:p>
    <w:p>
      <w:pPr>
        <w:ind w:left="440" w:right="7100"/>
        <w:spacing w:after="0" w:line="456" w:lineRule="auto"/>
        <w:rPr>
          <w:sz w:val="20"/>
          <w:szCs w:val="20"/>
          <w:color w:val="auto"/>
        </w:rPr>
      </w:pPr>
      <w:r>
        <w:rPr>
          <w:rFonts w:ascii="Times New Roman" w:cs="Times New Roman" w:eastAsia="Times New Roman" w:hAnsi="Times New Roman"/>
          <w:sz w:val="12"/>
          <w:szCs w:val="12"/>
          <w:color w:val="auto"/>
        </w:rPr>
        <w:t>we could be sued and held liable for harm caused to subjects or patients; and our reputation could suffer.</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Any of these events could prevent us from achieving or maintaining market acceptance of the CellFX System or of any future particular planned product, if approved.</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business is dependent upon physicians adopting the CellFX System and NPS technology, and if we fail to obtain broad adoption, our business would be adversely affected.</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Our success depends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the CellFX System or NPS technology with alternative treatments may be expensive, time consuming or may not yield positive results. Additionally, adoption will be directly influenced by a number of financial factors, including the ability of providers to use the CellFX System profitably and to attract cash payments from patients or to obtain sufficient reimbursement from third-party commercial payors and from the Centers for Medicare &amp; Medicaid Services (“CMS”) for the professional services they provide in administering CellFX procedures. The efficacy, safety, performance, and cost-effectiveness of the CellFX System, NPS technology, or other potential products based on NPS technology, on a stand-alone basis and relative to competing services, will determine the availability and level of reimbursement received by us and providers. If physicians do not adopt and prescribe the CellFX System or future products using our NPS technology, we may never become profitable.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75"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Laboratory conditions differ from commercial conditions and field conditions, and the safety and effectiveness of our product candidates may depend on the technique of the user.</w:t>
      </w:r>
    </w:p>
    <w:p>
      <w:pPr>
        <w:spacing w:after="0" w:line="122" w:lineRule="exact"/>
        <w:rPr>
          <w:sz w:val="20"/>
          <w:szCs w:val="20"/>
          <w:color w:val="auto"/>
        </w:rPr>
      </w:pPr>
    </w:p>
    <w:p>
      <w:pPr>
        <w:jc w:val="both"/>
        <w:ind w:right="20" w:firstLine="301"/>
        <w:spacing w:after="0" w:line="238" w:lineRule="auto"/>
        <w:rPr>
          <w:sz w:val="20"/>
          <w:szCs w:val="20"/>
          <w:color w:val="auto"/>
        </w:rPr>
      </w:pPr>
      <w:r>
        <w:rPr>
          <w:rFonts w:ascii="Times New Roman" w:cs="Times New Roman" w:eastAsia="Times New Roman" w:hAnsi="Times New Roman"/>
          <w:sz w:val="12"/>
          <w:szCs w:val="12"/>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CellFX procedures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Issues with our firmware and software may negatively affect the function of our devices.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105"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may encounter manufacturing problems or delays that could result in lost revenue.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spacing w:after="0" w:line="94"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We are in the process of commencing commercial-scale manufacturing of our product, and we currently rely upon third-party suppliers to manufacture and supply components for the CellFX System. We perform final assembly of our devices at our facility in California. We believe we have an adequate inventory of materials and manufacturing capacity to support all our anticipated commercial launch activities and foreseeable commercial activities. However, if demand for our product increases significantly, we will need to either expand our manufacturing capabilities or outsource to other manufacturers.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 in a manner that conforms to our specifications and these strict regulatory requirements, we may not be able to rely on their manufacturing facilities for the manufacture of our product.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24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currently purchase components for the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08"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spacing w:after="0" w:line="110"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07"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work with outside scientists and their institutions in developing our product and product candidates. These scientists may have other commitments or conflicts of interest, which could limit our access to their expertise, harm our ability to leverage our discovery platforms, or negatively impact our clinical trials.</w:t>
      </w:r>
    </w:p>
    <w:p>
      <w:pPr>
        <w:spacing w:after="0" w:line="94"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We work with scientific advisors and collaborators at academic research institutions in connection with our product development efforts. These scientists and collaborators are not our employees, but they serve as either independent contractors or researchers under research agreements that we have with their sponsoring clinic, academic institution or research institution. These scientists and collaborators may have other commitments limiting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could cause competitive harm to our business. To the extent these scientists and collaborators, including those assisting us with our clinical trials, may receive cash or equity compensation in connection with such services from time to time, these relationships and any related compensation may result in perceived or actual conflicts of interest, or cause a regulatory authority to conclude that the financial relationship may have affected the interpretation of the trial, such that the integrity of the data generated by them or by their institutions may be questioned and the utility of the data itself may be jeopardized, which could result in the delay or rejection of any marketing application we submit.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08"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94"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intellectual property rights will not necessarily provide us with competitive advantages.</w:t>
      </w:r>
    </w:p>
    <w:p>
      <w:pPr>
        <w:spacing w:after="0" w:line="131"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8" w:lineRule="exact"/>
        <w:rPr>
          <w:sz w:val="20"/>
          <w:szCs w:val="20"/>
          <w:color w:val="auto"/>
        </w:rPr>
      </w:pPr>
    </w:p>
    <w:p>
      <w:pPr>
        <w:ind w:left="440" w:right="2360"/>
        <w:spacing w:after="0" w:line="464" w:lineRule="auto"/>
        <w:rPr>
          <w:sz w:val="20"/>
          <w:szCs w:val="20"/>
          <w:color w:val="auto"/>
        </w:rPr>
      </w:pPr>
      <w:r>
        <w:rPr>
          <w:rFonts w:ascii="Times New Roman" w:cs="Times New Roman" w:eastAsia="Times New Roman" w:hAnsi="Times New Roman"/>
          <w:sz w:val="12"/>
          <w:szCs w:val="12"/>
          <w:color w:val="auto"/>
        </w:rPr>
        <w:t>others may be able to make products that are similar to our product candidates but that are not covered by the claims of the patents that we own or have exclusively licensed; others may independently develop similar or alternative technologies without infringing on our intellectual property rights;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96"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may fail to develop additional proprietary technologies that are patentable;</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patents of others may have an adverse effect on our business, for example by preventing us from marketing one or more of our product candidates for one or more indications.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of the aforementioned threats to our competitive advantage could harm our business.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31"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our intellectual property rights throughout the world.</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08"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94"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even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If we are unable to establish name recognition based on our trademarks and trade names, then our marketing abilities may be impacted.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Government Regulation</w:t>
      </w:r>
    </w:p>
    <w:p>
      <w:pPr>
        <w:spacing w:after="0" w:line="129"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94"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07" w:lineRule="exact"/>
        <w:rPr>
          <w:sz w:val="20"/>
          <w:szCs w:val="20"/>
          <w:color w:val="auto"/>
        </w:rPr>
      </w:pPr>
    </w:p>
    <w:p>
      <w:pPr>
        <w:jc w:val="both"/>
        <w:ind w:left="440" w:right="8500"/>
        <w:spacing w:after="0" w:line="456" w:lineRule="auto"/>
        <w:rPr>
          <w:sz w:val="20"/>
          <w:szCs w:val="20"/>
          <w:color w:val="auto"/>
        </w:rPr>
      </w:pPr>
      <w:r>
        <w:rPr>
          <w:rFonts w:ascii="Times New Roman" w:cs="Times New Roman" w:eastAsia="Times New Roman" w:hAnsi="Times New Roman"/>
          <w:sz w:val="12"/>
          <w:szCs w:val="12"/>
          <w:color w:val="auto"/>
        </w:rPr>
        <w:t>take a significant indeterminate amount of time; require the expenditure of substantial resources;</w:t>
      </w:r>
    </w:p>
    <w:p>
      <w:pPr>
        <w:spacing w:after="0" w:line="1" w:lineRule="exact"/>
        <w:rPr>
          <w:sz w:val="20"/>
          <w:szCs w:val="20"/>
          <w:color w:val="auto"/>
        </w:rPr>
      </w:pPr>
    </w:p>
    <w:p>
      <w:pPr>
        <w:ind w:left="440" w:right="6600"/>
        <w:spacing w:after="0" w:line="464" w:lineRule="auto"/>
        <w:rPr>
          <w:sz w:val="20"/>
          <w:szCs w:val="20"/>
          <w:color w:val="auto"/>
        </w:rPr>
      </w:pPr>
      <w:r>
        <w:rPr>
          <w:rFonts w:ascii="Times New Roman" w:cs="Times New Roman" w:eastAsia="Times New Roman" w:hAnsi="Times New Roman"/>
          <w:sz w:val="12"/>
          <w:szCs w:val="12"/>
          <w:color w:val="auto"/>
        </w:rPr>
        <w:t>involve rigorous preclinical and clinical testing, and possibly post-market surveillance; involve modifications, repairs or replacements of our products;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require design changes of our products;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result in limitations on the indicated uses of our products;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result in our never being granted the regulatory approval or clearance we seek.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we experience any of these occurrences, our operations may suffer and we might experience harm to our competitive standing, which could adversely affect our financial condition.</w:t>
      </w:r>
    </w:p>
    <w:p>
      <w:pPr>
        <w:spacing w:after="0" w:line="129"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continuing development of the CellFX System and other products depends upon maintaining strong working relationships with physicians.</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development, marketing, and sale of the CellFX System, and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9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07" w:lineRule="exact"/>
        <w:rPr>
          <w:sz w:val="20"/>
          <w:szCs w:val="20"/>
          <w:color w:val="auto"/>
        </w:rPr>
      </w:pPr>
    </w:p>
    <w:p>
      <w:pPr>
        <w:ind w:left="440"/>
        <w:spacing w:after="0" w:line="238" w:lineRule="auto"/>
        <w:rPr>
          <w:sz w:val="20"/>
          <w:szCs w:val="20"/>
          <w:color w:val="auto"/>
        </w:rPr>
      </w:pPr>
      <w:r>
        <w:rPr>
          <w:rFonts w:ascii="Times New Roman" w:cs="Times New Roman" w:eastAsia="Times New Roman" w:hAnsi="Times New Roman"/>
          <w:sz w:val="12"/>
          <w:szCs w:val="12"/>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08" w:lineRule="exact"/>
        <w:rPr>
          <w:sz w:val="20"/>
          <w:szCs w:val="20"/>
          <w:color w:val="auto"/>
        </w:rPr>
      </w:pPr>
    </w:p>
    <w:p>
      <w:pPr>
        <w:ind w:left="440" w:right="20"/>
        <w:spacing w:after="0" w:line="242" w:lineRule="auto"/>
        <w:rPr>
          <w:sz w:val="20"/>
          <w:szCs w:val="20"/>
          <w:color w:val="auto"/>
        </w:rPr>
      </w:pPr>
      <w:r>
        <w:rPr>
          <w:rFonts w:ascii="Times New Roman" w:cs="Times New Roman" w:eastAsia="Times New Roman" w:hAnsi="Times New Roman"/>
          <w:sz w:val="12"/>
          <w:szCs w:val="12"/>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246"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2"/>
          <w:szCs w:val="12"/>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01" w:lineRule="exact"/>
        <w:rPr>
          <w:sz w:val="20"/>
          <w:szCs w:val="20"/>
          <w:color w:val="auto"/>
        </w:rPr>
      </w:pPr>
    </w:p>
    <w:p>
      <w:pPr>
        <w:ind w:left="440"/>
        <w:spacing w:after="0" w:line="243" w:lineRule="auto"/>
        <w:rPr>
          <w:sz w:val="20"/>
          <w:szCs w:val="20"/>
          <w:color w:val="auto"/>
        </w:rPr>
      </w:pPr>
      <w:r>
        <w:rPr>
          <w:rFonts w:ascii="Times New Roman" w:cs="Times New Roman" w:eastAsia="Times New Roman" w:hAnsi="Times New Roman"/>
          <w:sz w:val="12"/>
          <w:szCs w:val="12"/>
          <w:color w:val="auto"/>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06" w:lineRule="exact"/>
        <w:rPr>
          <w:sz w:val="20"/>
          <w:szCs w:val="20"/>
          <w:color w:val="auto"/>
        </w:rPr>
      </w:pPr>
    </w:p>
    <w:p>
      <w:pPr>
        <w:ind w:left="440"/>
        <w:spacing w:after="0" w:line="242" w:lineRule="auto"/>
        <w:rPr>
          <w:sz w:val="20"/>
          <w:szCs w:val="20"/>
          <w:color w:val="auto"/>
        </w:rPr>
      </w:pPr>
      <w:r>
        <w:rPr>
          <w:rFonts w:ascii="Times New Roman" w:cs="Times New Roman" w:eastAsia="Times New Roman" w:hAnsi="Times New Roman"/>
          <w:sz w:val="12"/>
          <w:szCs w:val="12"/>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07"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2"/>
          <w:szCs w:val="12"/>
          <w:color w:val="auto"/>
        </w:rPr>
        <w:t>the CCPA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federal consumer protection and unfair competition laws, which broadly regulate marketplace activities and activities that potentially harm consumers; and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440"/>
        <w:spacing w:after="0" w:line="238" w:lineRule="auto"/>
        <w:rPr>
          <w:sz w:val="20"/>
          <w:szCs w:val="20"/>
          <w:color w:val="auto"/>
        </w:rPr>
      </w:pPr>
      <w:r>
        <w:rPr>
          <w:rFonts w:ascii="Times New Roman" w:cs="Times New Roman" w:eastAsia="Times New Roman" w:hAnsi="Times New Roman"/>
          <w:sz w:val="12"/>
          <w:szCs w:val="12"/>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01"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have implemented compliance related programs and procedures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 In addition, we are subject to the risk that a person or government could allege violations of such laws, regulations and other obligations, or allege that fraud or other misconduct has taken place, even if no misconduct has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Also, any material change to any of the laws or regulations applicable to our business could harm our business, financial condition and results of operations.</w:t>
      </w:r>
    </w:p>
    <w:p>
      <w:pPr>
        <w:spacing w:after="0" w:line="127"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94"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92" w:lineRule="exact"/>
        <w:rPr>
          <w:sz w:val="20"/>
          <w:szCs w:val="20"/>
          <w:color w:val="auto"/>
        </w:rPr>
      </w:pPr>
    </w:p>
    <w:p>
      <w:pPr>
        <w:ind w:left="440" w:right="5640"/>
        <w:spacing w:after="0" w:line="464" w:lineRule="auto"/>
        <w:rPr>
          <w:sz w:val="20"/>
          <w:szCs w:val="20"/>
          <w:color w:val="auto"/>
        </w:rPr>
      </w:pPr>
      <w:r>
        <w:rPr>
          <w:rFonts w:ascii="Times New Roman" w:cs="Times New Roman" w:eastAsia="Times New Roman" w:hAnsi="Times New Roman"/>
          <w:sz w:val="12"/>
          <w:szCs w:val="12"/>
          <w:color w:val="auto"/>
        </w:rPr>
        <w:t>may not deem a technology or device to be reasonably safe or effective for any intended use or indication; may interpret data from preclinical and clinical testing differently than we do;</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may determine our manufacturing facility or processes do not comply with quality system regulations;</w:t>
      </w:r>
    </w:p>
    <w:p>
      <w:pPr>
        <w:spacing w:after="0" w:line="129" w:lineRule="exact"/>
        <w:rPr>
          <w:sz w:val="20"/>
          <w:szCs w:val="20"/>
          <w:color w:val="auto"/>
        </w:rPr>
      </w:pPr>
    </w:p>
    <w:p>
      <w:pPr>
        <w:ind w:left="440" w:right="2600"/>
        <w:spacing w:after="0" w:line="456" w:lineRule="auto"/>
        <w:rPr>
          <w:sz w:val="20"/>
          <w:szCs w:val="20"/>
          <w:color w:val="auto"/>
        </w:rPr>
      </w:pPr>
      <w:r>
        <w:rPr>
          <w:rFonts w:ascii="Times New Roman" w:cs="Times New Roman" w:eastAsia="Times New Roman" w:hAnsi="Times New Roman"/>
          <w:sz w:val="12"/>
          <w:szCs w:val="12"/>
          <w:color w:val="auto"/>
        </w:rPr>
        <w:t>may conclude that our products do not meet quality standards for durability, long-term reliability, biocompatibility, electromagnetic compatibility, or electrical safety; or may change their approval or clearance policies or adopt new regulations in a manner that is adverse to us.</w:t>
      </w:r>
    </w:p>
    <w:p>
      <w:pPr>
        <w:spacing w:after="0" w:line="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2"/>
          <w:szCs w:val="12"/>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will be subject to ongoing requirements and inspections that could lead to the restriction, suspension or revocation of our clearance.</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00" w:lineRule="exact"/>
        <w:rPr>
          <w:sz w:val="20"/>
          <w:szCs w:val="20"/>
          <w:color w:val="auto"/>
        </w:rPr>
      </w:pPr>
    </w:p>
    <w:p>
      <w:pPr>
        <w:jc w:val="both"/>
        <w:ind w:right="20" w:firstLine="301"/>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258"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Healthcare policy changes, including recent federal legislation to reform the U.S. healthcare system, may have a material adverse effect on us.</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Owning Our Common Stock</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2"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results of clinical trials of our planned products or those of our competitors;</w:t>
      </w:r>
    </w:p>
    <w:p>
      <w:pPr>
        <w:spacing w:after="0" w:line="120" w:lineRule="exact"/>
        <w:rPr>
          <w:sz w:val="20"/>
          <w:szCs w:val="20"/>
          <w:color w:val="auto"/>
        </w:rPr>
      </w:pPr>
    </w:p>
    <w:p>
      <w:pPr>
        <w:ind w:left="440" w:right="3020"/>
        <w:spacing w:after="0" w:line="464" w:lineRule="auto"/>
        <w:rPr>
          <w:sz w:val="20"/>
          <w:szCs w:val="20"/>
          <w:color w:val="auto"/>
        </w:rPr>
      </w:pPr>
      <w:r>
        <w:rPr>
          <w:rFonts w:ascii="Times New Roman" w:cs="Times New Roman" w:eastAsia="Times New Roman" w:hAnsi="Times New Roman"/>
          <w:sz w:val="12"/>
          <w:szCs w:val="12"/>
          <w:color w:val="auto"/>
        </w:rPr>
        <w:t>actions by regulatory bodies, such as the FDA, that affect our business or have the effect of delaying or rejecting approval or clearance of our planned products; actual or anticipated fluctuations in our financial condition and operating results;</w:t>
      </w:r>
    </w:p>
    <w:p>
      <w:pPr>
        <w:spacing w:after="0" w:line="1" w:lineRule="exact"/>
        <w:rPr>
          <w:sz w:val="20"/>
          <w:szCs w:val="20"/>
          <w:color w:val="auto"/>
        </w:rPr>
      </w:pPr>
    </w:p>
    <w:p>
      <w:pPr>
        <w:ind w:left="440" w:right="4660"/>
        <w:spacing w:after="0" w:line="456" w:lineRule="auto"/>
        <w:rPr>
          <w:sz w:val="20"/>
          <w:szCs w:val="20"/>
          <w:color w:val="auto"/>
        </w:rPr>
      </w:pPr>
      <w:r>
        <w:rPr>
          <w:rFonts w:ascii="Times New Roman" w:cs="Times New Roman" w:eastAsia="Times New Roman" w:hAnsi="Times New Roman"/>
          <w:sz w:val="12"/>
          <w:szCs w:val="12"/>
          <w:color w:val="auto"/>
        </w:rPr>
        <w:t>announcements by our customers, partners or suppliers relating directly or indirectly to our products, services or technologies; announcements of technological innovations by us or our competitors;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changes in laws or regulations applicable to the CellFX System or to our planned products;</w:t>
      </w:r>
    </w:p>
    <w:p>
      <w:pPr>
        <w:spacing w:after="0" w:line="129" w:lineRule="exact"/>
        <w:rPr>
          <w:sz w:val="20"/>
          <w:szCs w:val="20"/>
          <w:color w:val="auto"/>
        </w:rPr>
      </w:pPr>
    </w:p>
    <w:p>
      <w:pPr>
        <w:ind w:left="440" w:right="2540"/>
        <w:spacing w:after="0" w:line="464" w:lineRule="auto"/>
        <w:rPr>
          <w:sz w:val="20"/>
          <w:szCs w:val="20"/>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capital commitments, or achievement of significant milestones; additions or departures of key personnel;</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competition from existing products or new products that may emerge;</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fluctuations in the valuation of companies perceived by investors to be comparable to us;</w:t>
      </w:r>
    </w:p>
    <w:p>
      <w:pPr>
        <w:spacing w:after="0" w:line="120" w:lineRule="exact"/>
        <w:rPr>
          <w:sz w:val="20"/>
          <w:szCs w:val="20"/>
          <w:color w:val="auto"/>
        </w:rPr>
      </w:pPr>
    </w:p>
    <w:p>
      <w:pPr>
        <w:ind w:left="440" w:right="2400"/>
        <w:spacing w:after="0" w:line="502" w:lineRule="auto"/>
        <w:rPr>
          <w:sz w:val="20"/>
          <w:szCs w:val="20"/>
          <w:color w:val="auto"/>
        </w:rPr>
      </w:pPr>
      <w:r>
        <w:rPr>
          <w:rFonts w:ascii="Times New Roman" w:cs="Times New Roman" w:eastAsia="Times New Roman" w:hAnsi="Times New Roman"/>
          <w:sz w:val="12"/>
          <w:szCs w:val="12"/>
          <w:color w:val="auto"/>
        </w:rPr>
        <w:t>disputes or other developments related to proprietary rights, including patents, litigation matters or our ability to obtain intellectual property protection for our technologies; actual or alleged security breaches;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440" w:right="7780"/>
        <w:spacing w:after="0" w:line="456" w:lineRule="auto"/>
        <w:rPr>
          <w:sz w:val="20"/>
          <w:szCs w:val="20"/>
          <w:color w:val="auto"/>
        </w:rPr>
      </w:pPr>
      <w:r>
        <w:rPr>
          <w:rFonts w:ascii="Times New Roman" w:cs="Times New Roman" w:eastAsia="Times New Roman" w:hAnsi="Times New Roman"/>
          <w:sz w:val="12"/>
          <w:szCs w:val="12"/>
          <w:color w:val="auto"/>
        </w:rPr>
        <w:t>announcements or expectations of additional financing efforts; sales of our common stock by us or our stockholders;</w:t>
      </w:r>
    </w:p>
    <w:p>
      <w:pPr>
        <w:spacing w:after="0" w:line="1" w:lineRule="exact"/>
        <w:rPr>
          <w:sz w:val="20"/>
          <w:szCs w:val="20"/>
          <w:color w:val="auto"/>
        </w:rPr>
      </w:pPr>
    </w:p>
    <w:p>
      <w:pPr>
        <w:ind w:left="440" w:right="5980"/>
        <w:spacing w:after="0" w:line="464" w:lineRule="auto"/>
        <w:rPr>
          <w:sz w:val="20"/>
          <w:szCs w:val="20"/>
          <w:color w:val="auto"/>
        </w:rPr>
      </w:pPr>
      <w:r>
        <w:rPr>
          <w:rFonts w:ascii="Times New Roman" w:cs="Times New Roman" w:eastAsia="Times New Roman" w:hAnsi="Times New Roman"/>
          <w:sz w:val="12"/>
          <w:szCs w:val="12"/>
          <w:color w:val="auto"/>
        </w:rPr>
        <w:t>stock price and volume fluctuations attributable to inconsistent trading volume levels of our shares; reports, guidance and ratings issued by securities or industry analysts;</w:t>
      </w:r>
    </w:p>
    <w:p>
      <w:pPr>
        <w:spacing w:after="0" w:line="1" w:lineRule="exact"/>
        <w:rPr>
          <w:sz w:val="20"/>
          <w:szCs w:val="20"/>
          <w:color w:val="auto"/>
        </w:rPr>
      </w:pPr>
    </w:p>
    <w:p>
      <w:pPr>
        <w:ind w:left="440" w:right="4420"/>
        <w:spacing w:after="0" w:line="456" w:lineRule="auto"/>
        <w:rPr>
          <w:sz w:val="20"/>
          <w:szCs w:val="20"/>
          <w:color w:val="auto"/>
        </w:rPr>
      </w:pPr>
      <w:r>
        <w:rPr>
          <w:rFonts w:ascii="Times New Roman" w:cs="Times New Roman" w:eastAsia="Times New Roman" w:hAnsi="Times New Roman"/>
          <w:sz w:val="12"/>
          <w:szCs w:val="12"/>
          <w:color w:val="auto"/>
        </w:rPr>
        <w:t>overall conditions in our industry and market including the negative impact of COVID-19 on the global economy and markets; and general economic and market conditions.</w:t>
      </w:r>
    </w:p>
    <w:p>
      <w:pPr>
        <w:spacing w:after="0" w:line="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Sales or purchases of shares of our common stock may adversely affect the market for our common stock.</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Board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09"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Additionally, we maintain a shelf registration statement on Form S-3 pursuant to which we may, from time to time, sell up to an aggregate of $160.0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do not know whether an active, liquid and orderly trading market will exist for our common stock and as a result it may be difficult for you to sell your common stock.</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94" w:lineRule="exact"/>
        <w:rPr>
          <w:sz w:val="20"/>
          <w:szCs w:val="20"/>
          <w:color w:val="auto"/>
        </w:rPr>
      </w:pPr>
    </w:p>
    <w:p>
      <w:pPr>
        <w:ind w:firstLine="301"/>
        <w:spacing w:after="0" w:line="261" w:lineRule="auto"/>
        <w:rPr>
          <w:sz w:val="20"/>
          <w:szCs w:val="20"/>
          <w:color w:val="auto"/>
        </w:rPr>
      </w:pPr>
      <w:r>
        <w:rPr>
          <w:rFonts w:ascii="Times New Roman" w:cs="Times New Roman" w:eastAsia="Times New Roman" w:hAnsi="Times New Roman"/>
          <w:sz w:val="12"/>
          <w:szCs w:val="12"/>
          <w:color w:val="auto"/>
        </w:rPr>
        <w:t>A majority percentage of our outstanding stock is held by Robert W. Duggan, Chairman of our Board, who beneficially owns approximately 56% of our common stock outstanding as of the date of this Quarterly Report. As a result, Mr. Duggan has control over corporate actions requiring stockholder approval, including the following actions: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to elect or defeat the election of our directors;</w:t>
      </w:r>
    </w:p>
    <w:p>
      <w:pPr>
        <w:spacing w:after="0" w:line="129" w:lineRule="exact"/>
        <w:rPr>
          <w:sz w:val="20"/>
          <w:szCs w:val="20"/>
          <w:color w:val="auto"/>
        </w:rPr>
      </w:pPr>
    </w:p>
    <w:p>
      <w:pPr>
        <w:ind w:left="440" w:right="6860"/>
        <w:spacing w:after="0" w:line="459" w:lineRule="auto"/>
        <w:rPr>
          <w:sz w:val="20"/>
          <w:szCs w:val="20"/>
          <w:color w:val="auto"/>
        </w:rPr>
      </w:pPr>
      <w:r>
        <w:rPr>
          <w:rFonts w:ascii="Times New Roman" w:cs="Times New Roman" w:eastAsia="Times New Roman" w:hAnsi="Times New Roman"/>
          <w:sz w:val="12"/>
          <w:szCs w:val="12"/>
          <w:color w:val="auto"/>
        </w:rPr>
        <w:t>to amend or prevent amendment of our certificate of incorporation or bylaws; to effect or prevent a merger, sale of assets or other corporate transaction; and to control the outcome of any other matter submitted to our stockholders for vote.</w:t>
      </w:r>
    </w:p>
    <w:p>
      <w:pPr>
        <w:spacing w:after="0" w:line="1"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spacing w:after="0" w:line="96"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96"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07"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Robert W. Duggan’s controlling ownership position may impact our stock price and may deter or prevent efforts by others to acquire us, which could prevent our stockholders from realizing a control premium.</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Robert W. Duggan is our Board Chairman, and beneficially owns approximately 56%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controlling ownership and position as Board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02"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10"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For example, we determined not to renew our director and officer liability insurance this year due to disproportionately high premiums quoted by insurance companies. Instead, we and Robert W. Duggan, Chairman of our board of directors, have entered into a letter agreement pursuant to which Mr. Duggan has agreed with us to personally provide “Side A” indemnity coverage on substantially the same terms as our prior coverage program for a one-year period. The impact of these requirements could also make it more difficult for us to attract and retain qualified persons to serve on our board of directors, our board committees or as our executive officers.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are a “smaller reporting company”; we cannot be certain if the applicable reduced disclosure requirements will make our common stock less attractive to investors.</w:t>
      </w:r>
    </w:p>
    <w:p>
      <w:pPr>
        <w:spacing w:after="0" w:line="131"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Through the end of 2021, we were an “emerging growth company,” as defined in the JOBS Act, and we took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While we are no longer an emerging growth company, we still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do not publish research or publish inaccurate or unfavorable research about our business, our market price and trading volume could decline.</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not paid dividends in the past and have no plans to pay dividends</w:t>
      </w:r>
      <w:r>
        <w:rPr>
          <w:rFonts w:ascii="Times New Roman" w:cs="Times New Roman" w:eastAsia="Times New Roman" w:hAnsi="Times New Roman"/>
          <w:sz w:val="12"/>
          <w:szCs w:val="12"/>
          <w:color w:val="auto"/>
        </w:rPr>
        <w:t>.</w:t>
      </w:r>
    </w:p>
    <w:p>
      <w:pPr>
        <w:spacing w:after="0" w:line="131"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00"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94"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92"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2"/>
          <w:szCs w:val="12"/>
          <w:color w:val="auto"/>
        </w:rPr>
        <w:t>authorize our board of directors to issue, without further action by the stockholders, up to 50,000,000 shares of preferred stock and up to approximately 500,000,000 shares of authorized but unissued shares of common stock;</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require that any action to be taken by our stockholders be effected at a duly called annual or special meeting and not by written consent;</w:t>
      </w:r>
    </w:p>
    <w:p>
      <w:pPr>
        <w:spacing w:after="0" w:line="120" w:lineRule="exact"/>
        <w:rPr>
          <w:sz w:val="20"/>
          <w:szCs w:val="20"/>
          <w:color w:val="auto"/>
        </w:rPr>
      </w:pPr>
    </w:p>
    <w:p>
      <w:pPr>
        <w:ind w:left="440" w:right="20"/>
        <w:spacing w:after="0" w:line="277" w:lineRule="auto"/>
        <w:rPr>
          <w:sz w:val="20"/>
          <w:szCs w:val="20"/>
          <w:color w:val="auto"/>
        </w:rPr>
      </w:pPr>
      <w:r>
        <w:rPr>
          <w:rFonts w:ascii="Times New Roman" w:cs="Times New Roman" w:eastAsia="Times New Roman" w:hAnsi="Times New Roman"/>
          <w:sz w:val="12"/>
          <w:szCs w:val="12"/>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establish an advance notice procedure for stockholder approvals to be brought before an annual meeting of our stockholders, including proposed nominations of persons for election to our board of directors;</w:t>
      </w:r>
    </w:p>
    <w:p>
      <w:pPr>
        <w:spacing w:after="0" w:line="120" w:lineRule="exact"/>
        <w:rPr>
          <w:sz w:val="20"/>
          <w:szCs w:val="20"/>
          <w:color w:val="auto"/>
        </w:rPr>
      </w:pPr>
    </w:p>
    <w:p>
      <w:pPr>
        <w:ind w:left="440" w:right="20"/>
        <w:spacing w:after="0" w:line="277" w:lineRule="auto"/>
        <w:rPr>
          <w:sz w:val="20"/>
          <w:szCs w:val="20"/>
          <w:color w:val="auto"/>
        </w:rPr>
      </w:pPr>
      <w:r>
        <w:rPr>
          <w:rFonts w:ascii="Times New Roman" w:cs="Times New Roman" w:eastAsia="Times New Roman" w:hAnsi="Times New Roman"/>
          <w:sz w:val="12"/>
          <w:szCs w:val="12"/>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give our board of directors the ability to amend our bylaws by majority vote;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provide that vacancies on our board of directors may be filled only by a majority of directors then in office, even though less than a quorum.</w:t>
      </w:r>
    </w:p>
    <w:p>
      <w:pPr>
        <w:spacing w:after="0" w:line="129"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General Risk Factors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Unfavorable global economic or political conditions could adversely affect our business, financial condition or results of operations.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the CellFX System,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08"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4"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99"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litigation that may materially adversely affect us.</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business may be adversely affected by health epidemics including the coronavirus pandemic.</w:t>
      </w:r>
    </w:p>
    <w:p>
      <w:pPr>
        <w:spacing w:after="0" w:line="131"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The COVID-19 pandemic has resulted in government authorities implementing, from time to time, numerous measures to try to contain the virus, such as travel bans and restrictions, quarantines, shelter-in-place or stay-at-home orders, and business shutdowns.</w:t>
      </w:r>
    </w:p>
    <w:p>
      <w:pPr>
        <w:spacing w:after="0" w:line="78"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For most of 2020 and much of both 2021 and 2022, we required, in accordance with local and state guidelines regarding the COVID-19 pandemic, all of our employees to work remotely unless they could not perform their essential functions remotely. We also suspended all non-essential travel for our employees. While many of our employees are accustomed to working remotely or working with other remote employees, much of our workforce has not historically been remote. We continue to monitor the situation and may adjust our current policies as more information and public health guidance becomes available. Operational restrictions as a result of the COVD-19 pandemic could harm our business, financial condition and results of operations.</w:t>
      </w:r>
    </w:p>
    <w:p>
      <w:pPr>
        <w:spacing w:after="0" w:line="96"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addition, our clinical trials may be affected by the continuing COVID-19 pandemic. Site initiation and patient enrollment may be delayed, for example, due to prioritization of hospital resources toward the COVID-19 pandemic, travel restrictions imposed by governments, and the inability to access sites for initiation and monitoring. Some of our suppliers of certain materials used in the production of the CellFX System are located in areas heavily impacted by COVID-19 which could limit our ability to obtain sufficient materials. COVID-19 has and will continue to adversely affect global economies and financial markets of many countries, resulting in an economic downturn that could affect demand for the CellFX System and other product candidates, if approved, and impact our operating results. Even after the COVID-19 pandemic has subsided, we may continue to experience an adverse impact to our business as a result of the continued global economic impact of the pandemic. Although we are continuing to monitor and assess the effects of the COVID-19 pandemic on our business, the ultimate impact of the COVID-19 pandemic or a similar health epidemic is highly uncertain and subject to change.</w:t>
      </w:r>
    </w:p>
    <w:p>
      <w:pPr>
        <w:spacing w:after="0" w:line="108"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9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41" w:lineRule="exact"/>
        <w:rPr>
          <w:sz w:val="20"/>
          <w:szCs w:val="20"/>
          <w:color w:val="auto"/>
        </w:rPr>
      </w:pPr>
    </w:p>
    <w:p>
      <w:pPr>
        <w:ind w:firstLine="301"/>
        <w:spacing w:after="0" w:line="261" w:lineRule="auto"/>
        <w:rPr>
          <w:sz w:val="20"/>
          <w:szCs w:val="20"/>
          <w:color w:val="auto"/>
        </w:rPr>
      </w:pPr>
      <w:r>
        <w:rPr>
          <w:rFonts w:ascii="Times New Roman" w:cs="Times New Roman" w:eastAsia="Times New Roman" w:hAnsi="Times New Roman"/>
          <w:sz w:val="12"/>
          <w:szCs w:val="12"/>
          <w:color w:val="auto"/>
        </w:rPr>
        <w:t>During the three-month period ended June 30, 2022, we completed no unregistered sale of our securities, except for the sale of approximately seven million shares of our common stock, in a rights offering, as described in Note 6 of this Quarterly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 Upon Senior Securities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80" w:type="dxa"/>
            <w:vAlign w:val="bottom"/>
            <w:gridSpan w:val="5"/>
          </w:tcPr>
          <w:p>
            <w:pPr>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0120" w:type="dxa"/>
            <w:vAlign w:val="bottom"/>
            <w:gridSpan w:val="6"/>
            <w:vMerge w:val="restart"/>
          </w:tcPr>
          <w:p>
            <w:pPr>
              <w:spacing w:after="0"/>
              <w:rPr>
                <w:sz w:val="20"/>
                <w:szCs w:val="20"/>
                <w:color w:val="auto"/>
              </w:rPr>
            </w:pPr>
            <w:r>
              <w:rPr>
                <w:rFonts w:ascii="Times New Roman" w:cs="Times New Roman" w:eastAsia="Times New Roman" w:hAnsi="Times New Roman"/>
                <w:sz w:val="9"/>
                <w:szCs w:val="9"/>
                <w:b w:val="1"/>
                <w:bCs w:val="1"/>
                <w:color w:val="auto"/>
              </w:rPr>
              <w:t>Exhibit Description</w:t>
            </w:r>
          </w:p>
        </w:tc>
        <w:tc>
          <w:tcPr>
            <w:tcW w:w="0" w:type="dxa"/>
            <w:vAlign w:val="bottom"/>
          </w:tcPr>
          <w:p>
            <w:pPr>
              <w:spacing w:after="0"/>
              <w:rPr>
                <w:sz w:val="1"/>
                <w:szCs w:val="1"/>
                <w:color w:val="auto"/>
              </w:rPr>
            </w:pPr>
          </w:p>
        </w:tc>
      </w:tr>
      <w:tr>
        <w:trPr>
          <w:trHeight w:val="122"/>
        </w:trPr>
        <w:tc>
          <w:tcPr>
            <w:tcW w:w="1180" w:type="dxa"/>
            <w:vAlign w:val="bottom"/>
            <w:gridSpan w:val="5"/>
          </w:tcPr>
          <w:p>
            <w:pPr>
              <w:spacing w:after="0"/>
              <w:rPr>
                <w:sz w:val="20"/>
                <w:szCs w:val="20"/>
                <w:color w:val="auto"/>
              </w:rPr>
            </w:pPr>
            <w:r>
              <w:rPr>
                <w:rFonts w:ascii="Times New Roman" w:cs="Times New Roman" w:eastAsia="Times New Roman" w:hAnsi="Times New Roman"/>
                <w:sz w:val="9"/>
                <w:szCs w:val="9"/>
                <w:b w:val="1"/>
                <w:bCs w:val="1"/>
                <w:color w:val="auto"/>
              </w:rPr>
              <w:t>Number</w:t>
            </w:r>
          </w:p>
        </w:tc>
        <w:tc>
          <w:tcPr>
            <w:tcW w:w="101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0" w:type="dxa"/>
            <w:vAlign w:val="bottom"/>
            <w:tcBorders>
              <w:top w:val="single" w:sz="8" w:color="auto"/>
            </w:tcBorders>
            <w:gridSpan w:val="2"/>
          </w:tcPr>
          <w:p>
            <w:pPr>
              <w:spacing w:after="0" w:line="100" w:lineRule="exact"/>
              <w:rPr>
                <w:sz w:val="20"/>
                <w:szCs w:val="20"/>
                <w:color w:val="auto"/>
              </w:rPr>
            </w:pPr>
            <w:r>
              <w:rPr>
                <w:rFonts w:ascii="Times New Roman" w:cs="Times New Roman" w:eastAsia="Times New Roman" w:hAnsi="Times New Roman"/>
                <w:sz w:val="11"/>
                <w:szCs w:val="11"/>
                <w:color w:val="0563C1"/>
                <w:w w:val="93"/>
              </w:rPr>
              <w:t>10.</w:t>
            </w:r>
            <w:r>
              <w:rPr>
                <w:rFonts w:ascii="Times New Roman" w:cs="Times New Roman" w:eastAsia="Times New Roman" w:hAnsi="Times New Roman"/>
                <w:sz w:val="11"/>
                <w:szCs w:val="11"/>
                <w:u w:val="single" w:color="auto"/>
                <w:color w:val="0563C1"/>
                <w:w w:val="93"/>
              </w:rPr>
              <w:t>1</w:t>
            </w:r>
          </w:p>
        </w:tc>
        <w:tc>
          <w:tcPr>
            <w:tcW w:w="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120" w:type="dxa"/>
            <w:vAlign w:val="bottom"/>
            <w:tcBorders>
              <w:top w:val="single" w:sz="8" w:color="auto"/>
            </w:tcBorders>
            <w:gridSpan w:val="6"/>
          </w:tcPr>
          <w:p>
            <w:pPr>
              <w:spacing w:after="0" w:line="100" w:lineRule="exact"/>
              <w:rPr>
                <w:sz w:val="20"/>
                <w:szCs w:val="20"/>
                <w:color w:val="auto"/>
              </w:rPr>
            </w:pPr>
            <w:r>
              <w:rPr>
                <w:rFonts w:ascii="Times New Roman" w:cs="Times New Roman" w:eastAsia="Times New Roman" w:hAnsi="Times New Roman"/>
                <w:sz w:val="11"/>
                <w:szCs w:val="11"/>
                <w:color w:val="0563C1"/>
              </w:rPr>
              <w:t>Indemnification Letter, dated May 27, 2022, by and between Pulse Biosciences, Inc. and Robert W. Duggan</w:t>
            </w:r>
          </w:p>
        </w:tc>
        <w:tc>
          <w:tcPr>
            <w:tcW w:w="0" w:type="dxa"/>
            <w:vAlign w:val="bottom"/>
          </w:tcPr>
          <w:p>
            <w:pPr>
              <w:spacing w:after="0"/>
              <w:rPr>
                <w:sz w:val="1"/>
                <w:szCs w:val="1"/>
                <w:color w:val="auto"/>
              </w:rPr>
            </w:pPr>
          </w:p>
        </w:tc>
      </w:tr>
      <w:tr>
        <w:trPr>
          <w:trHeight w:val="109"/>
        </w:trPr>
        <w:tc>
          <w:tcPr>
            <w:tcW w:w="200" w:type="dxa"/>
            <w:vAlign w:val="bottom"/>
            <w:tcBorders>
              <w:top w:val="single" w:sz="8" w:color="0563C1"/>
            </w:tcBorders>
            <w:gridSpan w:val="2"/>
          </w:tcPr>
          <w:p>
            <w:pPr>
              <w:spacing w:after="0" w:line="109" w:lineRule="exact"/>
              <w:rPr>
                <w:sz w:val="20"/>
                <w:szCs w:val="20"/>
                <w:color w:val="auto"/>
              </w:rPr>
            </w:pPr>
            <w:r>
              <w:rPr>
                <w:rFonts w:ascii="Times New Roman" w:cs="Times New Roman" w:eastAsia="Times New Roman" w:hAnsi="Times New Roman"/>
                <w:sz w:val="12"/>
                <w:szCs w:val="12"/>
                <w:color w:val="0563C1"/>
                <w:w w:val="85"/>
              </w:rPr>
              <w:t>31.</w:t>
            </w:r>
            <w:r>
              <w:rPr>
                <w:rFonts w:ascii="Times New Roman" w:cs="Times New Roman" w:eastAsia="Times New Roman" w:hAnsi="Times New Roman"/>
                <w:sz w:val="12"/>
                <w:szCs w:val="12"/>
                <w:u w:val="single" w:color="auto"/>
                <w:color w:val="0563C1"/>
                <w:w w:val="85"/>
              </w:rPr>
              <w:t>1</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top w:val="single" w:sz="8" w:color="0563C1"/>
            </w:tcBorders>
          </w:tcPr>
          <w:p>
            <w:pPr>
              <w:spacing w:after="0"/>
              <w:rPr>
                <w:sz w:val="9"/>
                <w:szCs w:val="9"/>
                <w:color w:val="auto"/>
              </w:rPr>
            </w:pPr>
          </w:p>
        </w:tc>
        <w:tc>
          <w:tcPr>
            <w:tcW w:w="5280" w:type="dxa"/>
            <w:vAlign w:val="bottom"/>
            <w:tcBorders>
              <w:top w:val="single" w:sz="8" w:color="0563C1"/>
            </w:tcBorders>
            <w:gridSpan w:val="3"/>
          </w:tcPr>
          <w:p>
            <w:pPr>
              <w:spacing w:after="0" w:line="109" w:lineRule="exact"/>
              <w:rPr>
                <w:sz w:val="20"/>
                <w:szCs w:val="20"/>
                <w:color w:val="auto"/>
              </w:rPr>
            </w:pPr>
            <w:r>
              <w:rPr>
                <w:rFonts w:ascii="Times New Roman" w:cs="Times New Roman" w:eastAsia="Times New Roman" w:hAnsi="Times New Roman"/>
                <w:sz w:val="12"/>
                <w:szCs w:val="12"/>
                <w:color w:val="0563C1"/>
              </w:rPr>
              <w:t>Certification of Chief Executive Officer pursuant to Section 302 of the Sarbanes-Oxley Act of 2002.</w:t>
            </w:r>
          </w:p>
        </w:tc>
        <w:tc>
          <w:tcPr>
            <w:tcW w:w="21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0" w:type="dxa"/>
            <w:vAlign w:val="bottom"/>
            <w:tcBorders>
              <w:top w:val="single" w:sz="8" w:color="0563C1"/>
            </w:tcBorders>
            <w:gridSpan w:val="2"/>
          </w:tcPr>
          <w:p>
            <w:pPr>
              <w:spacing w:after="0" w:line="109" w:lineRule="exact"/>
              <w:rPr>
                <w:sz w:val="20"/>
                <w:szCs w:val="20"/>
                <w:color w:val="auto"/>
              </w:rPr>
            </w:pPr>
            <w:r>
              <w:rPr>
                <w:rFonts w:ascii="Times New Roman" w:cs="Times New Roman" w:eastAsia="Times New Roman" w:hAnsi="Times New Roman"/>
                <w:sz w:val="12"/>
                <w:szCs w:val="12"/>
                <w:color w:val="0563C1"/>
                <w:w w:val="85"/>
              </w:rPr>
              <w:t>31.</w:t>
            </w:r>
            <w:r>
              <w:rPr>
                <w:rFonts w:ascii="Times New Roman" w:cs="Times New Roman" w:eastAsia="Times New Roman" w:hAnsi="Times New Roman"/>
                <w:sz w:val="12"/>
                <w:szCs w:val="12"/>
                <w:u w:val="single" w:color="auto"/>
                <w:color w:val="0563C1"/>
                <w:w w:val="85"/>
              </w:rPr>
              <w:t>2</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920" w:type="dxa"/>
            <w:vAlign w:val="bottom"/>
            <w:tcBorders>
              <w:top w:val="single" w:sz="8" w:color="0563C1"/>
            </w:tcBorders>
            <w:gridSpan w:val="2"/>
          </w:tcPr>
          <w:p>
            <w:pPr>
              <w:spacing w:after="0" w:line="109" w:lineRule="exact"/>
              <w:rPr>
                <w:sz w:val="20"/>
                <w:szCs w:val="20"/>
                <w:color w:val="auto"/>
              </w:rPr>
            </w:pPr>
            <w:r>
              <w:rPr>
                <w:rFonts w:ascii="Times New Roman" w:cs="Times New Roman" w:eastAsia="Times New Roman" w:hAnsi="Times New Roman"/>
                <w:sz w:val="12"/>
                <w:szCs w:val="12"/>
                <w:color w:val="0563C1"/>
              </w:rPr>
              <w:t>Certification of Chief Financial Officer pursuant to Section 302 of the Sarbanes-Oxley Act of 2002.</w:t>
            </w:r>
          </w:p>
        </w:tc>
        <w:tc>
          <w:tcPr>
            <w:tcW w:w="2500" w:type="dxa"/>
            <w:vAlign w:val="bottom"/>
            <w:gridSpan w:val="2"/>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tcBorders>
              <w:right w:val="single" w:sz="8" w:color="0000EE"/>
            </w:tcBorders>
            <w:gridSpan w:val="2"/>
            <w:shd w:val="clear" w:color="auto" w:fill="0563C1"/>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shd w:val="clear" w:color="auto" w:fill="0563C1"/>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22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0563C1"/>
                <w:w w:val="85"/>
              </w:rPr>
              <w:t>32.</w:t>
            </w:r>
            <w:r>
              <w:rPr>
                <w:rFonts w:ascii="Times New Roman" w:cs="Times New Roman" w:eastAsia="Times New Roman" w:hAnsi="Times New Roman"/>
                <w:sz w:val="12"/>
                <w:szCs w:val="12"/>
                <w:u w:val="single" w:color="auto"/>
                <w:color w:val="0563C1"/>
                <w:w w:val="85"/>
              </w:rPr>
              <w:t>1</w:t>
            </w:r>
          </w:p>
        </w:tc>
        <w:tc>
          <w:tcPr>
            <w:tcW w:w="7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100" w:type="dxa"/>
            <w:vAlign w:val="bottom"/>
            <w:gridSpan w:val="5"/>
          </w:tcPr>
          <w:p>
            <w:pPr>
              <w:spacing w:after="0" w:line="109" w:lineRule="exact"/>
              <w:rPr>
                <w:sz w:val="20"/>
                <w:szCs w:val="20"/>
                <w:color w:val="auto"/>
              </w:rPr>
            </w:pPr>
            <w:r>
              <w:rPr>
                <w:rFonts w:ascii="Times New Roman" w:cs="Times New Roman" w:eastAsia="Times New Roman" w:hAnsi="Times New Roman"/>
                <w:sz w:val="12"/>
                <w:szCs w:val="12"/>
                <w:color w:val="0563C1"/>
              </w:rPr>
              <w:t>Certification of the Chief Executive and Chief Financial Officers pursuant to Section 906 of the Sarbanes-Oxley Act of 2002 (18 U.S.C. Section 1350).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 w:type="dxa"/>
            <w:vAlign w:val="bottom"/>
            <w:tcBorders>
              <w:top w:val="single" w:sz="8" w:color="0563C1"/>
            </w:tcBorders>
            <w:gridSpan w:val="2"/>
          </w:tcPr>
          <w:p>
            <w:pPr>
              <w:spacing w:after="0" w:line="106" w:lineRule="exact"/>
              <w:rPr>
                <w:sz w:val="20"/>
                <w:szCs w:val="20"/>
                <w:color w:val="auto"/>
              </w:rPr>
            </w:pPr>
            <w:r>
              <w:rPr>
                <w:rFonts w:ascii="Times New Roman" w:cs="Times New Roman" w:eastAsia="Times New Roman" w:hAnsi="Times New Roman"/>
                <w:sz w:val="12"/>
                <w:szCs w:val="12"/>
                <w:color w:val="auto"/>
                <w:w w:val="85"/>
              </w:rPr>
              <w:t>101.</w:t>
            </w:r>
          </w:p>
        </w:tc>
        <w:tc>
          <w:tcPr>
            <w:tcW w:w="94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INS</w:t>
            </w:r>
          </w:p>
        </w:tc>
        <w:tc>
          <w:tcPr>
            <w:tcW w:w="20" w:type="dxa"/>
            <w:vAlign w:val="bottom"/>
          </w:tcPr>
          <w:p>
            <w:pPr>
              <w:spacing w:after="0"/>
              <w:rPr>
                <w:sz w:val="9"/>
                <w:szCs w:val="9"/>
                <w:color w:val="auto"/>
              </w:rPr>
            </w:pPr>
          </w:p>
        </w:tc>
        <w:tc>
          <w:tcPr>
            <w:tcW w:w="7420" w:type="dxa"/>
            <w:vAlign w:val="bottom"/>
            <w:tcBorders>
              <w:top w:val="single" w:sz="8" w:color="0563C1"/>
            </w:tcBorders>
            <w:gridSpan w:val="4"/>
          </w:tcPr>
          <w:p>
            <w:pPr>
              <w:spacing w:after="0" w:line="106" w:lineRule="exact"/>
              <w:rPr>
                <w:sz w:val="20"/>
                <w:szCs w:val="20"/>
                <w:color w:val="auto"/>
              </w:rPr>
            </w:pPr>
            <w:r>
              <w:rPr>
                <w:rFonts w:ascii="Times New Roman" w:cs="Times New Roman" w:eastAsia="Times New Roman" w:hAnsi="Times New Roman"/>
                <w:sz w:val="12"/>
                <w:szCs w:val="12"/>
                <w:color w:val="auto"/>
              </w:rPr>
              <w:t>XBRL Instance Document</w:t>
            </w: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4"/>
          </w:tcPr>
          <w:p>
            <w:pPr>
              <w:spacing w:after="0" w:line="129" w:lineRule="exact"/>
              <w:rPr>
                <w:sz w:val="20"/>
                <w:szCs w:val="20"/>
                <w:color w:val="auto"/>
              </w:rPr>
            </w:pPr>
            <w:r>
              <w:rPr>
                <w:rFonts w:ascii="Times New Roman" w:cs="Times New Roman" w:eastAsia="Times New Roman" w:hAnsi="Times New Roman"/>
                <w:sz w:val="12"/>
                <w:szCs w:val="12"/>
                <w:color w:val="auto"/>
              </w:rPr>
              <w:t>101.SCH</w:t>
            </w:r>
          </w:p>
        </w:tc>
        <w:tc>
          <w:tcPr>
            <w:tcW w:w="20" w:type="dxa"/>
            <w:vAlign w:val="bottom"/>
          </w:tcPr>
          <w:p>
            <w:pPr>
              <w:spacing w:after="0"/>
              <w:rPr>
                <w:sz w:val="11"/>
                <w:szCs w:val="11"/>
                <w:color w:val="auto"/>
              </w:rPr>
            </w:pPr>
          </w:p>
        </w:tc>
        <w:tc>
          <w:tcPr>
            <w:tcW w:w="10100" w:type="dxa"/>
            <w:vAlign w:val="bottom"/>
            <w:gridSpan w:val="5"/>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Schema Document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4"/>
          </w:tcPr>
          <w:p>
            <w:pPr>
              <w:spacing w:after="0" w:line="129" w:lineRule="exact"/>
              <w:rPr>
                <w:sz w:val="20"/>
                <w:szCs w:val="20"/>
                <w:color w:val="auto"/>
              </w:rPr>
            </w:pPr>
            <w:r>
              <w:rPr>
                <w:rFonts w:ascii="Times New Roman" w:cs="Times New Roman" w:eastAsia="Times New Roman" w:hAnsi="Times New Roman"/>
                <w:sz w:val="12"/>
                <w:szCs w:val="12"/>
                <w:color w:val="auto"/>
              </w:rPr>
              <w:t>101.CAL</w:t>
            </w:r>
          </w:p>
        </w:tc>
        <w:tc>
          <w:tcPr>
            <w:tcW w:w="20" w:type="dxa"/>
            <w:vAlign w:val="bottom"/>
          </w:tcPr>
          <w:p>
            <w:pPr>
              <w:spacing w:after="0"/>
              <w:rPr>
                <w:sz w:val="11"/>
                <w:szCs w:val="11"/>
                <w:color w:val="auto"/>
              </w:rPr>
            </w:pPr>
          </w:p>
        </w:tc>
        <w:tc>
          <w:tcPr>
            <w:tcW w:w="10100" w:type="dxa"/>
            <w:vAlign w:val="bottom"/>
            <w:gridSpan w:val="5"/>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4"/>
          </w:tcPr>
          <w:p>
            <w:pPr>
              <w:spacing w:after="0" w:line="129" w:lineRule="exact"/>
              <w:rPr>
                <w:sz w:val="20"/>
                <w:szCs w:val="20"/>
                <w:color w:val="auto"/>
              </w:rPr>
            </w:pPr>
            <w:r>
              <w:rPr>
                <w:rFonts w:ascii="Times New Roman" w:cs="Times New Roman" w:eastAsia="Times New Roman" w:hAnsi="Times New Roman"/>
                <w:sz w:val="12"/>
                <w:szCs w:val="12"/>
                <w:color w:val="auto"/>
              </w:rPr>
              <w:t>101.DEF</w:t>
            </w:r>
          </w:p>
        </w:tc>
        <w:tc>
          <w:tcPr>
            <w:tcW w:w="20" w:type="dxa"/>
            <w:vAlign w:val="bottom"/>
          </w:tcPr>
          <w:p>
            <w:pPr>
              <w:spacing w:after="0"/>
              <w:rPr>
                <w:sz w:val="11"/>
                <w:szCs w:val="11"/>
                <w:color w:val="auto"/>
              </w:rPr>
            </w:pPr>
          </w:p>
        </w:tc>
        <w:tc>
          <w:tcPr>
            <w:tcW w:w="10100" w:type="dxa"/>
            <w:vAlign w:val="bottom"/>
            <w:gridSpan w:val="5"/>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4"/>
          </w:tcPr>
          <w:p>
            <w:pPr>
              <w:spacing w:after="0" w:line="129" w:lineRule="exact"/>
              <w:rPr>
                <w:sz w:val="20"/>
                <w:szCs w:val="20"/>
                <w:color w:val="auto"/>
              </w:rPr>
            </w:pPr>
            <w:r>
              <w:rPr>
                <w:rFonts w:ascii="Times New Roman" w:cs="Times New Roman" w:eastAsia="Times New Roman" w:hAnsi="Times New Roman"/>
                <w:sz w:val="12"/>
                <w:szCs w:val="12"/>
                <w:color w:val="auto"/>
              </w:rPr>
              <w:t>101.LAB</w:t>
            </w:r>
          </w:p>
        </w:tc>
        <w:tc>
          <w:tcPr>
            <w:tcW w:w="20" w:type="dxa"/>
            <w:vAlign w:val="bottom"/>
          </w:tcPr>
          <w:p>
            <w:pPr>
              <w:spacing w:after="0"/>
              <w:rPr>
                <w:sz w:val="11"/>
                <w:szCs w:val="11"/>
                <w:color w:val="auto"/>
              </w:rPr>
            </w:pPr>
          </w:p>
        </w:tc>
        <w:tc>
          <w:tcPr>
            <w:tcW w:w="10100" w:type="dxa"/>
            <w:vAlign w:val="bottom"/>
            <w:gridSpan w:val="5"/>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101.PRE</w:t>
            </w:r>
          </w:p>
        </w:tc>
        <w:tc>
          <w:tcPr>
            <w:tcW w:w="20" w:type="dxa"/>
            <w:vAlign w:val="bottom"/>
          </w:tcPr>
          <w:p>
            <w:pPr>
              <w:spacing w:after="0"/>
              <w:rPr>
                <w:sz w:val="12"/>
                <w:szCs w:val="12"/>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104Cover Page Interactive Data File (formatted as Inline XBRL and contained in Exhibit 101)</w:t>
      </w:r>
    </w:p>
    <w:p>
      <w:pPr>
        <w:spacing w:after="0" w:line="10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2"/>
          <w:szCs w:val="12"/>
          <w:color w:val="auto"/>
        </w:rPr>
        <w:t>* 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Act of 1934, the registrant has duly caused this report to be signed on its behalf by the undersigned thereunto duly authorized.</w:t>
      </w:r>
    </w:p>
    <w:p>
      <w:pPr>
        <w:spacing w:after="0" w:line="25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122" w:lineRule="exact"/>
        <w:rPr>
          <w:sz w:val="20"/>
          <w:szCs w:val="20"/>
          <w:color w:val="auto"/>
        </w:rPr>
      </w:pPr>
    </w:p>
    <w:p>
      <w:pPr>
        <w:spacing w:after="0"/>
        <w:tabs>
          <w:tab w:leader="none" w:pos="5740" w:val="left"/>
          <w:tab w:leader="none" w:pos="6260" w:val="left"/>
        </w:tabs>
        <w:rPr>
          <w:sz w:val="20"/>
          <w:szCs w:val="20"/>
          <w:color w:val="auto"/>
        </w:rPr>
      </w:pPr>
      <w:r>
        <w:rPr>
          <w:rFonts w:ascii="Times New Roman" w:cs="Times New Roman" w:eastAsia="Times New Roman" w:hAnsi="Times New Roman"/>
          <w:sz w:val="12"/>
          <w:szCs w:val="12"/>
          <w:color w:val="auto"/>
        </w:rPr>
        <w:t>Date: August 10,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8255</wp:posOffset>
            </wp:positionV>
            <wp:extent cx="287972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79725" cy="5715"/>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11"/>
          <w:szCs w:val="11"/>
          <w:b w:val="1"/>
          <w:bCs w:val="1"/>
          <w:color w:val="auto"/>
        </w:rPr>
        <w:t>Sandra A. Gardiner</w:t>
      </w:r>
    </w:p>
    <w:p>
      <w:pPr>
        <w:ind w:left="6280"/>
        <w:spacing w:after="0"/>
        <w:rPr>
          <w:sz w:val="20"/>
          <w:szCs w:val="20"/>
          <w:color w:val="auto"/>
        </w:rPr>
      </w:pPr>
      <w:r>
        <w:rPr>
          <w:rFonts w:ascii="Times New Roman" w:cs="Times New Roman" w:eastAsia="Times New Roman" w:hAnsi="Times New Roman"/>
          <w:sz w:val="10"/>
          <w:szCs w:val="10"/>
          <w:b w:val="1"/>
          <w:bCs w:val="1"/>
          <w:color w:val="auto"/>
        </w:rPr>
        <w:t>Chief Financial Officer, Executive Vice President of Finance and Administration, and Treasurer</w:t>
      </w:r>
    </w:p>
    <w:p>
      <w:pPr>
        <w:spacing w:after="0" w:line="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i w:val="1"/>
          <w:iCs w:val="1"/>
          <w:color w:val="auto"/>
        </w:rPr>
        <w:t>Principal Financial and Accounting Officer</w:t>
      </w:r>
      <w:r>
        <w:rPr>
          <w:rFonts w:ascii="Times New Roman" w:cs="Times New Roman" w:eastAsia="Times New Roman" w:hAnsi="Times New Roman"/>
          <w:sz w:val="11"/>
          <w:szCs w:val="11"/>
          <w:b w:val="1"/>
          <w:bCs w:val="1"/>
          <w:color w:val="auto"/>
        </w:rPr>
        <w:t>)</w:t>
      </w:r>
    </w:p>
    <w:p>
      <w:pPr>
        <w:spacing w:after="0" w:line="24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10780"/>
          </w:cols>
          <w:pgMar w:left="300" w:top="116" w:right="819" w:bottom="1440" w:gutter="0" w:footer="0" w:header="0"/>
        </w:sectPr>
      </w:pPr>
    </w:p>
    <w:bookmarkStart w:id="71" w:name="page72"/>
    <w:bookmarkEnd w:id="71"/>
    <w:p>
      <w:pPr>
        <w:ind w:left="4260"/>
        <w:spacing w:after="0"/>
        <w:rPr>
          <w:sz w:val="20"/>
          <w:szCs w:val="20"/>
          <w:color w:val="auto"/>
        </w:rPr>
      </w:pPr>
      <w:r>
        <w:rPr>
          <w:rFonts w:ascii="Times New Roman" w:cs="Times New Roman" w:eastAsia="Times New Roman" w:hAnsi="Times New Roman"/>
          <w:sz w:val="14"/>
          <w:szCs w:val="14"/>
          <w:color w:val="auto"/>
        </w:rPr>
        <w:t>Robert W. Duggan</w:t>
      </w:r>
    </w:p>
    <w:p>
      <w:pPr>
        <w:ind w:left="3720"/>
        <w:spacing w:after="0" w:line="192" w:lineRule="auto"/>
        <w:rPr>
          <w:sz w:val="20"/>
          <w:szCs w:val="20"/>
          <w:color w:val="auto"/>
        </w:rPr>
      </w:pPr>
      <w:r>
        <w:rPr>
          <w:rFonts w:ascii="Times New Roman" w:cs="Times New Roman" w:eastAsia="Times New Roman" w:hAnsi="Times New Roman"/>
          <w:sz w:val="14"/>
          <w:szCs w:val="14"/>
          <w:color w:val="auto"/>
        </w:rPr>
        <w:t>611 S Fort Harrison Avenue, Suite 306</w:t>
      </w:r>
    </w:p>
    <w:p>
      <w:pPr>
        <w:jc w:val="center"/>
        <w:spacing w:after="0"/>
        <w:rPr>
          <w:sz w:val="20"/>
          <w:szCs w:val="20"/>
          <w:color w:val="auto"/>
        </w:rPr>
      </w:pPr>
      <w:r>
        <w:rPr>
          <w:rFonts w:ascii="Times New Roman" w:cs="Times New Roman" w:eastAsia="Times New Roman" w:hAnsi="Times New Roman"/>
          <w:sz w:val="14"/>
          <w:szCs w:val="14"/>
          <w:color w:val="auto"/>
        </w:rPr>
        <w:t>Clearwater, FL 33756</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May 27, 2022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Pulse Biosciences</w:t>
      </w:r>
    </w:p>
    <w:p>
      <w:pPr>
        <w:spacing w:after="0" w:line="206" w:lineRule="auto"/>
        <w:rPr>
          <w:sz w:val="20"/>
          <w:szCs w:val="20"/>
          <w:color w:val="auto"/>
        </w:rPr>
      </w:pPr>
      <w:r>
        <w:rPr>
          <w:rFonts w:ascii="Times New Roman" w:cs="Times New Roman" w:eastAsia="Times New Roman" w:hAnsi="Times New Roman"/>
          <w:sz w:val="14"/>
          <w:szCs w:val="14"/>
          <w:color w:val="auto"/>
        </w:rPr>
        <w:t>3957 Point Eden Way</w:t>
      </w:r>
    </w:p>
    <w:p>
      <w:pPr>
        <w:spacing w:after="0" w:line="206" w:lineRule="auto"/>
        <w:rPr>
          <w:sz w:val="20"/>
          <w:szCs w:val="20"/>
          <w:color w:val="auto"/>
        </w:rPr>
      </w:pPr>
      <w:r>
        <w:rPr>
          <w:rFonts w:ascii="Times New Roman" w:cs="Times New Roman" w:eastAsia="Times New Roman" w:hAnsi="Times New Roman"/>
          <w:sz w:val="14"/>
          <w:szCs w:val="14"/>
          <w:color w:val="auto"/>
        </w:rPr>
        <w:t>Hayward, California 94545</w:t>
      </w:r>
    </w:p>
    <w:p>
      <w:pPr>
        <w:spacing w:after="0"/>
        <w:rPr>
          <w:sz w:val="20"/>
          <w:szCs w:val="20"/>
          <w:color w:val="auto"/>
        </w:rPr>
      </w:pPr>
      <w:r>
        <w:rPr>
          <w:rFonts w:ascii="Times New Roman" w:cs="Times New Roman" w:eastAsia="Times New Roman" w:hAnsi="Times New Roman"/>
          <w:sz w:val="14"/>
          <w:szCs w:val="14"/>
          <w:color w:val="auto"/>
        </w:rPr>
        <w:t>Attn: Board of Directors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Re: Indemnification of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Directors:</w:t>
      </w:r>
    </w:p>
    <w:p>
      <w:pPr>
        <w:spacing w:after="0" w:line="116" w:lineRule="exact"/>
        <w:rPr>
          <w:sz w:val="20"/>
          <w:szCs w:val="20"/>
          <w:color w:val="auto"/>
        </w:rPr>
      </w:pPr>
    </w:p>
    <w:p>
      <w:pPr>
        <w:ind w:firstLine="442"/>
        <w:spacing w:after="0" w:line="244" w:lineRule="auto"/>
        <w:rPr>
          <w:sz w:val="20"/>
          <w:szCs w:val="20"/>
          <w:color w:val="auto"/>
        </w:rPr>
      </w:pPr>
      <w:r>
        <w:rPr>
          <w:rFonts w:ascii="Times New Roman" w:cs="Times New Roman" w:eastAsia="Times New Roman" w:hAnsi="Times New Roman"/>
          <w:sz w:val="12"/>
          <w:szCs w:val="12"/>
          <w:color w:val="auto"/>
        </w:rPr>
        <w:t>This letter serves as formal agreement as between Robert Duggan (sometimes referred to herein as “Indemnitor”), on one hand, and Pulse Biosciences, Inc. (“Pulse”) and its Board of Directors, on the other, with respect to indemnification of Pulse’s past, present, and future corporate directors, officers, and employees, among others,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 May 31, 2022, through May 31, 2023. Reference is made to that expiring program of insurance underwritten as follows: XL Specialty Insurance Company, Policy No.</w:t>
      </w:r>
    </w:p>
    <w:p>
      <w:pPr>
        <w:spacing w:after="0" w:line="232" w:lineRule="auto"/>
        <w:rPr>
          <w:sz w:val="20"/>
          <w:szCs w:val="20"/>
          <w:color w:val="auto"/>
        </w:rPr>
      </w:pPr>
      <w:r>
        <w:rPr>
          <w:rFonts w:ascii="Times New Roman" w:cs="Times New Roman" w:eastAsia="Times New Roman" w:hAnsi="Times New Roman"/>
          <w:sz w:val="12"/>
          <w:szCs w:val="12"/>
          <w:color w:val="auto"/>
        </w:rPr>
        <w:t>ELU 174984-21; RSUI Indemnity Company, Policy No. HS693321; Ascot Insurance Company, Policy No. MLXS2110000549-01; Allied World Assurance Company (U.S.) Inc., Policy No. 0312-8756; Berkley Insurance Company, Policy No. BPRO8066883; Berkshire Hathaway Specialty Insurance Company, Policy No. 47-EPC-315267-01</w:t>
      </w:r>
    </w:p>
    <w:p>
      <w:pPr>
        <w:spacing w:after="0" w:line="1" w:lineRule="exact"/>
        <w:rPr>
          <w:sz w:val="20"/>
          <w:szCs w:val="20"/>
          <w:color w:val="auto"/>
        </w:rPr>
      </w:pPr>
    </w:p>
    <w:p>
      <w:pPr>
        <w:jc w:val="center"/>
        <w:spacing w:after="0" w:line="408" w:lineRule="auto"/>
        <w:rPr>
          <w:sz w:val="20"/>
          <w:szCs w:val="20"/>
          <w:color w:val="auto"/>
        </w:rPr>
      </w:pPr>
      <w:r>
        <w:rPr>
          <w:rFonts w:ascii="Times New Roman" w:cs="Times New Roman" w:eastAsia="Times New Roman" w:hAnsi="Times New Roman"/>
          <w:sz w:val="14"/>
          <w:szCs w:val="14"/>
          <w:color w:val="auto"/>
        </w:rPr>
        <w:t xml:space="preserve">(together, the “Expiring Program”). Capitalized terms that are undefined in this letter agreement shall have the meaning as set forth in the Followed Policies (as defined below). </w:t>
      </w:r>
      <w:r>
        <w:rPr>
          <w:rFonts w:ascii="Times New Roman" w:cs="Times New Roman" w:eastAsia="Times New Roman" w:hAnsi="Times New Roman"/>
          <w:sz w:val="14"/>
          <w:szCs w:val="14"/>
          <w:b w:val="1"/>
          <w:bCs w:val="1"/>
          <w:color w:val="auto"/>
        </w:rPr>
        <w:t>RECITALS</w:t>
      </w:r>
    </w:p>
    <w:p>
      <w:pPr>
        <w:spacing w:after="0" w:line="1" w:lineRule="exact"/>
        <w:rPr>
          <w:sz w:val="20"/>
          <w:szCs w:val="20"/>
          <w:color w:val="auto"/>
        </w:rPr>
      </w:pPr>
    </w:p>
    <w:p>
      <w:pPr>
        <w:ind w:firstLine="442"/>
        <w:spacing w:after="0" w:line="233" w:lineRule="auto"/>
        <w:rPr>
          <w:sz w:val="20"/>
          <w:szCs w:val="20"/>
          <w:color w:val="auto"/>
        </w:rPr>
      </w:pPr>
      <w:r>
        <w:rPr>
          <w:rFonts w:ascii="Times New Roman" w:cs="Times New Roman" w:eastAsia="Times New Roman" w:hAnsi="Times New Roman"/>
          <w:sz w:val="14"/>
          <w:szCs w:val="14"/>
          <w:color w:val="auto"/>
        </w:rPr>
        <w:t>WHEREAS, Pulse has determined that in order to induce directors and other individuals to provide, or continue to provide, services to Pulse, Pulse wishes to provide for the indemnification of, and advancement of expenses to, its directors and officers to the maximum extent permitted by law;</w:t>
      </w:r>
    </w:p>
    <w:p>
      <w:pPr>
        <w:spacing w:after="0" w:line="111" w:lineRule="exact"/>
        <w:rPr>
          <w:sz w:val="20"/>
          <w:szCs w:val="20"/>
          <w:color w:val="auto"/>
        </w:rPr>
      </w:pPr>
    </w:p>
    <w:p>
      <w:pPr>
        <w:ind w:firstLine="442"/>
        <w:spacing w:after="0" w:line="209" w:lineRule="auto"/>
        <w:rPr>
          <w:sz w:val="20"/>
          <w:szCs w:val="20"/>
          <w:color w:val="auto"/>
        </w:rPr>
      </w:pPr>
      <w:r>
        <w:rPr>
          <w:rFonts w:ascii="Times New Roman" w:cs="Times New Roman" w:eastAsia="Times New Roman" w:hAnsi="Times New Roman"/>
          <w:sz w:val="14"/>
          <w:szCs w:val="14"/>
          <w:color w:val="auto"/>
        </w:rPr>
        <w:t>WHEREAS, Pulse in the past has decided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enterprise against any liability asserted against such person and incurred by such person in any such capacity, or arising out of such person’s status as such, whether or not the</w:t>
      </w:r>
    </w:p>
    <w:p>
      <w:pPr>
        <w:spacing w:after="0" w:line="215" w:lineRule="auto"/>
        <w:rPr>
          <w:sz w:val="20"/>
          <w:szCs w:val="20"/>
          <w:color w:val="auto"/>
        </w:rPr>
      </w:pPr>
      <w:r>
        <w:rPr>
          <w:rFonts w:ascii="Times New Roman" w:cs="Times New Roman" w:eastAsia="Times New Roman" w:hAnsi="Times New Roman"/>
          <w:sz w:val="14"/>
          <w:szCs w:val="14"/>
          <w:color w:val="auto"/>
        </w:rPr>
        <w:t>corporation would have the power to indemnify such person against such liability under the provisions of the Delaware General Corporation Law, as provided for in Section 8.9 of the Pulse Bylaws;</w:t>
      </w:r>
    </w:p>
    <w:p>
      <w:pPr>
        <w:spacing w:after="0" w:line="112" w:lineRule="exact"/>
        <w:rPr>
          <w:sz w:val="20"/>
          <w:szCs w:val="20"/>
          <w:color w:val="auto"/>
        </w:rPr>
      </w:pPr>
    </w:p>
    <w:p>
      <w:pPr>
        <w:ind w:firstLine="442"/>
        <w:spacing w:after="0" w:line="233" w:lineRule="auto"/>
        <w:rPr>
          <w:sz w:val="20"/>
          <w:szCs w:val="20"/>
          <w:color w:val="auto"/>
        </w:rPr>
      </w:pPr>
      <w:r>
        <w:rPr>
          <w:rFonts w:ascii="Times New Roman" w:cs="Times New Roman" w:eastAsia="Times New Roman" w:hAnsi="Times New Roman"/>
          <w:sz w:val="14"/>
          <w:szCs w:val="14"/>
          <w:color w:val="auto"/>
        </w:rPr>
        <w:t>WHEREAS, Pulse previously purchased $30 million in directors and officers liability insurance limits in a directors and officers insurance program comprised of six stacked policies with $5 million in limits each; and</w:t>
      </w:r>
    </w:p>
    <w:p>
      <w:pPr>
        <w:spacing w:after="0" w:line="102" w:lineRule="exact"/>
        <w:rPr>
          <w:sz w:val="20"/>
          <w:szCs w:val="20"/>
          <w:color w:val="auto"/>
        </w:rPr>
      </w:pPr>
    </w:p>
    <w:p>
      <w:pPr>
        <w:ind w:firstLine="442"/>
        <w:spacing w:after="0" w:line="303" w:lineRule="auto"/>
        <w:rPr>
          <w:sz w:val="20"/>
          <w:szCs w:val="20"/>
          <w:color w:val="auto"/>
        </w:rPr>
      </w:pPr>
      <w:r>
        <w:rPr>
          <w:rFonts w:ascii="Times New Roman" w:cs="Times New Roman" w:eastAsia="Times New Roman" w:hAnsi="Times New Roman"/>
          <w:sz w:val="12"/>
          <w:szCs w:val="12"/>
          <w:color w:val="auto"/>
        </w:rPr>
        <w:t>WHEREAS, Pulse has received a premium quotation of $978,000 of up-front payments (which amount would be higher if Pulse elected to pay monthly or quarterly) to bind new “Side A only” directors and officers liability insurance with policy limits totaling $15 million for the annual period of May 31, 2022, to May 31,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rPr>
          <w:sz w:val="20"/>
          <w:szCs w:val="20"/>
          <w:color w:val="auto"/>
        </w:rPr>
      </w:pPr>
      <w:r>
        <w:rPr>
          <w:rFonts w:ascii="Times New Roman" w:cs="Times New Roman" w:eastAsia="Times New Roman" w:hAnsi="Times New Roman"/>
          <w:sz w:val="10"/>
          <w:szCs w:val="10"/>
          <w:color w:val="auto"/>
        </w:rPr>
        <w:t>4879-0989-9810.4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6089015"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89015" cy="43180"/>
                    </a:xfrm>
                    <a:prstGeom prst="rect">
                      <a:avLst/>
                    </a:prstGeom>
                    <a:noFill/>
                  </pic:spPr>
                </pic:pic>
              </a:graphicData>
            </a:graphic>
          </wp:anchor>
        </w:drawing>
      </w:r>
    </w:p>
    <w:p>
      <w:pPr>
        <w:sectPr>
          <w:pgSz w:w="11900" w:h="16838" w:orient="portrait"/>
          <w:cols w:equalWidth="0" w:num="1">
            <w:col w:w="9520"/>
          </w:cols>
          <w:pgMar w:left="1180" w:top="107" w:right="119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4"/>
          <w:szCs w:val="14"/>
          <w:color w:val="auto"/>
        </w:rPr>
        <w:t>IT IS NOW AGREED as between Robert Duggan and Pulse and its Board of Directors that:</w:t>
      </w:r>
    </w:p>
    <w:p>
      <w:pPr>
        <w:spacing w:after="0" w:line="134" w:lineRule="exact"/>
        <w:rPr>
          <w:sz w:val="20"/>
          <w:szCs w:val="20"/>
          <w:color w:val="auto"/>
        </w:rPr>
      </w:pPr>
    </w:p>
    <w:p>
      <w:pPr>
        <w:jc w:val="both"/>
        <w:ind w:firstLine="441"/>
        <w:spacing w:after="0" w:line="227" w:lineRule="auto"/>
        <w:tabs>
          <w:tab w:leader="none" w:pos="913"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 xml:space="preserve">Indemnitor shall advance the defense costs of, and indemnify, any and all individuals who fall within the definition of “Insured Person,” as set forth in the Expiring Program primary D&amp;O Policy issued by XL Specialty Insurance Company Policy No. ELU17498-21 (“XL Policy”) or the Expiring Program excess Side A DIC </w:t>
      </w:r>
      <w:r>
        <w:rPr>
          <w:rFonts w:ascii="Times New Roman" w:cs="Times New Roman" w:eastAsia="Times New Roman" w:hAnsi="Times New Roman"/>
          <w:sz w:val="13"/>
          <w:szCs w:val="13"/>
          <w:color w:val="auto"/>
        </w:rPr>
        <w:t>Berkley Insurance Company Policy No. BPRO8066883 (“Berkley Policy”) (collectively the “Followed Policies”), pursuant to the XL Policy’s Insuring Agreements I(A)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 xml:space="preserve">and I(D) or the Berkeley Policy’s Insuring Agreement I and in accordance with the definitions, conditions, exclusions and other terms of the XL Policy or Berkeley Policy, whichever is more favorable to such Insured Person(s), except as expressly provided in Paragraph 4 below. Indemnitor’s liability hereunder shall not exceed </w:t>
      </w:r>
      <w:r>
        <w:rPr>
          <w:rFonts w:ascii="Times New Roman" w:cs="Times New Roman" w:eastAsia="Times New Roman" w:hAnsi="Times New Roman"/>
          <w:sz w:val="14"/>
          <w:szCs w:val="14"/>
          <w:color w:val="auto"/>
        </w:rPr>
        <w:t>$15 million 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the aggregate under the Followed Policies (“Limit of Liability”).</w:t>
      </w:r>
    </w:p>
    <w:p>
      <w:pPr>
        <w:spacing w:after="0" w:line="109" w:lineRule="exact"/>
        <w:rPr>
          <w:rFonts w:ascii="Times New Roman" w:cs="Times New Roman" w:eastAsia="Times New Roman" w:hAnsi="Times New Roman"/>
          <w:sz w:val="15"/>
          <w:szCs w:val="15"/>
          <w:color w:val="auto"/>
        </w:rPr>
      </w:pPr>
    </w:p>
    <w:p>
      <w:pPr>
        <w:jc w:val="both"/>
        <w:ind w:firstLine="441"/>
        <w:spacing w:after="0"/>
        <w:tabs>
          <w:tab w:leader="none" w:pos="92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Indemnitor shall, or shall cause an entity to be formed by him, to deposit as security for the obligations set forth herein cash and/or marketable securities, including T-bills or other similar government debt obligations (the “Escrow Funds”) with a fair market value equal to the Minimum Value (as defined below) into an escrow account (the “Escrow Account”), which funds shall be available to satisfy all obligations under this letter agreement, which will provide coverage to all Insured Persons as set forth in Paragraph 1 above. The Escrow Agent, who may or may not be the Claims Agent (as defined below), will be determined by Indemnitor, subject to the reasonable approval of the Board. Indemnitor, in his sole discretion, and the Board of Directors, by majority vote of its disinterested directors, may appoint a mutually acceptable third-party agent (a “Claims Agent”) to act as claims agent to process Claims submitted by any Insured Person pursuant to this agreement to the extent funded by the Escrow Funds. Indemnitor shall have the ability to trade the securities in the Escrow Account, as well as to substitute or replace securities in the escrow account with other securities, so long as any such substitution or replacement does not reduce the value of the escrow account to less than the Minimum Value during the Term (as defined below). Each month the fair market value of the Escrow Account shall be measured, and if above the Minimum Value, any excess may be withdrawn by Indemnitor, in his sole discretion. To the extent the fair market value is below the Minimum Value, any deficiency shall be deposited into the Escrow Account by Indemnitor within five (5) business days following the end of the month. The “Minimum Value” shall mean (a) with respect to cash and government debt, one hundred percent (100%) of the Limit of Liability, and (b) with respect to marketable securities , such securities valued at one hundred twenty percent (120%) of the Limit of Liability, both less any payments made under this letter agreement, including any subsequent revisions and/or amendments. If the Escrow Funds are made up of a combination of both cash and marketable securities, the values of each component of the fund shall be maintained proportionally to preserve the percentages set forth at 2(a) and 2(b) above.</w:t>
      </w:r>
    </w:p>
    <w:p>
      <w:pPr>
        <w:spacing w:after="0" w:line="243" w:lineRule="exact"/>
        <w:rPr>
          <w:rFonts w:ascii="Times New Roman" w:cs="Times New Roman" w:eastAsia="Times New Roman" w:hAnsi="Times New Roman"/>
          <w:sz w:val="12"/>
          <w:szCs w:val="12"/>
          <w:color w:val="auto"/>
        </w:rPr>
      </w:pPr>
    </w:p>
    <w:p>
      <w:pPr>
        <w:jc w:val="both"/>
        <w:ind w:firstLine="441"/>
        <w:spacing w:after="0" w:line="216" w:lineRule="auto"/>
        <w:tabs>
          <w:tab w:leader="none" w:pos="93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Indemnitor shall maintain the right to all income generated from the Escrow Account, including but not limited to interest, dividends, realized gains, and unrealized gains; provided, however, that the Minimum Value shall be maintained in the Escrow Account throughout the Term. Indemnitor will have the right to transfer securities, debt instruments, and cash to and from the Escrow Account with board authorization. Indemnitor shall not require Board approval for the substitution or replacement of government debt for other government debt or for cash.</w:t>
      </w:r>
    </w:p>
    <w:p>
      <w:pPr>
        <w:spacing w:after="0" w:line="111" w:lineRule="exact"/>
        <w:rPr>
          <w:rFonts w:ascii="Times New Roman" w:cs="Times New Roman" w:eastAsia="Times New Roman" w:hAnsi="Times New Roman"/>
          <w:sz w:val="14"/>
          <w:szCs w:val="14"/>
          <w:color w:val="auto"/>
        </w:rPr>
      </w:pPr>
    </w:p>
    <w:p>
      <w:pPr>
        <w:jc w:val="both"/>
        <w:ind w:firstLine="441"/>
        <w:spacing w:after="0" w:line="216" w:lineRule="auto"/>
        <w:tabs>
          <w:tab w:leader="none" w:pos="91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Escrow Funds shall be used to advance defense costs on behalf of, and indemnify, any Insured Person for any Claim, as defined in the Followed Policies, made during the annual period of May 31, 2022, through May 31, 2023, as set forth in Paragraph 1, except that: (a) the period of indemnification shall be as set forth in this paragraph, (b) any claim shall be subject to the Limit of Liability , and (c) the Indemnitor shall have no obligation to offer any Optional Extension Period or other similar period as described in the Followed Policies.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rPr>
          <w:sz w:val="20"/>
          <w:szCs w:val="20"/>
          <w:color w:val="auto"/>
        </w:rPr>
      </w:pPr>
      <w:r>
        <w:rPr>
          <w:rFonts w:ascii="Times New Roman" w:cs="Times New Roman" w:eastAsia="Times New Roman" w:hAnsi="Times New Roman"/>
          <w:sz w:val="10"/>
          <w:szCs w:val="10"/>
          <w:color w:val="auto"/>
        </w:rPr>
        <w:t>4879-0989-9810.4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6089015"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9015" cy="43180"/>
                    </a:xfrm>
                    <a:prstGeom prst="rect">
                      <a:avLst/>
                    </a:prstGeom>
                    <a:noFill/>
                  </pic:spPr>
                </pic:pic>
              </a:graphicData>
            </a:graphic>
          </wp:anchor>
        </w:drawing>
      </w:r>
    </w:p>
    <w:p>
      <w:pPr>
        <w:sectPr>
          <w:pgSz w:w="11900" w:h="16838" w:orient="portrait"/>
          <w:cols w:equalWidth="0" w:num="1">
            <w:col w:w="9520"/>
          </w:cols>
          <w:pgMar w:left="1180" w:top="116" w:right="1199" w:bottom="1440" w:gutter="0" w:footer="0" w:header="0"/>
        </w:sectPr>
      </w:pPr>
    </w:p>
    <w:bookmarkStart w:id="73" w:name="page74"/>
    <w:bookmarkEnd w:id="73"/>
    <w:p>
      <w:pPr>
        <w:ind w:firstLine="441"/>
        <w:spacing w:after="0" w:line="233" w:lineRule="auto"/>
        <w:tabs>
          <w:tab w:leader="none" w:pos="91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Escrow Funds are not owned or controlled by Pulse and shall not be the property of the estate of Pulse in any bankruptcy or insolvency proceeding, and the parties agree to structure the arrangements with the Escrow Agent and the Claims Agent accordingly.</w:t>
      </w:r>
    </w:p>
    <w:p>
      <w:pPr>
        <w:spacing w:after="0" w:line="102" w:lineRule="exact"/>
        <w:rPr>
          <w:rFonts w:ascii="Times New Roman" w:cs="Times New Roman" w:eastAsia="Times New Roman" w:hAnsi="Times New Roman"/>
          <w:sz w:val="14"/>
          <w:szCs w:val="14"/>
          <w:color w:val="auto"/>
        </w:rPr>
      </w:pPr>
    </w:p>
    <w:p>
      <w:pPr>
        <w:ind w:firstLine="441"/>
        <w:spacing w:after="0" w:line="233" w:lineRule="auto"/>
        <w:tabs>
          <w:tab w:leader="none" w:pos="91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Indemnitor shall be paid a fee by Pulse, to the extent permissible by law, of $978,000 in consideration of the obligations set forth herein, such fee to be due, owing, and collectible on May 31, 2023.</w:t>
      </w:r>
    </w:p>
    <w:p>
      <w:pPr>
        <w:spacing w:after="0" w:line="102" w:lineRule="exact"/>
        <w:rPr>
          <w:rFonts w:ascii="Times New Roman" w:cs="Times New Roman" w:eastAsia="Times New Roman" w:hAnsi="Times New Roman"/>
          <w:sz w:val="14"/>
          <w:szCs w:val="14"/>
          <w:color w:val="auto"/>
        </w:rPr>
      </w:pPr>
    </w:p>
    <w:p>
      <w:pPr>
        <w:ind w:firstLine="441"/>
        <w:spacing w:after="0" w:line="303" w:lineRule="auto"/>
        <w:tabs>
          <w:tab w:leader="none" w:pos="92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end of the annual period of May 31, 2022, to May 31, 2023, and after the closing and final resolution of any Claims falling within the terms of this agreement or either of the Followed Policies, but no earlier than July 31, 2023 (the “Term”), all rights to any remaining Escrow Funds shall revert to Indemnitor free and clear.</w:t>
      </w:r>
    </w:p>
    <w:p>
      <w:pPr>
        <w:spacing w:after="0" w:line="64" w:lineRule="exact"/>
        <w:rPr>
          <w:rFonts w:ascii="Times New Roman" w:cs="Times New Roman" w:eastAsia="Times New Roman" w:hAnsi="Times New Roman"/>
          <w:sz w:val="12"/>
          <w:szCs w:val="12"/>
          <w:color w:val="auto"/>
        </w:rPr>
      </w:pPr>
    </w:p>
    <w:p>
      <w:pPr>
        <w:jc w:val="both"/>
        <w:ind w:firstLine="441"/>
        <w:spacing w:after="0"/>
        <w:tabs>
          <w:tab w:leader="none" w:pos="91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i w:val="1"/>
          <w:iCs w:val="1"/>
          <w:color w:val="auto"/>
        </w:rPr>
        <w:t>In the event a Claims Agent is appointed</w:t>
      </w:r>
      <w:r>
        <w:rPr>
          <w:rFonts w:ascii="Times New Roman" w:cs="Times New Roman" w:eastAsia="Times New Roman" w:hAnsi="Times New Roman"/>
          <w:sz w:val="12"/>
          <w:szCs w:val="12"/>
          <w:color w:val="auto"/>
        </w:rPr>
        <w:t>. Any claim by any individual asserting a right to advancement and/or indemnification by Pulse shall continue to be reviewed and determined in the ordinary course as provided for in the Pulse Bylaws, any private indemnity agreements, any other applicable corporate governance documents, and applicable law as well as to the extent provided in the Followed Policies. Any claim by any individual with respect to the rights set forth in this letter agreement shall first be submitted to the Claims Agent, who shall provide its position with respect to such claim to the Indemnitor and to the claimant within five (5) business days. Indemnitor shall then have sole authority to concur or reject the Claims Agent’s determination of coverage, and Indemnitor shall provide his position with respect to such claim to the claimant and Claims Agent within fifteen (15) business days of the Indemnitor’s receipt of the Claim Agent’s determination. To the extent there is any dispute with respect to any determination of coverage by either the Claims Agent and/or Indemnitor, or any other dispute arising out of this letter agreement, such dispute shall be submitted to a neutral third-party arbitrator and resolved via an expedited process. The Indemnitor, the Insured Person or Insured Persons, and the Claims Agent shall agree to and designate a neutral third party and agree to the details of the expedited dispute resolution process. If these parties cannot agree on a dispute resolution process within ten (10) business days of the Indemnitor’s determination, they shall submit their dispute to a third-party arbitrator selected by the staff at the San Francisco office of JAMS and to be administered in accordance with JAMS rules, including the Optional Expedited Arbitration Procedures, which rules are incorporated herein by this reference. The determination of the neutral third party (including, for purposes of clarity, any arbitrator selected by the staff at JAMS to the extent applicable) with respect to any dispute shall be binding and non-appealable. The costs of any dispute resolution as set forth herein shall be split evenly between the Company and the Indemnitor.</w:t>
      </w:r>
    </w:p>
    <w:p>
      <w:pPr>
        <w:spacing w:after="0" w:line="252" w:lineRule="exact"/>
        <w:rPr>
          <w:rFonts w:ascii="Times New Roman" w:cs="Times New Roman" w:eastAsia="Times New Roman" w:hAnsi="Times New Roman"/>
          <w:sz w:val="12"/>
          <w:szCs w:val="12"/>
          <w:color w:val="auto"/>
        </w:rPr>
      </w:pPr>
    </w:p>
    <w:p>
      <w:pPr>
        <w:jc w:val="both"/>
        <w:ind w:firstLine="883"/>
        <w:spacing w:after="0" w:line="242" w:lineRule="auto"/>
        <w:tabs>
          <w:tab w:leader="none" w:pos="102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 the event a Claims Agent is not appointed</w:t>
      </w:r>
      <w:r>
        <w:rPr>
          <w:rFonts w:ascii="Times New Roman" w:cs="Times New Roman" w:eastAsia="Times New Roman" w:hAnsi="Times New Roman"/>
          <w:sz w:val="12"/>
          <w:szCs w:val="12"/>
          <w:color w:val="auto"/>
        </w:rPr>
        <w:t>. Any claim by any individual asserting a right to advancement and/or indemnification by Pulse shall continue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be reviewed and determined in the ordinary course as provided for in the Pulse Bylaws, any private indemnity agreements, any other applicable corporate governance documents, and applicable law as well as to the extent provided in the Followed Policies. Any claim by any individual with respect to the rights set forth in this letter agreement shall first be submitted to the Indemnitor, who shall provide his position with respect to such claim within ten (10) business days. To the extent there is any dispute with respect to any determination of coverage by Indemnitor, or any other dispute arising out of this letter agreement, such dispute shall be submitted to a neutral third-party arbitrator and resolved via an expedited process. The Indemnitor and the Insured Person or Insured Persons, shall agree to and designate a neutral third party and agree to the details of the expedited dispute resolution process. If these parties cannot agree on a dispute resolution process within ten (10) business days of the Indemnitor’s determination, they shall submit their dispute to a third-party arbitrator selected by the staff at the San Francisco office of JAMS and to be administered in accordance with JAMS rules, including the Optional Expedited Arbitration Procedures, which rules are incorporated herein by this reference. The determination of the neutral third party (including, for purposes of clarity, any arbitrator selected by the staff at JAMS to the extent applicable) with respect to any dispute shall be binding and non-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rPr>
          <w:sz w:val="20"/>
          <w:szCs w:val="20"/>
          <w:color w:val="auto"/>
        </w:rPr>
      </w:pPr>
      <w:r>
        <w:rPr>
          <w:rFonts w:ascii="Times New Roman" w:cs="Times New Roman" w:eastAsia="Times New Roman" w:hAnsi="Times New Roman"/>
          <w:sz w:val="10"/>
          <w:szCs w:val="10"/>
          <w:color w:val="auto"/>
        </w:rPr>
        <w:t>4879-0989-9810.4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6089015"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9015" cy="43180"/>
                    </a:xfrm>
                    <a:prstGeom prst="rect">
                      <a:avLst/>
                    </a:prstGeom>
                    <a:noFill/>
                  </pic:spPr>
                </pic:pic>
              </a:graphicData>
            </a:graphic>
          </wp:anchor>
        </w:drawing>
      </w:r>
    </w:p>
    <w:p>
      <w:pPr>
        <w:sectPr>
          <w:pgSz w:w="11900" w:h="16838" w:orient="portrait"/>
          <w:cols w:equalWidth="0" w:num="1">
            <w:col w:w="9520"/>
          </w:cols>
          <w:pgMar w:left="1180" w:top="116" w:right="11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color w:val="auto"/>
        </w:rPr>
        <w:t>appealable. The costs of any dispute resolution as set forth herein shall be split evenly between the Company and the Indemnitor.</w:t>
      </w:r>
    </w:p>
    <w:p>
      <w:pPr>
        <w:spacing w:after="0" w:line="125" w:lineRule="exact"/>
        <w:rPr>
          <w:sz w:val="20"/>
          <w:szCs w:val="20"/>
          <w:color w:val="auto"/>
        </w:rPr>
      </w:pPr>
    </w:p>
    <w:p>
      <w:pPr>
        <w:jc w:val="both"/>
        <w:ind w:firstLine="441"/>
        <w:spacing w:after="0" w:line="219" w:lineRule="auto"/>
        <w:tabs>
          <w:tab w:leader="none" w:pos="91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Pulse may, in its sole discretion, determine to waive the requirement of Indemnitor establishing an escrow account pursuant to paragraph 2, and instead have Indemnitor satisfy all indemnification obligations due hereunder directly. Any such waiver shall be in writing by a majority of the disinterested directors of Pulse to Indemnitor.</w:t>
      </w:r>
    </w:p>
    <w:p>
      <w:pPr>
        <w:spacing w:after="0" w:line="112" w:lineRule="exact"/>
        <w:rPr>
          <w:rFonts w:ascii="Times New Roman" w:cs="Times New Roman" w:eastAsia="Times New Roman" w:hAnsi="Times New Roman"/>
          <w:sz w:val="14"/>
          <w:szCs w:val="14"/>
          <w:color w:val="auto"/>
        </w:rPr>
      </w:pPr>
    </w:p>
    <w:p>
      <w:pPr>
        <w:ind w:firstLine="441"/>
        <w:spacing w:after="0" w:line="226" w:lineRule="auto"/>
        <w:tabs>
          <w:tab w:leader="none" w:pos="93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Insured Persons are express third party beneficiaries of this letter agreement and the agreements contemplated hereby, having the right to enforce the warranties, indemnities and other obligations undertaken by Indemnitor herein and therein, as if they were a direct party to this agreement.</w:t>
      </w:r>
    </w:p>
    <w:p>
      <w:pPr>
        <w:spacing w:after="0" w:line="111" w:lineRule="exact"/>
        <w:rPr>
          <w:rFonts w:ascii="Times New Roman" w:cs="Times New Roman" w:eastAsia="Times New Roman" w:hAnsi="Times New Roman"/>
          <w:sz w:val="14"/>
          <w:szCs w:val="14"/>
          <w:color w:val="auto"/>
        </w:rPr>
      </w:pPr>
    </w:p>
    <w:p>
      <w:pPr>
        <w:ind w:left="940" w:hanging="499"/>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can only be amended by a writing signed by the Indemnitor and by a majority of the Company’s disinterested directors then in office.</w:t>
      </w:r>
    </w:p>
    <w:p>
      <w:pPr>
        <w:spacing w:after="0" w:line="25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3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Robert Duggan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AGREED AND ACCEPTED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of Pulse Biosciences, Inc.</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By:___________________________________</w:t>
      </w:r>
    </w:p>
    <w:p>
      <w:pPr>
        <w:spacing w:after="0"/>
        <w:rPr>
          <w:sz w:val="20"/>
          <w:szCs w:val="20"/>
          <w:color w:val="auto"/>
        </w:rPr>
      </w:pPr>
      <w:r>
        <w:rPr>
          <w:rFonts w:ascii="Times New Roman" w:cs="Times New Roman" w:eastAsia="Times New Roman" w:hAnsi="Times New Roman"/>
          <w:sz w:val="14"/>
          <w:szCs w:val="14"/>
          <w:color w:val="auto"/>
        </w:rPr>
        <w:t>Darrin Uecker, CEO, President &amp; Director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rPr>
          <w:sz w:val="20"/>
          <w:szCs w:val="20"/>
          <w:color w:val="auto"/>
        </w:rPr>
      </w:pPr>
      <w:r>
        <w:rPr>
          <w:rFonts w:ascii="Times New Roman" w:cs="Times New Roman" w:eastAsia="Times New Roman" w:hAnsi="Times New Roman"/>
          <w:sz w:val="10"/>
          <w:szCs w:val="10"/>
          <w:color w:val="auto"/>
        </w:rPr>
        <w:t>4879-0989-9810.4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6089015"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9015" cy="43180"/>
                    </a:xfrm>
                    <a:prstGeom prst="rect">
                      <a:avLst/>
                    </a:prstGeom>
                    <a:noFill/>
                  </pic:spPr>
                </pic:pic>
              </a:graphicData>
            </a:graphic>
          </wp:anchor>
        </w:drawing>
      </w:r>
    </w:p>
    <w:p>
      <w:pPr>
        <w:sectPr>
          <w:pgSz w:w="11900" w:h="16838" w:orient="portrait"/>
          <w:cols w:equalWidth="0" w:num="1">
            <w:col w:w="9520"/>
          </w:cols>
          <w:pgMar w:left="1180" w:top="116" w:right="11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92" w:lineRule="exact"/>
        <w:rPr>
          <w:sz w:val="20"/>
          <w:szCs w:val="20"/>
          <w:color w:val="auto"/>
        </w:rPr>
      </w:pPr>
    </w:p>
    <w:p>
      <w:pPr>
        <w:ind w:left="3063"/>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PURSUANT TO</w:t>
      </w:r>
    </w:p>
    <w:p>
      <w:pPr>
        <w:ind w:left="2463"/>
        <w:spacing w:after="0" w:line="220" w:lineRule="auto"/>
        <w:rPr>
          <w:sz w:val="20"/>
          <w:szCs w:val="20"/>
          <w:color w:val="auto"/>
        </w:rPr>
      </w:pPr>
      <w:r>
        <w:rPr>
          <w:rFonts w:ascii="Times New Roman" w:cs="Times New Roman" w:eastAsia="Times New Roman" w:hAnsi="Times New Roman"/>
          <w:sz w:val="12"/>
          <w:szCs w:val="12"/>
          <w:b w:val="1"/>
          <w:bCs w:val="1"/>
          <w:color w:val="auto"/>
        </w:rPr>
        <w:t>SECURITIES EXCHANGE ACT RULES 13a-14(a) and 15d-14(a), AS ADOPTED PURSUANT</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TO SECTION 302 OF THE SARBANES-OXLEY ACT OF 2002</w:t>
      </w:r>
    </w:p>
    <w:p>
      <w:pPr>
        <w:spacing w:after="0" w:line="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Darrin R. Uecker, certify that:</w:t>
      </w:r>
    </w:p>
    <w:p>
      <w:pPr>
        <w:spacing w:after="0" w:line="83" w:lineRule="exact"/>
        <w:rPr>
          <w:sz w:val="20"/>
          <w:szCs w:val="20"/>
          <w:color w:val="auto"/>
        </w:rPr>
      </w:pPr>
    </w:p>
    <w:p>
      <w:pPr>
        <w:ind w:left="223" w:hanging="223"/>
        <w:spacing w:after="0"/>
        <w:tabs>
          <w:tab w:leader="none" w:pos="223"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quarter ended June 30, 2022 of Pulse Biosciences, Inc.;</w:t>
      </w:r>
    </w:p>
    <w:p>
      <w:pPr>
        <w:spacing w:after="0" w:line="83"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2"/>
          <w:szCs w:val="12"/>
          <w:color w:val="auto"/>
        </w:rPr>
      </w:pPr>
    </w:p>
    <w:p>
      <w:pPr>
        <w:ind w:left="223" w:hanging="223"/>
        <w:spacing w:after="0" w:line="261" w:lineRule="auto"/>
        <w:tabs>
          <w:tab w:leader="none" w:pos="223"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2"/>
          <w:szCs w:val="12"/>
          <w:color w:val="auto"/>
        </w:rPr>
      </w:pPr>
    </w:p>
    <w:p>
      <w:pPr>
        <w:ind w:left="443" w:right="120" w:hanging="221"/>
        <w:spacing w:after="0" w:line="261" w:lineRule="auto"/>
        <w:tabs>
          <w:tab w:leader="none" w:pos="443"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2"/>
          <w:szCs w:val="12"/>
          <w:color w:val="auto"/>
        </w:rPr>
      </w:pPr>
    </w:p>
    <w:p>
      <w:pPr>
        <w:ind w:left="443" w:hanging="221"/>
        <w:spacing w:after="0"/>
        <w:tabs>
          <w:tab w:leader="none" w:pos="443"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tbl>
      <w:tblPr>
        <w:tblLayout w:type="fixed"/>
        <w:tblInd w:w="3" w:type="dxa"/>
        <w:tblCellMar>
          <w:top w:w="0" w:type="dxa"/>
          <w:left w:w="0" w:type="dxa"/>
          <w:bottom w:w="0" w:type="dxa"/>
          <w:right w:w="0" w:type="dxa"/>
        </w:tblCellMar>
      </w:tblPr>
      <w:tr>
        <w:trPr>
          <w:trHeight w:val="142"/>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Date: August 10, 2022</w:t>
            </w:r>
          </w:p>
        </w:tc>
        <w:tc>
          <w:tcPr>
            <w:tcW w:w="2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Darrin R. Uecker</w:t>
            </w:r>
          </w:p>
        </w:tc>
        <w:tc>
          <w:tcPr>
            <w:tcW w:w="100" w:type="dxa"/>
            <w:vAlign w:val="bottom"/>
          </w:tcPr>
          <w:p>
            <w:pPr>
              <w:spacing w:after="0"/>
              <w:rPr>
                <w:sz w:val="12"/>
                <w:szCs w:val="12"/>
                <w:color w:val="auto"/>
              </w:rPr>
            </w:pPr>
          </w:p>
        </w:tc>
      </w:tr>
      <w:tr>
        <w:trPr>
          <w:trHeight w:val="91"/>
        </w:trPr>
        <w:tc>
          <w:tcPr>
            <w:tcW w:w="30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Darrin R. Uecker</w:t>
            </w:r>
          </w:p>
        </w:tc>
        <w:tc>
          <w:tcPr>
            <w:tcW w:w="100" w:type="dxa"/>
            <w:vAlign w:val="bottom"/>
          </w:tcPr>
          <w:p>
            <w:pPr>
              <w:spacing w:after="0"/>
              <w:rPr>
                <w:sz w:val="7"/>
                <w:szCs w:val="7"/>
                <w:color w:val="auto"/>
              </w:rPr>
            </w:pPr>
          </w:p>
        </w:tc>
      </w:tr>
      <w:tr>
        <w:trPr>
          <w:trHeight w:val="120"/>
        </w:trPr>
        <w:tc>
          <w:tcPr>
            <w:tcW w:w="30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50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President and Chief Executive Officer</w:t>
            </w:r>
          </w:p>
        </w:tc>
        <w:tc>
          <w:tcPr>
            <w:tcW w:w="100" w:type="dxa"/>
            <w:vAlign w:val="bottom"/>
          </w:tcPr>
          <w:p>
            <w:pPr>
              <w:spacing w:after="0"/>
              <w:rPr>
                <w:sz w:val="10"/>
                <w:szCs w:val="10"/>
                <w:color w:val="auto"/>
              </w:rPr>
            </w:pPr>
          </w:p>
        </w:tc>
      </w:tr>
      <w:tr>
        <w:trPr>
          <w:trHeight w:val="159"/>
        </w:trPr>
        <w:tc>
          <w:tcPr>
            <w:tcW w:w="30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100" w:type="dxa"/>
            <w:vAlign w:val="bottom"/>
          </w:tcPr>
          <w:p>
            <w:pPr>
              <w:spacing w:after="0"/>
              <w:rPr>
                <w:sz w:val="13"/>
                <w:szCs w:val="13"/>
                <w:color w:val="auto"/>
              </w:rPr>
            </w:pPr>
          </w:p>
        </w:tc>
      </w:tr>
      <w:tr>
        <w:trPr>
          <w:trHeight w:val="383"/>
        </w:trPr>
        <w:tc>
          <w:tcPr>
            <w:tcW w:w="30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-29845</wp:posOffset>
            </wp:positionV>
            <wp:extent cx="31115"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-29845</wp:posOffset>
            </wp:positionV>
            <wp:extent cx="31115"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983"/>
          </w:cols>
          <w:pgMar w:left="957" w:top="116" w:right="9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92" w:lineRule="exact"/>
        <w:rPr>
          <w:sz w:val="20"/>
          <w:szCs w:val="20"/>
          <w:color w:val="auto"/>
        </w:rPr>
      </w:pPr>
    </w:p>
    <w:p>
      <w:pPr>
        <w:ind w:left="3083"/>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PURSUANT TO</w:t>
      </w:r>
    </w:p>
    <w:p>
      <w:pPr>
        <w:ind w:left="2463"/>
        <w:spacing w:after="0" w:line="220" w:lineRule="auto"/>
        <w:rPr>
          <w:sz w:val="20"/>
          <w:szCs w:val="20"/>
          <w:color w:val="auto"/>
        </w:rPr>
      </w:pPr>
      <w:r>
        <w:rPr>
          <w:rFonts w:ascii="Times New Roman" w:cs="Times New Roman" w:eastAsia="Times New Roman" w:hAnsi="Times New Roman"/>
          <w:sz w:val="12"/>
          <w:szCs w:val="12"/>
          <w:b w:val="1"/>
          <w:bCs w:val="1"/>
          <w:color w:val="auto"/>
        </w:rPr>
        <w:t>SECURITIES EXCHANGE ACT RULES 13a-14(a) and 15d-14(a), AS ADOPTED PURSUANT</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TO SECTION 302 OF THE SARBANES-OXLEY ACT OF 2002</w:t>
      </w:r>
    </w:p>
    <w:p>
      <w:pPr>
        <w:spacing w:after="0" w:line="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Sandra A. Gardiner, certify that:</w:t>
      </w:r>
    </w:p>
    <w:p>
      <w:pPr>
        <w:spacing w:after="0" w:line="83" w:lineRule="exact"/>
        <w:rPr>
          <w:sz w:val="20"/>
          <w:szCs w:val="20"/>
          <w:color w:val="auto"/>
        </w:rPr>
      </w:pPr>
    </w:p>
    <w:p>
      <w:pPr>
        <w:ind w:left="223" w:hanging="223"/>
        <w:spacing w:after="0"/>
        <w:tabs>
          <w:tab w:leader="none" w:pos="223"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quarter ended June 30, 2022 of Pulse Biosciences, Inc.;</w:t>
      </w:r>
    </w:p>
    <w:p>
      <w:pPr>
        <w:spacing w:after="0" w:line="83"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2"/>
          <w:szCs w:val="12"/>
          <w:color w:val="auto"/>
        </w:rPr>
      </w:pPr>
    </w:p>
    <w:p>
      <w:pPr>
        <w:ind w:left="223" w:hanging="223"/>
        <w:spacing w:after="0" w:line="261" w:lineRule="auto"/>
        <w:tabs>
          <w:tab w:leader="none" w:pos="223"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2"/>
          <w:szCs w:val="12"/>
          <w:color w:val="auto"/>
        </w:rPr>
      </w:pPr>
    </w:p>
    <w:p>
      <w:pPr>
        <w:ind w:left="443" w:right="120" w:hanging="221"/>
        <w:spacing w:after="0" w:line="261" w:lineRule="auto"/>
        <w:tabs>
          <w:tab w:leader="none" w:pos="443"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2"/>
          <w:szCs w:val="12"/>
          <w:color w:val="auto"/>
        </w:rPr>
      </w:pPr>
    </w:p>
    <w:p>
      <w:pPr>
        <w:ind w:left="443" w:hanging="221"/>
        <w:spacing w:after="0"/>
        <w:tabs>
          <w:tab w:leader="none" w:pos="443"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tbl>
      <w:tblPr>
        <w:tblLayout w:type="fixed"/>
        <w:tblInd w:w="3" w:type="dxa"/>
        <w:tblCellMar>
          <w:top w:w="0" w:type="dxa"/>
          <w:left w:w="0" w:type="dxa"/>
          <w:bottom w:w="0" w:type="dxa"/>
          <w:right w:w="0" w:type="dxa"/>
        </w:tblCellMar>
      </w:tblPr>
      <w:tr>
        <w:trPr>
          <w:trHeight w:val="142"/>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Date: August 10, 2022</w:t>
            </w:r>
          </w:p>
        </w:tc>
        <w:tc>
          <w:tcPr>
            <w:tcW w:w="2380" w:type="dxa"/>
            <w:vAlign w:val="bottom"/>
          </w:tcPr>
          <w:p>
            <w:pPr>
              <w:ind w:left="1900"/>
              <w:spacing w:after="0"/>
              <w:rPr>
                <w:sz w:val="20"/>
                <w:szCs w:val="20"/>
                <w:color w:val="auto"/>
              </w:rPr>
            </w:pPr>
            <w:r>
              <w:rPr>
                <w:rFonts w:ascii="Times New Roman" w:cs="Times New Roman" w:eastAsia="Times New Roman" w:hAnsi="Times New Roman"/>
                <w:sz w:val="12"/>
                <w:szCs w:val="12"/>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Sandra A. Gardiner</w:t>
            </w:r>
          </w:p>
        </w:tc>
        <w:tc>
          <w:tcPr>
            <w:tcW w:w="100" w:type="dxa"/>
            <w:vAlign w:val="bottom"/>
          </w:tcPr>
          <w:p>
            <w:pPr>
              <w:spacing w:after="0"/>
              <w:rPr>
                <w:sz w:val="12"/>
                <w:szCs w:val="12"/>
                <w:color w:val="auto"/>
              </w:rPr>
            </w:pPr>
          </w:p>
        </w:tc>
      </w:tr>
      <w:tr>
        <w:trPr>
          <w:trHeight w:val="91"/>
        </w:trPr>
        <w:tc>
          <w:tcPr>
            <w:tcW w:w="30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4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Sandra A. Gardiner</w:t>
            </w:r>
          </w:p>
        </w:tc>
        <w:tc>
          <w:tcPr>
            <w:tcW w:w="100" w:type="dxa"/>
            <w:vAlign w:val="bottom"/>
          </w:tcPr>
          <w:p>
            <w:pPr>
              <w:spacing w:after="0"/>
              <w:rPr>
                <w:sz w:val="7"/>
                <w:szCs w:val="7"/>
                <w:color w:val="auto"/>
              </w:rPr>
            </w:pPr>
          </w:p>
        </w:tc>
      </w:tr>
      <w:tr>
        <w:trPr>
          <w:trHeight w:val="120"/>
        </w:trPr>
        <w:tc>
          <w:tcPr>
            <w:tcW w:w="30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50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Chief Financial Officer, Executive Vice President of Finance and Administration, and</w:t>
            </w:r>
          </w:p>
        </w:tc>
        <w:tc>
          <w:tcPr>
            <w:tcW w:w="100" w:type="dxa"/>
            <w:vAlign w:val="bottom"/>
          </w:tcPr>
          <w:p>
            <w:pPr>
              <w:spacing w:after="0"/>
              <w:rPr>
                <w:sz w:val="10"/>
                <w:szCs w:val="10"/>
                <w:color w:val="auto"/>
              </w:rPr>
            </w:pPr>
          </w:p>
        </w:tc>
      </w:tr>
      <w:tr>
        <w:trPr>
          <w:trHeight w:val="125"/>
        </w:trPr>
        <w:tc>
          <w:tcPr>
            <w:tcW w:w="30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5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Treasurer</w:t>
            </w:r>
          </w:p>
        </w:tc>
        <w:tc>
          <w:tcPr>
            <w:tcW w:w="100" w:type="dxa"/>
            <w:vAlign w:val="bottom"/>
          </w:tcPr>
          <w:p>
            <w:pPr>
              <w:spacing w:after="0"/>
              <w:rPr>
                <w:sz w:val="10"/>
                <w:szCs w:val="10"/>
                <w:color w:val="auto"/>
              </w:rPr>
            </w:pPr>
          </w:p>
        </w:tc>
      </w:tr>
      <w:tr>
        <w:trPr>
          <w:trHeight w:val="159"/>
        </w:trPr>
        <w:tc>
          <w:tcPr>
            <w:tcW w:w="30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and Accounting Officer)</w:t>
            </w:r>
          </w:p>
        </w:tc>
        <w:tc>
          <w:tcPr>
            <w:tcW w:w="100" w:type="dxa"/>
            <w:vAlign w:val="bottom"/>
          </w:tcPr>
          <w:p>
            <w:pPr>
              <w:spacing w:after="0"/>
              <w:rPr>
                <w:sz w:val="13"/>
                <w:szCs w:val="13"/>
                <w:color w:val="auto"/>
              </w:rPr>
            </w:pPr>
          </w:p>
        </w:tc>
      </w:tr>
      <w:tr>
        <w:trPr>
          <w:trHeight w:val="386"/>
        </w:trPr>
        <w:tc>
          <w:tcPr>
            <w:tcW w:w="30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-29845</wp:posOffset>
            </wp:positionV>
            <wp:extent cx="31115"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-29845</wp:posOffset>
            </wp:positionV>
            <wp:extent cx="31115"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983"/>
          </w:cols>
          <w:pgMar w:left="957" w:top="115" w:right="9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ind w:left="3440"/>
        <w:spacing w:after="0" w:line="220" w:lineRule="auto"/>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ind w:left="338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 connection with the Quarterly Report of Pulse Biosciences, Inc. (the “Company”) on Form 10-Q for the period ended June 30, 2022 as filed with the Securities and Exchange Commission on</w:t>
      </w:r>
    </w:p>
    <w:p>
      <w:pPr>
        <w:spacing w:after="0" w:line="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2"/>
          <w:szCs w:val="12"/>
          <w:color w:val="auto"/>
        </w:rPr>
        <w:t>the date hereof (the “Report”), each of the undersigned certify, pursuant to 18 U.S.C. Section 1350, as adopted pursuant to Section 906 of the Sarbanes-Oxley Act of 2002, that to the best of his knowledge:</w:t>
      </w:r>
    </w:p>
    <w:p>
      <w:pPr>
        <w:spacing w:after="0" w:line="152" w:lineRule="exact"/>
        <w:rPr>
          <w:sz w:val="20"/>
          <w:szCs w:val="20"/>
          <w:color w:val="auto"/>
        </w:rPr>
      </w:pPr>
    </w:p>
    <w:p>
      <w:pPr>
        <w:ind w:left="560" w:hanging="262"/>
        <w:spacing w:after="0"/>
        <w:tabs>
          <w:tab w:leader="none" w:pos="5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29" w:lineRule="exact"/>
        <w:rPr>
          <w:rFonts w:ascii="Times New Roman" w:cs="Times New Roman" w:eastAsia="Times New Roman" w:hAnsi="Times New Roman"/>
          <w:sz w:val="12"/>
          <w:szCs w:val="12"/>
          <w:color w:val="auto"/>
        </w:rPr>
      </w:pPr>
    </w:p>
    <w:p>
      <w:pPr>
        <w:ind w:left="560" w:hanging="262"/>
        <w:spacing w:after="0"/>
        <w:tabs>
          <w:tab w:leader="none" w:pos="5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undersigned have set their hands hereto as of the 10</w:t>
      </w:r>
      <w:r>
        <w:rPr>
          <w:rFonts w:ascii="Times New Roman" w:cs="Times New Roman" w:eastAsia="Times New Roman" w:hAnsi="Times New Roman"/>
          <w:sz w:val="6"/>
          <w:szCs w:val="6"/>
          <w:color w:val="auto"/>
        </w:rPr>
        <w:t>th</w:t>
      </w:r>
      <w:r>
        <w:rPr>
          <w:rFonts w:ascii="Times New Roman" w:cs="Times New Roman" w:eastAsia="Times New Roman" w:hAnsi="Times New Roman"/>
          <w:sz w:val="12"/>
          <w:szCs w:val="12"/>
          <w:color w:val="auto"/>
        </w:rPr>
        <w:t xml:space="preserve"> day of August 2022.</w:t>
      </w:r>
    </w:p>
    <w:p>
      <w:pPr>
        <w:spacing w:after="0" w:line="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2540</wp:posOffset>
            </wp:positionV>
            <wp:extent cx="286194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61945" cy="5715"/>
                    </a:xfrm>
                    <a:prstGeom prst="rect">
                      <a:avLst/>
                    </a:prstGeom>
                    <a:noFill/>
                  </pic:spPr>
                </pic:pic>
              </a:graphicData>
            </a:graphic>
          </wp:anchor>
        </w:drawing>
      </w:r>
    </w:p>
    <w:p>
      <w:pPr>
        <w:ind w:left="5380"/>
        <w:spacing w:after="0" w:line="217" w:lineRule="auto"/>
        <w:rPr>
          <w:sz w:val="20"/>
          <w:szCs w:val="20"/>
          <w:color w:val="auto"/>
        </w:rPr>
      </w:pPr>
      <w:r>
        <w:rPr>
          <w:rFonts w:ascii="Times New Roman" w:cs="Times New Roman" w:eastAsia="Times New Roman" w:hAnsi="Times New Roman"/>
          <w:sz w:val="12"/>
          <w:szCs w:val="12"/>
          <w:color w:val="auto"/>
        </w:rPr>
        <w:t>Darrin R. Uecker</w:t>
      </w:r>
    </w:p>
    <w:p>
      <w:pPr>
        <w:ind w:left="5380"/>
        <w:spacing w:after="0" w:line="208" w:lineRule="auto"/>
        <w:rPr>
          <w:sz w:val="20"/>
          <w:szCs w:val="20"/>
          <w:color w:val="auto"/>
        </w:rPr>
      </w:pPr>
      <w:r>
        <w:rPr>
          <w:rFonts w:ascii="Times New Roman" w:cs="Times New Roman" w:eastAsia="Times New Roman" w:hAnsi="Times New Roman"/>
          <w:sz w:val="12"/>
          <w:szCs w:val="12"/>
          <w:color w:val="auto"/>
        </w:rPr>
        <w:t>President and Chief Executive Officer</w:t>
      </w:r>
    </w:p>
    <w:p>
      <w:pPr>
        <w:ind w:left="53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0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2540</wp:posOffset>
            </wp:positionV>
            <wp:extent cx="286194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61945" cy="5715"/>
                    </a:xfrm>
                    <a:prstGeom prst="rect">
                      <a:avLst/>
                    </a:prstGeom>
                    <a:noFill/>
                  </pic:spPr>
                </pic:pic>
              </a:graphicData>
            </a:graphic>
          </wp:anchor>
        </w:drawing>
      </w:r>
    </w:p>
    <w:p>
      <w:pPr>
        <w:ind w:left="5380"/>
        <w:spacing w:after="0" w:line="217" w:lineRule="auto"/>
        <w:rPr>
          <w:sz w:val="20"/>
          <w:szCs w:val="20"/>
          <w:color w:val="auto"/>
        </w:rPr>
      </w:pPr>
      <w:r>
        <w:rPr>
          <w:rFonts w:ascii="Times New Roman" w:cs="Times New Roman" w:eastAsia="Times New Roman" w:hAnsi="Times New Roman"/>
          <w:sz w:val="12"/>
          <w:szCs w:val="12"/>
          <w:color w:val="auto"/>
        </w:rPr>
        <w:t>Sandra A. Gardiner</w:t>
      </w:r>
    </w:p>
    <w:p>
      <w:pPr>
        <w:ind w:left="5380"/>
        <w:spacing w:after="0" w:line="208" w:lineRule="auto"/>
        <w:rPr>
          <w:sz w:val="20"/>
          <w:szCs w:val="20"/>
          <w:color w:val="auto"/>
        </w:rPr>
      </w:pPr>
      <w:r>
        <w:rPr>
          <w:rFonts w:ascii="Times New Roman" w:cs="Times New Roman" w:eastAsia="Times New Roman" w:hAnsi="Times New Roman"/>
          <w:sz w:val="12"/>
          <w:szCs w:val="12"/>
          <w:color w:val="auto"/>
        </w:rPr>
        <w:t>Chief Financial Officer, Executive Vice President of Finance and Administration, and</w:t>
      </w:r>
    </w:p>
    <w:p>
      <w:pPr>
        <w:ind w:left="5380"/>
        <w:spacing w:after="0" w:line="225" w:lineRule="auto"/>
        <w:rPr>
          <w:sz w:val="20"/>
          <w:szCs w:val="20"/>
          <w:color w:val="auto"/>
        </w:rPr>
      </w:pPr>
      <w:r>
        <w:rPr>
          <w:rFonts w:ascii="Times New Roman" w:cs="Times New Roman" w:eastAsia="Times New Roman" w:hAnsi="Times New Roman"/>
          <w:sz w:val="12"/>
          <w:szCs w:val="12"/>
          <w:color w:val="auto"/>
        </w:rPr>
        <w:t>Treasurer</w:t>
      </w:r>
    </w:p>
    <w:p>
      <w:pPr>
        <w:ind w:left="5380"/>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pacing w:after="0" w:line="235" w:lineRule="exact"/>
        <w:rPr>
          <w:sz w:val="20"/>
          <w:szCs w:val="20"/>
          <w:color w:val="auto"/>
        </w:rPr>
      </w:pPr>
    </w:p>
    <w:p>
      <w:pPr>
        <w:ind w:firstLine="301"/>
        <w:spacing w:after="0" w:line="228" w:lineRule="auto"/>
        <w:rPr>
          <w:sz w:val="20"/>
          <w:szCs w:val="20"/>
          <w:color w:val="auto"/>
        </w:rPr>
      </w:pPr>
      <w:r>
        <w:rPr>
          <w:rFonts w:ascii="Times New Roman" w:cs="Times New Roman" w:eastAsia="Times New Roman" w:hAnsi="Times New Roman"/>
          <w:sz w:val="12"/>
          <w:szCs w:val="12"/>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63703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70320" cy="43180"/>
                    </a:xfrm>
                    <a:prstGeom prst="rect">
                      <a:avLst/>
                    </a:prstGeom>
                    <a:noFill/>
                  </pic:spPr>
                </pic:pic>
              </a:graphicData>
            </a:graphic>
          </wp:anchor>
        </w:drawing>
      </w:r>
    </w:p>
    <w:sectPr>
      <w:pgSz w:w="11900" w:h="16838" w:orient="portrait"/>
      <w:cols w:equalWidth="0" w:num="1">
        <w:col w:w="9980"/>
      </w:cols>
      <w:pgMar w:left="960" w:top="11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8"/>
    </w:lvl>
  </w:abstractNum>
  <w:abstractNum w:abstractNumId="3">
    <w:nsid w:val="436C6125"/>
    <w:multiLevelType w:val="hybridMultilevel"/>
    <w:lvl w:ilvl="0">
      <w:lvlJc w:val="left"/>
      <w:lvlText w:val=" "/>
      <w:numFmt w:val="bullet"/>
      <w:start w:val="1"/>
    </w:lvl>
  </w:abstractNum>
  <w:abstractNum w:abstractNumId="4">
    <w:nsid w:val="628C895D"/>
    <w:multiLevelType w:val="hybridMultilevel"/>
    <w:lvl w:ilvl="0">
      <w:lvlJc w:val="left"/>
      <w:lvlText w:val=" "/>
      <w:numFmt w:val="bullet"/>
      <w:start w:val="1"/>
    </w:lvl>
  </w:abstractNum>
  <w:abstractNum w:abstractNumId="5">
    <w:nsid w:val="333AB105"/>
    <w:multiLevelType w:val="hybridMultilevel"/>
    <w:lvl w:ilvl="0">
      <w:lvlJc w:val="left"/>
      <w:lvlText w:val=" "/>
      <w:numFmt w:val="bullet"/>
      <w:start w:val="1"/>
    </w:lvl>
  </w:abstractNum>
  <w:abstractNum w:abstractNumId="6">
    <w:nsid w:val="721DA317"/>
    <w:multiLevelType w:val="hybridMultilevel"/>
    <w:lvl w:ilvl="0">
      <w:lvlJc w:val="left"/>
      <w:lvlText w:val=" "/>
      <w:numFmt w:val="bullet"/>
      <w:start w:val="1"/>
    </w:lvl>
  </w:abstractNum>
  <w:abstractNum w:abstractNumId="7">
    <w:nsid w:val="2443A858"/>
    <w:multiLevelType w:val="hybridMultilevel"/>
    <w:lvl w:ilvl="0">
      <w:lvlJc w:val="left"/>
      <w:lvlText w:val=" "/>
      <w:numFmt w:val="bullet"/>
      <w:start w:val="1"/>
    </w:lvl>
  </w:abstractNum>
  <w:abstractNum w:abstractNumId="8">
    <w:nsid w:val="2D1D5AE9"/>
    <w:multiLevelType w:val="hybridMultilevel"/>
    <w:lvl w:ilvl="0">
      <w:lvlJc w:val="left"/>
      <w:lvlText w:val=" "/>
      <w:numFmt w:val="bullet"/>
      <w:start w:val="1"/>
    </w:lvl>
  </w:abstractNum>
  <w:abstractNum w:abstractNumId="9">
    <w:nsid w:val="6763845E"/>
    <w:multiLevelType w:val="hybridMultilevel"/>
    <w:lvl w:ilvl="0">
      <w:lvlJc w:val="left"/>
      <w:lvlText w:val=" "/>
      <w:numFmt w:val="bullet"/>
      <w:start w:val="1"/>
    </w:lvl>
  </w:abstractNum>
  <w:abstractNum w:abstractNumId="10">
    <w:nsid w:val="75A2A8D4"/>
    <w:multiLevelType w:val="hybridMultilevel"/>
    <w:lvl w:ilvl="0">
      <w:lvlJc w:val="left"/>
      <w:lvlText w:val=" "/>
      <w:numFmt w:val="bullet"/>
      <w:start w:val="1"/>
    </w:lvl>
  </w:abstractNum>
  <w:abstractNum w:abstractNumId="11">
    <w:nsid w:val="8EDBDAB"/>
    <w:multiLevelType w:val="hybridMultilevel"/>
    <w:lvl w:ilvl="0">
      <w:lvlJc w:val="left"/>
      <w:lvlText w:val=" "/>
      <w:numFmt w:val="bullet"/>
      <w:start w:val="1"/>
    </w:lvl>
  </w:abstractNum>
  <w:abstractNum w:abstractNumId="12">
    <w:nsid w:val="79838CB2"/>
    <w:multiLevelType w:val="hybridMultilevel"/>
    <w:lvl w:ilvl="0">
      <w:lvlJc w:val="left"/>
      <w:lvlText w:val=" "/>
      <w:numFmt w:val="bullet"/>
      <w:start w:val="1"/>
    </w:lvl>
  </w:abstractNum>
  <w:abstractNum w:abstractNumId="13">
    <w:nsid w:val="4353D0CD"/>
    <w:multiLevelType w:val="hybridMultilevel"/>
    <w:lvl w:ilvl="0">
      <w:lvlJc w:val="left"/>
      <w:lvlText w:val=" "/>
      <w:numFmt w:val="bullet"/>
      <w:start w:val="1"/>
    </w:lvl>
  </w:abstractNum>
  <w:abstractNum w:abstractNumId="14">
    <w:nsid w:val="B03E0C6"/>
    <w:multiLevelType w:val="hybridMultilevel"/>
    <w:lvl w:ilvl="0">
      <w:lvlJc w:val="left"/>
      <w:lvlText w:val=" "/>
      <w:numFmt w:val="bullet"/>
      <w:start w:val="1"/>
    </w:lvl>
  </w:abstractNum>
  <w:abstractNum w:abstractNumId="15">
    <w:nsid w:val="189A769B"/>
    <w:multiLevelType w:val="hybridMultilevel"/>
    <w:lvl w:ilvl="0">
      <w:lvlJc w:val="left"/>
      <w:lvlText w:val=" "/>
      <w:numFmt w:val="bullet"/>
      <w:start w:val="1"/>
    </w:lvl>
  </w:abstractNum>
  <w:abstractNum w:abstractNumId="16">
    <w:nsid w:val="54E49EB4"/>
    <w:multiLevelType w:val="hybridMultilevel"/>
    <w:lvl w:ilvl="0">
      <w:lvlJc w:val="left"/>
      <w:lvlText w:val=" "/>
      <w:numFmt w:val="bullet"/>
      <w:start w:val="1"/>
    </w:lvl>
  </w:abstractNum>
  <w:abstractNum w:abstractNumId="17">
    <w:nsid w:val="71F32454"/>
    <w:multiLevelType w:val="hybridMultilevel"/>
    <w:lvl w:ilvl="0">
      <w:lvlJc w:val="left"/>
      <w:lvlText w:val=" "/>
      <w:numFmt w:val="bullet"/>
      <w:start w:val="1"/>
    </w:lvl>
  </w:abstractNum>
  <w:abstractNum w:abstractNumId="18">
    <w:nsid w:val="2CA88611"/>
    <w:multiLevelType w:val="hybridMultilevel"/>
    <w:lvl w:ilvl="0">
      <w:lvlJc w:val="left"/>
      <w:lvlText w:val=" "/>
      <w:numFmt w:val="bullet"/>
      <w:start w:val="1"/>
    </w:lvl>
  </w:abstractNum>
  <w:abstractNum w:abstractNumId="19">
    <w:nsid w:val="836C40E"/>
    <w:multiLevelType w:val="hybridMultilevel"/>
    <w:lvl w:ilvl="0">
      <w:lvlJc w:val="left"/>
      <w:lvlText w:val=" "/>
      <w:numFmt w:val="bullet"/>
      <w:start w:val="1"/>
    </w:lvl>
  </w:abstractNum>
  <w:abstractNum w:abstractNumId="20">
    <w:nsid w:val="2901D82"/>
    <w:multiLevelType w:val="hybridMultilevel"/>
    <w:lvl w:ilvl="0">
      <w:lvlJc w:val="left"/>
      <w:lvlText w:val=" "/>
      <w:numFmt w:val="bullet"/>
      <w:start w:val="1"/>
    </w:lvl>
  </w:abstractNum>
  <w:abstractNum w:abstractNumId="21">
    <w:nsid w:val="3A95F874"/>
    <w:multiLevelType w:val="hybridMultilevel"/>
    <w:lvl w:ilvl="0">
      <w:lvlJc w:val="left"/>
      <w:lvlText w:val=" "/>
      <w:numFmt w:val="bullet"/>
      <w:start w:val="1"/>
    </w:lvl>
  </w:abstractNum>
  <w:abstractNum w:abstractNumId="22">
    <w:nsid w:val="8138641"/>
    <w:multiLevelType w:val="hybridMultilevel"/>
    <w:lvl w:ilvl="0">
      <w:lvlJc w:val="left"/>
      <w:lvlText w:val=" "/>
      <w:numFmt w:val="bullet"/>
      <w:start w:val="1"/>
    </w:lvl>
  </w:abstractNum>
  <w:abstractNum w:abstractNumId="23">
    <w:nsid w:val="1E7FF521"/>
    <w:multiLevelType w:val="hybridMultilevel"/>
    <w:lvl w:ilvl="0">
      <w:lvlJc w:val="left"/>
      <w:lvlText w:val=" "/>
      <w:numFmt w:val="bullet"/>
      <w:start w:val="1"/>
    </w:lvl>
  </w:abstractNum>
  <w:abstractNum w:abstractNumId="24">
    <w:nsid w:val="7C3DBD3D"/>
    <w:multiLevelType w:val="hybridMultilevel"/>
    <w:lvl w:ilvl="0">
      <w:lvlJc w:val="left"/>
      <w:lvlText w:val=" "/>
      <w:numFmt w:val="bullet"/>
      <w:start w:val="1"/>
    </w:lvl>
  </w:abstractNum>
  <w:abstractNum w:abstractNumId="25">
    <w:nsid w:val="737B8DDC"/>
    <w:multiLevelType w:val="hybridMultilevel"/>
    <w:lvl w:ilvl="0">
      <w:lvlJc w:val="left"/>
      <w:lvlText w:val=" "/>
      <w:numFmt w:val="bullet"/>
      <w:start w:val="1"/>
    </w:lvl>
  </w:abstractNum>
  <w:abstractNum w:abstractNumId="26">
    <w:nsid w:val="6CEAF087"/>
    <w:multiLevelType w:val="hybridMultilevel"/>
    <w:lvl w:ilvl="0">
      <w:lvlJc w:val="left"/>
      <w:lvlText w:val=" "/>
      <w:numFmt w:val="bullet"/>
      <w:start w:val="1"/>
    </w:lvl>
  </w:abstractNum>
  <w:abstractNum w:abstractNumId="27">
    <w:nsid w:val="22221A70"/>
    <w:multiLevelType w:val="hybridMultilevel"/>
    <w:lvl w:ilvl="0">
      <w:lvlJc w:val="left"/>
      <w:lvlText w:val=" "/>
      <w:numFmt w:val="bullet"/>
      <w:start w:val="1"/>
    </w:lvl>
  </w:abstractNum>
  <w:abstractNum w:abstractNumId="28">
    <w:nsid w:val="4516DDE9"/>
    <w:multiLevelType w:val="hybridMultilevel"/>
    <w:lvl w:ilvl="0">
      <w:lvlJc w:val="left"/>
      <w:lvlText w:val=" "/>
      <w:numFmt w:val="bullet"/>
      <w:start w:val="1"/>
    </w:lvl>
  </w:abstractNum>
  <w:abstractNum w:abstractNumId="29">
    <w:nsid w:val="3006C83E"/>
    <w:multiLevelType w:val="hybridMultilevel"/>
    <w:lvl w:ilvl="0">
      <w:lvlJc w:val="left"/>
      <w:lvlText w:val=" "/>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5"/>
    </w:lvl>
    <w:lvl w:ilvl="1">
      <w:lvlJc w:val="left"/>
      <w:lvlText w:val="%2."/>
      <w:numFmt w:val="lowerLetter"/>
      <w:start w:val="2"/>
    </w:lvl>
  </w:abstractNum>
  <w:abstractNum w:abstractNumId="33">
    <w:nsid w:val="440BADFC"/>
    <w:multiLevelType w:val="hybridMultilevel"/>
    <w:lvl w:ilvl="0">
      <w:lvlJc w:val="left"/>
      <w:lvlText w:val="%1."/>
      <w:numFmt w:val="decimal"/>
      <w:start w:val="9"/>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2022-08-10T16:23:39Z</dcterms:created>
  <dcterms:modified xsi:type="dcterms:W3CDTF">2022-08-10T16:23:39Z</dcterms:modified>
</cp:coreProperties>
</file>